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8"/>
          <w:szCs w:val="18"/>
          <w:color w:val="auto"/>
        </w:rPr>
        <w:t>(Mark One)</w:t>
      </w:r>
    </w:p>
    <w:p>
      <w:pPr>
        <w:spacing w:after="0" w:line="157" w:lineRule="exact"/>
        <w:rPr>
          <w:sz w:val="24"/>
          <w:szCs w:val="24"/>
          <w:color w:val="auto"/>
        </w:rPr>
      </w:pPr>
    </w:p>
    <w:p>
      <w:pPr>
        <w:ind w:left="1120" w:right="2660" w:hanging="1085"/>
        <w:spacing w:after="0" w:line="274" w:lineRule="auto"/>
        <w:tabs>
          <w:tab w:leader="none" w:pos="391"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57" w:lineRule="exact"/>
        <w:rPr>
          <w:sz w:val="24"/>
          <w:szCs w:val="24"/>
          <w:color w:val="auto"/>
        </w:rPr>
      </w:pPr>
    </w:p>
    <w:p>
      <w:pPr>
        <w:ind w:left="1120" w:right="2340" w:hanging="1085"/>
        <w:spacing w:after="0" w:line="309" w:lineRule="auto"/>
        <w:tabs>
          <w:tab w:leader="none" w:pos="19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3670300</wp:posOffset>
            </wp:positionH>
            <wp:positionV relativeFrom="paragraph">
              <wp:posOffset>-62865</wp:posOffset>
            </wp:positionV>
            <wp:extent cx="1885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05" w:lineRule="exact"/>
        <w:rPr>
          <w:sz w:val="24"/>
          <w:szCs w:val="24"/>
          <w:color w:val="auto"/>
        </w:rPr>
      </w:pPr>
    </w:p>
    <w:tbl>
      <w:tblPr>
        <w:tblLayout w:type="fixed"/>
        <w:tblInd w:w="180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20" w:type="dxa"/>
            <w:vAlign w:val="bottom"/>
            <w:gridSpan w:val="9"/>
          </w:tcPr>
          <w:p>
            <w:pPr>
              <w:jc w:val="center"/>
              <w:ind w:right="840"/>
              <w:spacing w:after="0"/>
              <w:rPr>
                <w:sz w:val="20"/>
                <w:szCs w:val="20"/>
                <w:color w:val="auto"/>
              </w:rPr>
            </w:pPr>
            <w:r>
              <w:rPr>
                <w:rFonts w:ascii="Arial" w:cs="Arial" w:eastAsia="Arial" w:hAnsi="Arial"/>
                <w:sz w:val="18"/>
                <w:szCs w:val="18"/>
                <w:color w:val="auto"/>
                <w:w w:val="91"/>
              </w:rPr>
              <w:t>Commission file number: 001-36246</w:t>
            </w: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Civeo Corporation</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4560" w:type="dxa"/>
            <w:vAlign w:val="bottom"/>
            <w:gridSpan w:val="5"/>
          </w:tcPr>
          <w:p>
            <w:pPr>
              <w:jc w:val="center"/>
              <w:ind w:left="3310"/>
              <w:spacing w:after="0"/>
              <w:rPr>
                <w:sz w:val="20"/>
                <w:szCs w:val="20"/>
                <w:color w:val="auto"/>
              </w:rPr>
            </w:pPr>
            <w:r>
              <w:rPr>
                <w:rFonts w:ascii="Arial" w:cs="Arial" w:eastAsia="Arial" w:hAnsi="Arial"/>
                <w:sz w:val="18"/>
                <w:szCs w:val="18"/>
                <w:color w:val="auto"/>
                <w:w w:val="89"/>
              </w:rPr>
              <w:t>____________</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40" w:type="dxa"/>
            <w:vAlign w:val="bottom"/>
            <w:gridSpan w:val="10"/>
          </w:tcPr>
          <w:p>
            <w:pPr>
              <w:ind w:left="920"/>
              <w:spacing w:after="0"/>
              <w:rPr>
                <w:sz w:val="20"/>
                <w:szCs w:val="20"/>
                <w:color w:val="auto"/>
              </w:rPr>
            </w:pPr>
            <w:r>
              <w:rPr>
                <w:rFonts w:ascii="Arial" w:cs="Arial" w:eastAsia="Arial" w:hAnsi="Arial"/>
                <w:sz w:val="18"/>
                <w:szCs w:val="18"/>
                <w:color w:val="auto"/>
              </w:rPr>
              <w:t>(Exact name of registrant as specified in its charter)</w:t>
            </w:r>
          </w:p>
        </w:tc>
      </w:tr>
      <w:tr>
        <w:trPr>
          <w:trHeight w:val="338"/>
        </w:trPr>
        <w:tc>
          <w:tcPr>
            <w:tcW w:w="820" w:type="dxa"/>
            <w:vAlign w:val="bottom"/>
          </w:tcPr>
          <w:p>
            <w:pPr>
              <w:spacing w:after="0"/>
              <w:rPr>
                <w:sz w:val="24"/>
                <w:szCs w:val="24"/>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2"/>
              </w:rPr>
              <w:t>British Columbia, Canada</w:t>
            </w:r>
          </w:p>
        </w:tc>
        <w:tc>
          <w:tcPr>
            <w:tcW w:w="2260" w:type="dxa"/>
            <w:vAlign w:val="bottom"/>
            <w:gridSpan w:val="2"/>
          </w:tcPr>
          <w:p>
            <w:pPr>
              <w:spacing w:after="0"/>
              <w:rPr>
                <w:sz w:val="24"/>
                <w:szCs w:val="24"/>
                <w:color w:val="auto"/>
              </w:rPr>
            </w:pPr>
          </w:p>
        </w:tc>
        <w:tc>
          <w:tcPr>
            <w:tcW w:w="1580" w:type="dxa"/>
            <w:vAlign w:val="bottom"/>
            <w:gridSpan w:val="6"/>
          </w:tcPr>
          <w:p>
            <w:pPr>
              <w:jc w:val="right"/>
              <w:ind w:right="240"/>
              <w:spacing w:after="0"/>
              <w:rPr>
                <w:sz w:val="20"/>
                <w:szCs w:val="20"/>
                <w:color w:val="auto"/>
              </w:rPr>
            </w:pPr>
            <w:r>
              <w:rPr>
                <w:rFonts w:ascii="Arial" w:cs="Arial" w:eastAsia="Arial" w:hAnsi="Arial"/>
                <w:sz w:val="18"/>
                <w:szCs w:val="18"/>
                <w:color w:val="auto"/>
              </w:rPr>
              <w:t>98-1253716</w:t>
            </w: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4960" w:type="dxa"/>
            <w:vAlign w:val="bottom"/>
            <w:gridSpan w:val="6"/>
          </w:tcPr>
          <w:p>
            <w:pPr>
              <w:jc w:val="center"/>
              <w:ind w:right="1460"/>
              <w:spacing w:after="0"/>
              <w:rPr>
                <w:sz w:val="20"/>
                <w:szCs w:val="20"/>
                <w:color w:val="auto"/>
              </w:rPr>
            </w:pPr>
            <w:r>
              <w:rPr>
                <w:rFonts w:ascii="Arial" w:cs="Arial" w:eastAsia="Arial" w:hAnsi="Arial"/>
                <w:sz w:val="18"/>
                <w:szCs w:val="18"/>
                <w:color w:val="auto"/>
                <w:w w:val="93"/>
              </w:rPr>
              <w:t>(State or other jurisdiction of</w:t>
            </w:r>
          </w:p>
        </w:tc>
        <w:tc>
          <w:tcPr>
            <w:tcW w:w="1580" w:type="dxa"/>
            <w:vAlign w:val="bottom"/>
            <w:gridSpan w:val="6"/>
          </w:tcPr>
          <w:p>
            <w:pPr>
              <w:jc w:val="center"/>
              <w:ind w:left="150"/>
              <w:spacing w:after="0"/>
              <w:rPr>
                <w:sz w:val="20"/>
                <w:szCs w:val="20"/>
                <w:color w:val="auto"/>
              </w:rPr>
            </w:pPr>
            <w:r>
              <w:rPr>
                <w:rFonts w:ascii="Arial" w:cs="Arial" w:eastAsia="Arial" w:hAnsi="Arial"/>
                <w:sz w:val="18"/>
                <w:szCs w:val="18"/>
                <w:color w:val="auto"/>
                <w:w w:val="92"/>
              </w:rPr>
              <w:t>(I.R.S. Employer</w:t>
            </w:r>
          </w:p>
        </w:tc>
      </w:tr>
      <w:tr>
        <w:trPr>
          <w:trHeight w:val="270"/>
        </w:trPr>
        <w:tc>
          <w:tcPr>
            <w:tcW w:w="4960" w:type="dxa"/>
            <w:vAlign w:val="bottom"/>
            <w:gridSpan w:val="6"/>
          </w:tcPr>
          <w:p>
            <w:pPr>
              <w:jc w:val="center"/>
              <w:ind w:right="1440"/>
              <w:spacing w:after="0"/>
              <w:rPr>
                <w:sz w:val="20"/>
                <w:szCs w:val="20"/>
                <w:color w:val="auto"/>
              </w:rPr>
            </w:pPr>
            <w:r>
              <w:rPr>
                <w:rFonts w:ascii="Arial" w:cs="Arial" w:eastAsia="Arial" w:hAnsi="Arial"/>
                <w:sz w:val="18"/>
                <w:szCs w:val="18"/>
                <w:color w:val="auto"/>
                <w:w w:val="92"/>
              </w:rPr>
              <w:t>incorporation or organization)</w:t>
            </w:r>
          </w:p>
        </w:tc>
        <w:tc>
          <w:tcPr>
            <w:tcW w:w="1580" w:type="dxa"/>
            <w:vAlign w:val="bottom"/>
            <w:gridSpan w:val="6"/>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4960" w:type="dxa"/>
            <w:vAlign w:val="bottom"/>
            <w:gridSpan w:val="6"/>
          </w:tcPr>
          <w:p>
            <w:pPr>
              <w:jc w:val="center"/>
              <w:ind w:right="1460"/>
              <w:spacing w:after="0"/>
              <w:rPr>
                <w:sz w:val="20"/>
                <w:szCs w:val="20"/>
                <w:color w:val="auto"/>
              </w:rPr>
            </w:pPr>
            <w:r>
              <w:rPr>
                <w:rFonts w:ascii="Arial" w:cs="Arial" w:eastAsia="Arial" w:hAnsi="Arial"/>
                <w:sz w:val="18"/>
                <w:szCs w:val="18"/>
                <w:color w:val="auto"/>
                <w:w w:val="90"/>
              </w:rPr>
              <w:t>Three Allen Center, 333 Clay Street, Suite 4980,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Houston, Texas</w:t>
            </w:r>
          </w:p>
        </w:tc>
        <w:tc>
          <w:tcPr>
            <w:tcW w:w="2640" w:type="dxa"/>
            <w:vAlign w:val="bottom"/>
            <w:gridSpan w:val="3"/>
          </w:tcPr>
          <w:p>
            <w:pPr>
              <w:spacing w:after="0"/>
              <w:rPr>
                <w:sz w:val="19"/>
                <w:szCs w:val="19"/>
                <w:color w:val="auto"/>
              </w:rPr>
            </w:pPr>
          </w:p>
        </w:tc>
        <w:tc>
          <w:tcPr>
            <w:tcW w:w="680" w:type="dxa"/>
            <w:vAlign w:val="bottom"/>
            <w:gridSpan w:val="3"/>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91"/>
        </w:trPr>
        <w:tc>
          <w:tcPr>
            <w:tcW w:w="4960" w:type="dxa"/>
            <w:vAlign w:val="bottom"/>
            <w:gridSpan w:val="6"/>
          </w:tcPr>
          <w:p>
            <w:pPr>
              <w:jc w:val="center"/>
              <w:ind w:right="1460"/>
              <w:spacing w:after="0"/>
              <w:rPr>
                <w:sz w:val="20"/>
                <w:szCs w:val="20"/>
                <w:color w:val="auto"/>
              </w:rPr>
            </w:pPr>
            <w:r>
              <w:rPr>
                <w:rFonts w:ascii="Arial" w:cs="Arial" w:eastAsia="Arial" w:hAnsi="Arial"/>
                <w:sz w:val="18"/>
                <w:szCs w:val="18"/>
                <w:color w:val="auto"/>
                <w:w w:val="92"/>
              </w:rPr>
              <w:t>(Address of principal executive offices)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(Zip Code)</w:t>
            </w:r>
          </w:p>
        </w:tc>
      </w:tr>
    </w:tbl>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(713) 510-2400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1780"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3340" w:type="dxa"/>
            <w:vAlign w:val="bottom"/>
            <w:gridSpan w:val="2"/>
          </w:tcPr>
          <w:p>
            <w:pPr>
              <w:jc w:val="center"/>
              <w:ind w:right="1980"/>
              <w:spacing w:after="0"/>
              <w:rPr>
                <w:sz w:val="20"/>
                <w:szCs w:val="20"/>
                <w:color w:val="auto"/>
              </w:rPr>
            </w:pPr>
            <w:r>
              <w:rPr>
                <w:rFonts w:ascii="Arial" w:cs="Arial" w:eastAsia="Arial" w:hAnsi="Arial"/>
                <w:sz w:val="18"/>
                <w:szCs w:val="18"/>
                <w:color w:val="auto"/>
                <w:w w:val="90"/>
              </w:rPr>
              <w:t>Title of Each Class</w:t>
            </w:r>
          </w:p>
        </w:tc>
        <w:tc>
          <w:tcPr>
            <w:tcW w:w="4520" w:type="dxa"/>
            <w:vAlign w:val="bottom"/>
            <w:gridSpan w:val="2"/>
          </w:tcPr>
          <w:p>
            <w:pPr>
              <w:jc w:val="center"/>
              <w:ind w:left="1490"/>
              <w:spacing w:after="0"/>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91"/>
        </w:trPr>
        <w:tc>
          <w:tcPr>
            <w:tcW w:w="3740" w:type="dxa"/>
            <w:vAlign w:val="bottom"/>
            <w:gridSpan w:val="3"/>
          </w:tcPr>
          <w:p>
            <w:pPr>
              <w:jc w:val="center"/>
              <w:ind w:right="1560"/>
              <w:spacing w:after="0"/>
              <w:rPr>
                <w:sz w:val="20"/>
                <w:szCs w:val="20"/>
                <w:color w:val="auto"/>
              </w:rPr>
            </w:pPr>
            <w:r>
              <w:rPr>
                <w:rFonts w:ascii="Arial" w:cs="Arial" w:eastAsia="Arial" w:hAnsi="Arial"/>
                <w:sz w:val="18"/>
                <w:szCs w:val="18"/>
                <w:color w:val="auto"/>
                <w:w w:val="89"/>
              </w:rPr>
              <w:t>Common Shares, no par value</w:t>
            </w:r>
          </w:p>
        </w:tc>
        <w:tc>
          <w:tcPr>
            <w:tcW w:w="158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7" w:lineRule="exact"/>
        <w:rPr>
          <w:sz w:val="24"/>
          <w:szCs w:val="24"/>
          <w:color w:val="auto"/>
        </w:rPr>
      </w:pPr>
    </w:p>
    <w:p>
      <w:pPr>
        <w:ind w:left="5300"/>
        <w:spacing w:after="0"/>
        <w:tabs>
          <w:tab w:leader="none" w:pos="664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71" w:lineRule="exact"/>
        <w:rPr>
          <w:sz w:val="24"/>
          <w:szCs w:val="24"/>
          <w:color w:val="auto"/>
        </w:rPr>
      </w:pPr>
    </w:p>
    <w:p>
      <w:pPr>
        <w:ind w:left="5300"/>
        <w:spacing w:after="0"/>
        <w:tabs>
          <w:tab w:leader="none" w:pos="664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5300"/>
        <w:spacing w:after="0"/>
        <w:tabs>
          <w:tab w:leader="none" w:pos="66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52"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0" w:lineRule="exact"/>
        <w:rPr>
          <w:sz w:val="24"/>
          <w:szCs w:val="24"/>
          <w:color w:val="auto"/>
        </w:rPr>
      </w:pPr>
    </w:p>
    <w:p>
      <w:pPr>
        <w:ind w:left="5300"/>
        <w:spacing w:after="0"/>
        <w:tabs>
          <w:tab w:leader="none" w:pos="66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jc w:val="center"/>
        <w:ind w:right="-179"/>
        <w:spacing w:after="0"/>
        <w:rPr>
          <w:sz w:val="20"/>
          <w:szCs w:val="20"/>
          <w:color w:val="auto"/>
        </w:rPr>
      </w:pPr>
      <w:r>
        <w:rPr>
          <w:rFonts w:ascii="Arial" w:cs="Arial" w:eastAsia="Arial" w:hAnsi="Arial"/>
          <w:sz w:val="18"/>
          <w:szCs w:val="18"/>
          <w:color w:val="auto"/>
        </w:rPr>
        <w:t>(Check one):</w:t>
      </w:r>
    </w:p>
    <w:p>
      <w:pPr>
        <w:sectPr>
          <w:pgSz w:w="11900" w:h="16838" w:orient="portrait"/>
          <w:cols w:equalWidth="0" w:num="1">
            <w:col w:w="11400"/>
          </w:cols>
          <w:pgMar w:left="240" w:top="125" w:right="259" w:bottom="1440" w:gutter="0" w:footer="0" w:header="0"/>
        </w:sectPr>
      </w:pPr>
    </w:p>
    <w:p>
      <w:pPr>
        <w:spacing w:after="0" w:line="15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0"/>
          <w:szCs w:val="20"/>
          <w:color w:val="auto"/>
        </w:rPr>
      </w:pPr>
    </w:p>
    <w:p>
      <w:pPr>
        <w:sectPr>
          <w:pgSz w:w="11900" w:h="16838" w:orient="portrait"/>
          <w:cols w:equalWidth="0" w:num="3">
            <w:col w:w="5360" w:space="720"/>
            <w:col w:w="2300" w:space="720"/>
            <w:col w:w="2300"/>
          </w:cols>
          <w:pgMar w:left="240" w:top="125" w:right="259" w:bottom="1440" w:gutter="0" w:footer="0" w:header="0"/>
          <w:type w:val="continuous"/>
        </w:sectPr>
      </w:pPr>
    </w:p>
    <w:p>
      <w:pPr>
        <w:spacing w:after="0" w:line="1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Non-Accelerated Filer [ ]</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0"/>
          <w:szCs w:val="20"/>
          <w:color w:val="auto"/>
        </w:rPr>
      </w:pPr>
    </w:p>
    <w:p>
      <w:pPr>
        <w:sectPr>
          <w:pgSz w:w="11900" w:h="16838" w:orient="portrait"/>
          <w:cols w:equalWidth="0" w:num="2">
            <w:col w:w="5360" w:space="720"/>
            <w:col w:w="5320"/>
          </w:cols>
          <w:pgMar w:left="240" w:top="125" w:right="259" w:bottom="1440" w:gutter="0" w:footer="0" w:header="0"/>
          <w:type w:val="continuous"/>
        </w:sectPr>
      </w:pPr>
    </w:p>
    <w:p>
      <w:pPr>
        <w:spacing w:after="0" w:line="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0"/>
          <w:szCs w:val="20"/>
          <w:color w:val="auto"/>
        </w:rPr>
      </w:pPr>
    </w:p>
    <w:p>
      <w:pPr>
        <w:ind w:left="5300"/>
        <w:spacing w:after="0"/>
        <w:tabs>
          <w:tab w:leader="none" w:pos="664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pacing w:after="0" w:line="25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aggregate market value of common shares held by non-affiliates computed by reference to the price at which the common equity was last sold, or the average bid and asked price of such common equity, as of the last business day of the registrant’s most recently completed second fiscal quarter, June 29, 2018, was $577,165,294.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166,115,535 common shares outstanding as of February 22, 2019.</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Portions of the registrant's Definitive Proxy Statement for the 2019 Annual General Meeting of Shareholders,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sectPr>
          <w:pgSz w:w="11900" w:h="16838" w:orient="portrait"/>
          <w:cols w:equalWidth="0" w:num="1">
            <w:col w:w="11400"/>
          </w:cols>
          <w:pgMar w:left="240" w:top="125" w:right="25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CIVEO CORPORATION</w:t>
            </w: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8820" w:type="dxa"/>
            <w:vAlign w:val="bottom"/>
          </w:tcPr>
          <w:p>
            <w:pPr>
              <w:ind w:left="4260"/>
              <w:spacing w:after="0"/>
              <w:rPr>
                <w:sz w:val="20"/>
                <w:szCs w:val="20"/>
                <w:color w:val="auto"/>
              </w:rPr>
            </w:pPr>
            <w:r>
              <w:rPr>
                <w:rFonts w:ascii="Arial" w:cs="Arial" w:eastAsia="Arial" w:hAnsi="Arial"/>
                <w:sz w:val="18"/>
                <w:szCs w:val="18"/>
                <w:b w:val="1"/>
                <w:bCs w:val="1"/>
                <w:color w:val="auto"/>
              </w:rPr>
              <w:t>INDEX</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4"/>
        </w:trPr>
        <w:tc>
          <w:tcPr>
            <w:tcW w:w="116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440" w:type="dxa"/>
            <w:vAlign w:val="bottom"/>
            <w:gridSpan w:val="3"/>
          </w:tcPr>
          <w:p>
            <w:pPr>
              <w:ind w:left="740"/>
              <w:spacing w:after="0"/>
              <w:rPr>
                <w:sz w:val="20"/>
                <w:szCs w:val="20"/>
                <w:color w:val="auto"/>
              </w:rPr>
            </w:pPr>
            <w:r>
              <w:rPr>
                <w:rFonts w:ascii="Arial" w:cs="Arial" w:eastAsia="Arial" w:hAnsi="Arial"/>
                <w:sz w:val="18"/>
                <w:szCs w:val="18"/>
                <w:b w:val="1"/>
                <w:bCs w:val="1"/>
                <w:color w:val="auto"/>
                <w:w w:val="88"/>
              </w:rPr>
              <w:t>Page No.</w:t>
            </w:r>
          </w:p>
        </w:tc>
      </w:tr>
      <w:tr>
        <w:trPr>
          <w:trHeight w:val="48"/>
        </w:trPr>
        <w:tc>
          <w:tcPr>
            <w:tcW w:w="1160" w:type="dxa"/>
            <w:vAlign w:val="bottom"/>
          </w:tcPr>
          <w:p>
            <w:pPr>
              <w:spacing w:after="0"/>
              <w:rPr>
                <w:sz w:val="4"/>
                <w:szCs w:val="4"/>
                <w:color w:val="auto"/>
              </w:rPr>
            </w:pPr>
          </w:p>
        </w:tc>
        <w:tc>
          <w:tcPr>
            <w:tcW w:w="8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4">
              <w:r>
                <w:rPr>
                  <w:rFonts w:ascii="Arial" w:cs="Arial" w:eastAsia="Arial" w:hAnsi="Arial"/>
                  <w:sz w:val="18"/>
                  <w:szCs w:val="18"/>
                  <w:color w:val="auto"/>
                </w:rPr>
                <w:t>PART I</w:t>
              </w:r>
            </w:hyperlink>
          </w:p>
        </w:tc>
        <w:tc>
          <w:tcPr>
            <w:tcW w:w="8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gridSpan w:val="2"/>
          </w:tcPr>
          <w:p>
            <w:pPr>
              <w:ind w:left="180"/>
              <w:spacing w:after="0"/>
              <w:rPr>
                <w:rFonts w:ascii="Arial" w:cs="Arial" w:eastAsia="Arial" w:hAnsi="Arial"/>
                <w:sz w:val="18"/>
                <w:szCs w:val="18"/>
                <w:color w:val="auto"/>
              </w:rPr>
            </w:pPr>
            <w:hyperlink w:anchor="page4">
              <w:r>
                <w:rPr>
                  <w:rFonts w:ascii="Arial" w:cs="Arial" w:eastAsia="Arial" w:hAnsi="Arial"/>
                  <w:sz w:val="18"/>
                  <w:szCs w:val="18"/>
                  <w:color w:val="auto"/>
                </w:rPr>
                <w:t>Cautionary Statement Regarding Forward-Looking Statements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4">
              <w:r>
                <w:rPr>
                  <w:rFonts w:ascii="Arial" w:cs="Arial" w:eastAsia="Arial" w:hAnsi="Arial"/>
                  <w:sz w:val="18"/>
                  <w:szCs w:val="18"/>
                  <w:color w:val="1335FF"/>
                </w:rPr>
                <w:t>1</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160" w:type="dxa"/>
            <w:vAlign w:val="bottom"/>
            <w:shd w:val="clear" w:color="auto" w:fill="CCEEFF"/>
          </w:tcPr>
          <w:p>
            <w:pPr>
              <w:spacing w:after="0"/>
              <w:rPr>
                <w:sz w:val="23"/>
                <w:szCs w:val="23"/>
                <w:color w:val="auto"/>
              </w:rPr>
            </w:pPr>
          </w:p>
        </w:tc>
        <w:tc>
          <w:tcPr>
            <w:tcW w:w="88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1160" w:type="dxa"/>
            <w:vAlign w:val="bottom"/>
          </w:tcPr>
          <w:p>
            <w:pPr>
              <w:ind w:left="18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8820" w:type="dxa"/>
            <w:vAlign w:val="bottom"/>
          </w:tcPr>
          <w:p>
            <w:pPr>
              <w:ind w:left="2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5">
              <w:r>
                <w:rPr>
                  <w:rFonts w:ascii="Arial" w:cs="Arial" w:eastAsia="Arial" w:hAnsi="Arial"/>
                  <w:sz w:val="18"/>
                  <w:szCs w:val="18"/>
                  <w:color w:val="1335FF"/>
                </w:rPr>
                <w:t>2</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26">
              <w:r>
                <w:rPr>
                  <w:rFonts w:ascii="Arial" w:cs="Arial" w:eastAsia="Arial" w:hAnsi="Arial"/>
                  <w:sz w:val="18"/>
                  <w:szCs w:val="18"/>
                  <w:color w:val="auto"/>
                </w:rPr>
                <w:t>Item 1A.</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Risk Factors</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26">
              <w:r>
                <w:rPr>
                  <w:rFonts w:ascii="Arial" w:cs="Arial" w:eastAsia="Arial" w:hAnsi="Arial"/>
                  <w:sz w:val="18"/>
                  <w:szCs w:val="18"/>
                  <w:color w:val="1335FF"/>
                </w:rPr>
                <w:t>23</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45">
              <w:r>
                <w:rPr>
                  <w:rFonts w:ascii="Arial" w:cs="Arial" w:eastAsia="Arial" w:hAnsi="Arial"/>
                  <w:sz w:val="18"/>
                  <w:szCs w:val="18"/>
                  <w:color w:val="auto"/>
                </w:rPr>
                <w:t>Item 1B.</w:t>
              </w:r>
            </w:hyperlink>
          </w:p>
        </w:tc>
        <w:tc>
          <w:tcPr>
            <w:tcW w:w="8820" w:type="dxa"/>
            <w:vAlign w:val="bottom"/>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Unresolved Staff Comments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45">
              <w:r>
                <w:rPr>
                  <w:rFonts w:ascii="Arial" w:cs="Arial" w:eastAsia="Arial" w:hAnsi="Arial"/>
                  <w:sz w:val="18"/>
                  <w:szCs w:val="18"/>
                  <w:color w:val="1335FF"/>
                </w:rPr>
                <w:t>42</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45">
              <w:r>
                <w:rPr>
                  <w:rFonts w:ascii="Arial" w:cs="Arial" w:eastAsia="Arial" w:hAnsi="Arial"/>
                  <w:sz w:val="18"/>
                  <w:szCs w:val="18"/>
                  <w:color w:val="auto"/>
                </w:rPr>
                <w:t>Item 2.</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Properties</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45">
              <w:r>
                <w:rPr>
                  <w:rFonts w:ascii="Arial" w:cs="Arial" w:eastAsia="Arial" w:hAnsi="Arial"/>
                  <w:sz w:val="18"/>
                  <w:szCs w:val="18"/>
                  <w:color w:val="1335FF"/>
                </w:rPr>
                <w:t>42</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47">
              <w:r>
                <w:rPr>
                  <w:rFonts w:ascii="Arial" w:cs="Arial" w:eastAsia="Arial" w:hAnsi="Arial"/>
                  <w:sz w:val="18"/>
                  <w:szCs w:val="18"/>
                  <w:color w:val="auto"/>
                </w:rPr>
                <w:t>Item 3.</w:t>
              </w:r>
            </w:hyperlink>
          </w:p>
        </w:tc>
        <w:tc>
          <w:tcPr>
            <w:tcW w:w="8820" w:type="dxa"/>
            <w:vAlign w:val="bottom"/>
          </w:tcPr>
          <w:p>
            <w:pPr>
              <w:ind w:left="20"/>
              <w:spacing w:after="0"/>
              <w:rPr>
                <w:rFonts w:ascii="Arial" w:cs="Arial" w:eastAsia="Arial" w:hAnsi="Arial"/>
                <w:sz w:val="18"/>
                <w:szCs w:val="18"/>
                <w:color w:val="auto"/>
              </w:rPr>
            </w:pPr>
            <w:hyperlink w:anchor="page47">
              <w:r>
                <w:rPr>
                  <w:rFonts w:ascii="Arial" w:cs="Arial" w:eastAsia="Arial" w:hAnsi="Arial"/>
                  <w:sz w:val="18"/>
                  <w:szCs w:val="18"/>
                  <w:color w:val="auto"/>
                </w:rPr>
                <w:t>Legal Proceedings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47">
              <w:r>
                <w:rPr>
                  <w:rFonts w:ascii="Arial" w:cs="Arial" w:eastAsia="Arial" w:hAnsi="Arial"/>
                  <w:sz w:val="18"/>
                  <w:szCs w:val="18"/>
                  <w:color w:val="1335FF"/>
                </w:rPr>
                <w:t>44</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47">
              <w:r>
                <w:rPr>
                  <w:rFonts w:ascii="Arial" w:cs="Arial" w:eastAsia="Arial" w:hAnsi="Arial"/>
                  <w:sz w:val="18"/>
                  <w:szCs w:val="18"/>
                  <w:color w:val="auto"/>
                </w:rPr>
                <w:t>Item 4.</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47">
              <w:r>
                <w:rPr>
                  <w:rFonts w:ascii="Arial" w:cs="Arial" w:eastAsia="Arial" w:hAnsi="Arial"/>
                  <w:sz w:val="18"/>
                  <w:szCs w:val="18"/>
                  <w:color w:val="auto"/>
                </w:rPr>
                <w:t>Mine Safety Disclosures</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47">
              <w:r>
                <w:rPr>
                  <w:rFonts w:ascii="Arial" w:cs="Arial" w:eastAsia="Arial" w:hAnsi="Arial"/>
                  <w:sz w:val="18"/>
                  <w:szCs w:val="18"/>
                  <w:color w:val="1335FF"/>
                </w:rPr>
                <w:t>44</w:t>
              </w:r>
            </w:hyperlink>
          </w:p>
        </w:tc>
      </w:tr>
      <w:tr>
        <w:trPr>
          <w:trHeight w:val="270"/>
        </w:trPr>
        <w:tc>
          <w:tcPr>
            <w:tcW w:w="1160" w:type="dxa"/>
            <w:vAlign w:val="bottom"/>
          </w:tcPr>
          <w:p>
            <w:pPr>
              <w:spacing w:after="0"/>
              <w:rPr>
                <w:sz w:val="23"/>
                <w:szCs w:val="23"/>
                <w:color w:val="auto"/>
              </w:rPr>
            </w:pPr>
          </w:p>
        </w:tc>
        <w:tc>
          <w:tcPr>
            <w:tcW w:w="8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48">
              <w:r>
                <w:rPr>
                  <w:rFonts w:ascii="Arial" w:cs="Arial" w:eastAsia="Arial" w:hAnsi="Arial"/>
                  <w:sz w:val="18"/>
                  <w:szCs w:val="18"/>
                  <w:color w:val="auto"/>
                </w:rPr>
                <w:t>PART II</w:t>
              </w:r>
            </w:hyperlink>
          </w:p>
        </w:tc>
        <w:tc>
          <w:tcPr>
            <w:tcW w:w="8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tcPr>
          <w:p>
            <w:pPr>
              <w:ind w:left="180"/>
              <w:spacing w:after="0"/>
              <w:rPr>
                <w:rFonts w:ascii="Arial" w:cs="Arial" w:eastAsia="Arial" w:hAnsi="Arial"/>
                <w:sz w:val="18"/>
                <w:szCs w:val="18"/>
                <w:color w:val="auto"/>
              </w:rPr>
            </w:pPr>
            <w:hyperlink w:anchor="page48">
              <w:r>
                <w:rPr>
                  <w:rFonts w:ascii="Arial" w:cs="Arial" w:eastAsia="Arial" w:hAnsi="Arial"/>
                  <w:sz w:val="18"/>
                  <w:szCs w:val="18"/>
                  <w:color w:val="auto"/>
                </w:rPr>
                <w:t>Item 5.</w:t>
              </w:r>
            </w:hyperlink>
          </w:p>
        </w:tc>
        <w:tc>
          <w:tcPr>
            <w:tcW w:w="8820" w:type="dxa"/>
            <w:vAlign w:val="bottom"/>
          </w:tcPr>
          <w:p>
            <w:pPr>
              <w:ind w:left="20"/>
              <w:spacing w:after="0"/>
              <w:rPr>
                <w:rFonts w:ascii="Arial" w:cs="Arial" w:eastAsia="Arial" w:hAnsi="Arial"/>
                <w:sz w:val="18"/>
                <w:szCs w:val="18"/>
                <w:color w:val="auto"/>
                <w:w w:val="98"/>
              </w:rPr>
            </w:pPr>
            <w:hyperlink w:anchor="page48">
              <w:r>
                <w:rPr>
                  <w:rFonts w:ascii="Arial" w:cs="Arial" w:eastAsia="Arial" w:hAnsi="Arial"/>
                  <w:sz w:val="18"/>
                  <w:szCs w:val="18"/>
                  <w:color w:val="auto"/>
                  <w:w w:val="98"/>
                </w:rPr>
                <w:t>Market for Registrant’s Common Equity, Related Shareholder Matters and Issuer Purchases of Equity Securities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48">
              <w:r>
                <w:rPr>
                  <w:rFonts w:ascii="Arial" w:cs="Arial" w:eastAsia="Arial" w:hAnsi="Arial"/>
                  <w:sz w:val="18"/>
                  <w:szCs w:val="18"/>
                  <w:color w:val="1335FF"/>
                </w:rPr>
                <w:t>45</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50">
              <w:r>
                <w:rPr>
                  <w:rFonts w:ascii="Arial" w:cs="Arial" w:eastAsia="Arial" w:hAnsi="Arial"/>
                  <w:sz w:val="18"/>
                  <w:szCs w:val="18"/>
                  <w:color w:val="auto"/>
                </w:rPr>
                <w:t>Item 6.</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Selected Financial Data</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50">
              <w:r>
                <w:rPr>
                  <w:rFonts w:ascii="Arial" w:cs="Arial" w:eastAsia="Arial" w:hAnsi="Arial"/>
                  <w:sz w:val="18"/>
                  <w:szCs w:val="18"/>
                  <w:color w:val="1335FF"/>
                </w:rPr>
                <w:t>47</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52">
              <w:r>
                <w:rPr>
                  <w:rFonts w:ascii="Arial" w:cs="Arial" w:eastAsia="Arial" w:hAnsi="Arial"/>
                  <w:sz w:val="18"/>
                  <w:szCs w:val="18"/>
                  <w:color w:val="auto"/>
                </w:rPr>
                <w:t>Item 7.</w:t>
              </w:r>
            </w:hyperlink>
          </w:p>
        </w:tc>
        <w:tc>
          <w:tcPr>
            <w:tcW w:w="8820" w:type="dxa"/>
            <w:vAlign w:val="bottom"/>
          </w:tcPr>
          <w:p>
            <w:pPr>
              <w:ind w:left="20"/>
              <w:spacing w:after="0"/>
              <w:rPr>
                <w:rFonts w:ascii="Arial" w:cs="Arial" w:eastAsia="Arial" w:hAnsi="Arial"/>
                <w:sz w:val="18"/>
                <w:szCs w:val="18"/>
                <w:color w:val="auto"/>
              </w:rPr>
            </w:pPr>
            <w:hyperlink w:anchor="page52">
              <w:r>
                <w:rPr>
                  <w:rFonts w:ascii="Arial" w:cs="Arial" w:eastAsia="Arial" w:hAnsi="Arial"/>
                  <w:sz w:val="18"/>
                  <w:szCs w:val="18"/>
                  <w:color w:val="auto"/>
                </w:rPr>
                <w:t>Management’s Discussion and Analysis of Financial Condition and Results of Operations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52">
              <w:r>
                <w:rPr>
                  <w:rFonts w:ascii="Arial" w:cs="Arial" w:eastAsia="Arial" w:hAnsi="Arial"/>
                  <w:sz w:val="18"/>
                  <w:szCs w:val="18"/>
                  <w:color w:val="1335FF"/>
                </w:rPr>
                <w:t>49</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78">
              <w:r>
                <w:rPr>
                  <w:rFonts w:ascii="Arial" w:cs="Arial" w:eastAsia="Arial" w:hAnsi="Arial"/>
                  <w:sz w:val="18"/>
                  <w:szCs w:val="18"/>
                  <w:color w:val="auto"/>
                </w:rPr>
                <w:t>Item 7A.</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78">
              <w:r>
                <w:rPr>
                  <w:rFonts w:ascii="Arial" w:cs="Arial" w:eastAsia="Arial" w:hAnsi="Arial"/>
                  <w:sz w:val="18"/>
                  <w:szCs w:val="18"/>
                  <w:color w:val="auto"/>
                </w:rPr>
                <w:t>Quantitative and Qualitative Disclosures About Market Risk</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78">
              <w:r>
                <w:rPr>
                  <w:rFonts w:ascii="Arial" w:cs="Arial" w:eastAsia="Arial" w:hAnsi="Arial"/>
                  <w:sz w:val="18"/>
                  <w:szCs w:val="18"/>
                  <w:color w:val="1335FF"/>
                </w:rPr>
                <w:t>75</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78">
              <w:r>
                <w:rPr>
                  <w:rFonts w:ascii="Arial" w:cs="Arial" w:eastAsia="Arial" w:hAnsi="Arial"/>
                  <w:sz w:val="18"/>
                  <w:szCs w:val="18"/>
                  <w:color w:val="auto"/>
                </w:rPr>
                <w:t>Item 8.</w:t>
              </w:r>
            </w:hyperlink>
          </w:p>
        </w:tc>
        <w:tc>
          <w:tcPr>
            <w:tcW w:w="8820" w:type="dxa"/>
            <w:vAlign w:val="bottom"/>
          </w:tcPr>
          <w:p>
            <w:pPr>
              <w:ind w:left="20"/>
              <w:spacing w:after="0"/>
              <w:rPr>
                <w:rFonts w:ascii="Arial" w:cs="Arial" w:eastAsia="Arial" w:hAnsi="Arial"/>
                <w:sz w:val="18"/>
                <w:szCs w:val="18"/>
                <w:color w:val="auto"/>
              </w:rPr>
            </w:pPr>
            <w:hyperlink w:anchor="page78">
              <w:r>
                <w:rPr>
                  <w:rFonts w:ascii="Arial" w:cs="Arial" w:eastAsia="Arial" w:hAnsi="Arial"/>
                  <w:sz w:val="18"/>
                  <w:szCs w:val="18"/>
                  <w:color w:val="auto"/>
                </w:rPr>
                <w:t>Financial Statements and Supplementary Data</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78">
              <w:r>
                <w:rPr>
                  <w:rFonts w:ascii="Arial" w:cs="Arial" w:eastAsia="Arial" w:hAnsi="Arial"/>
                  <w:sz w:val="18"/>
                  <w:szCs w:val="18"/>
                  <w:color w:val="1335FF"/>
                </w:rPr>
                <w:t>75</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78">
              <w:r>
                <w:rPr>
                  <w:rFonts w:ascii="Arial" w:cs="Arial" w:eastAsia="Arial" w:hAnsi="Arial"/>
                  <w:sz w:val="18"/>
                  <w:szCs w:val="18"/>
                  <w:color w:val="auto"/>
                </w:rPr>
                <w:t>Item 9.</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78">
              <w:r>
                <w:rPr>
                  <w:rFonts w:ascii="Arial" w:cs="Arial" w:eastAsia="Arial" w:hAnsi="Arial"/>
                  <w:sz w:val="18"/>
                  <w:szCs w:val="18"/>
                  <w:color w:val="auto"/>
                </w:rPr>
                <w:t>Changes in and Disagreements with Accountants on Accounting and Financial Disclosure</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78">
              <w:r>
                <w:rPr>
                  <w:rFonts w:ascii="Arial" w:cs="Arial" w:eastAsia="Arial" w:hAnsi="Arial"/>
                  <w:sz w:val="18"/>
                  <w:szCs w:val="18"/>
                  <w:color w:val="1335FF"/>
                </w:rPr>
                <w:t>75</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78">
              <w:r>
                <w:rPr>
                  <w:rFonts w:ascii="Arial" w:cs="Arial" w:eastAsia="Arial" w:hAnsi="Arial"/>
                  <w:sz w:val="18"/>
                  <w:szCs w:val="18"/>
                  <w:color w:val="auto"/>
                </w:rPr>
                <w:t>Item 9A.</w:t>
              </w:r>
            </w:hyperlink>
          </w:p>
        </w:tc>
        <w:tc>
          <w:tcPr>
            <w:tcW w:w="8820" w:type="dxa"/>
            <w:vAlign w:val="bottom"/>
          </w:tcPr>
          <w:p>
            <w:pPr>
              <w:ind w:left="20"/>
              <w:spacing w:after="0"/>
              <w:rPr>
                <w:rFonts w:ascii="Arial" w:cs="Arial" w:eastAsia="Arial" w:hAnsi="Arial"/>
                <w:sz w:val="18"/>
                <w:szCs w:val="18"/>
                <w:color w:val="auto"/>
              </w:rPr>
            </w:pPr>
            <w:hyperlink w:anchor="page78">
              <w:r>
                <w:rPr>
                  <w:rFonts w:ascii="Arial" w:cs="Arial" w:eastAsia="Arial" w:hAnsi="Arial"/>
                  <w:sz w:val="18"/>
                  <w:szCs w:val="18"/>
                  <w:color w:val="auto"/>
                </w:rPr>
                <w:t>Controls and Procedures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78">
              <w:r>
                <w:rPr>
                  <w:rFonts w:ascii="Arial" w:cs="Arial" w:eastAsia="Arial" w:hAnsi="Arial"/>
                  <w:sz w:val="18"/>
                  <w:szCs w:val="18"/>
                  <w:color w:val="1335FF"/>
                </w:rPr>
                <w:t>75</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79">
              <w:r>
                <w:rPr>
                  <w:rFonts w:ascii="Arial" w:cs="Arial" w:eastAsia="Arial" w:hAnsi="Arial"/>
                  <w:sz w:val="18"/>
                  <w:szCs w:val="18"/>
                  <w:color w:val="auto"/>
                </w:rPr>
                <w:t>Item 9B.</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79">
              <w:r>
                <w:rPr>
                  <w:rFonts w:ascii="Arial" w:cs="Arial" w:eastAsia="Arial" w:hAnsi="Arial"/>
                  <w:sz w:val="18"/>
                  <w:szCs w:val="18"/>
                  <w:color w:val="auto"/>
                </w:rPr>
                <w:t>Other Information</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79">
              <w:r>
                <w:rPr>
                  <w:rFonts w:ascii="Arial" w:cs="Arial" w:eastAsia="Arial" w:hAnsi="Arial"/>
                  <w:sz w:val="18"/>
                  <w:szCs w:val="18"/>
                  <w:color w:val="1335FF"/>
                </w:rPr>
                <w:t>76</w:t>
              </w:r>
            </w:hyperlink>
          </w:p>
        </w:tc>
      </w:tr>
      <w:tr>
        <w:trPr>
          <w:trHeight w:val="270"/>
        </w:trPr>
        <w:tc>
          <w:tcPr>
            <w:tcW w:w="1160" w:type="dxa"/>
            <w:vAlign w:val="bottom"/>
          </w:tcPr>
          <w:p>
            <w:pPr>
              <w:spacing w:after="0"/>
              <w:rPr>
                <w:sz w:val="23"/>
                <w:szCs w:val="23"/>
                <w:color w:val="auto"/>
              </w:rPr>
            </w:pPr>
          </w:p>
        </w:tc>
        <w:tc>
          <w:tcPr>
            <w:tcW w:w="8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80">
              <w:r>
                <w:rPr>
                  <w:rFonts w:ascii="Arial" w:cs="Arial" w:eastAsia="Arial" w:hAnsi="Arial"/>
                  <w:sz w:val="18"/>
                  <w:szCs w:val="18"/>
                  <w:color w:val="auto"/>
                </w:rPr>
                <w:t>PART III</w:t>
              </w:r>
            </w:hyperlink>
          </w:p>
        </w:tc>
        <w:tc>
          <w:tcPr>
            <w:tcW w:w="8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tcPr>
          <w:p>
            <w:pPr>
              <w:ind w:left="180"/>
              <w:spacing w:after="0"/>
              <w:rPr>
                <w:rFonts w:ascii="Arial" w:cs="Arial" w:eastAsia="Arial" w:hAnsi="Arial"/>
                <w:sz w:val="18"/>
                <w:szCs w:val="18"/>
                <w:color w:val="auto"/>
              </w:rPr>
            </w:pPr>
            <w:hyperlink w:anchor="page80">
              <w:r>
                <w:rPr>
                  <w:rFonts w:ascii="Arial" w:cs="Arial" w:eastAsia="Arial" w:hAnsi="Arial"/>
                  <w:sz w:val="18"/>
                  <w:szCs w:val="18"/>
                  <w:color w:val="auto"/>
                </w:rPr>
                <w:t>Item 10.</w:t>
              </w:r>
            </w:hyperlink>
          </w:p>
        </w:tc>
        <w:tc>
          <w:tcPr>
            <w:tcW w:w="8820" w:type="dxa"/>
            <w:vAlign w:val="bottom"/>
          </w:tcPr>
          <w:p>
            <w:pPr>
              <w:ind w:left="20"/>
              <w:spacing w:after="0"/>
              <w:rPr>
                <w:rFonts w:ascii="Arial" w:cs="Arial" w:eastAsia="Arial" w:hAnsi="Arial"/>
                <w:sz w:val="18"/>
                <w:szCs w:val="18"/>
                <w:color w:val="auto"/>
              </w:rPr>
            </w:pPr>
            <w:hyperlink w:anchor="page80">
              <w:r>
                <w:rPr>
                  <w:rFonts w:ascii="Arial" w:cs="Arial" w:eastAsia="Arial" w:hAnsi="Arial"/>
                  <w:sz w:val="18"/>
                  <w:szCs w:val="18"/>
                  <w:color w:val="auto"/>
                </w:rPr>
                <w:t>Directors, Executive Officers and Corporate Governance</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80">
              <w:r>
                <w:rPr>
                  <w:rFonts w:ascii="Arial" w:cs="Arial" w:eastAsia="Arial" w:hAnsi="Arial"/>
                  <w:sz w:val="18"/>
                  <w:szCs w:val="18"/>
                  <w:color w:val="1335FF"/>
                </w:rPr>
                <w:t>77</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80">
              <w:r>
                <w:rPr>
                  <w:rFonts w:ascii="Arial" w:cs="Arial" w:eastAsia="Arial" w:hAnsi="Arial"/>
                  <w:sz w:val="18"/>
                  <w:szCs w:val="18"/>
                  <w:color w:val="auto"/>
                </w:rPr>
                <w:t>Item 11.</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80">
              <w:r>
                <w:rPr>
                  <w:rFonts w:ascii="Arial" w:cs="Arial" w:eastAsia="Arial" w:hAnsi="Arial"/>
                  <w:sz w:val="18"/>
                  <w:szCs w:val="18"/>
                  <w:color w:val="auto"/>
                </w:rPr>
                <w:t>Executive Compensation</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80">
              <w:r>
                <w:rPr>
                  <w:rFonts w:ascii="Arial" w:cs="Arial" w:eastAsia="Arial" w:hAnsi="Arial"/>
                  <w:sz w:val="18"/>
                  <w:szCs w:val="18"/>
                  <w:color w:val="1335FF"/>
                </w:rPr>
                <w:t>77</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80">
              <w:r>
                <w:rPr>
                  <w:rFonts w:ascii="Arial" w:cs="Arial" w:eastAsia="Arial" w:hAnsi="Arial"/>
                  <w:sz w:val="18"/>
                  <w:szCs w:val="18"/>
                  <w:color w:val="auto"/>
                </w:rPr>
                <w:t>Item 12.</w:t>
              </w:r>
            </w:hyperlink>
          </w:p>
        </w:tc>
        <w:tc>
          <w:tcPr>
            <w:tcW w:w="8820" w:type="dxa"/>
            <w:vAlign w:val="bottom"/>
          </w:tcPr>
          <w:p>
            <w:pPr>
              <w:ind w:left="20"/>
              <w:spacing w:after="0"/>
              <w:rPr>
                <w:rFonts w:ascii="Arial" w:cs="Arial" w:eastAsia="Arial" w:hAnsi="Arial"/>
                <w:sz w:val="18"/>
                <w:szCs w:val="18"/>
                <w:color w:val="auto"/>
              </w:rPr>
            </w:pPr>
            <w:hyperlink w:anchor="page80">
              <w:r>
                <w:rPr>
                  <w:rFonts w:ascii="Arial" w:cs="Arial" w:eastAsia="Arial" w:hAnsi="Arial"/>
                  <w:sz w:val="18"/>
                  <w:szCs w:val="18"/>
                  <w:color w:val="auto"/>
                </w:rPr>
                <w:t>Security Ownership of Certain Beneficial Owners and Management and Related Shareholder Matters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80">
              <w:r>
                <w:rPr>
                  <w:rFonts w:ascii="Arial" w:cs="Arial" w:eastAsia="Arial" w:hAnsi="Arial"/>
                  <w:sz w:val="18"/>
                  <w:szCs w:val="18"/>
                  <w:color w:val="1335FF"/>
                </w:rPr>
                <w:t>77</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80">
              <w:r>
                <w:rPr>
                  <w:rFonts w:ascii="Arial" w:cs="Arial" w:eastAsia="Arial" w:hAnsi="Arial"/>
                  <w:sz w:val="18"/>
                  <w:szCs w:val="18"/>
                  <w:color w:val="auto"/>
                </w:rPr>
                <w:t>Item 13.</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80">
              <w:r>
                <w:rPr>
                  <w:rFonts w:ascii="Arial" w:cs="Arial" w:eastAsia="Arial" w:hAnsi="Arial"/>
                  <w:sz w:val="18"/>
                  <w:szCs w:val="18"/>
                  <w:color w:val="auto"/>
                </w:rPr>
                <w:t>Certain Relationships and Related Transactions, and Director Independence</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80">
              <w:r>
                <w:rPr>
                  <w:rFonts w:ascii="Arial" w:cs="Arial" w:eastAsia="Arial" w:hAnsi="Arial"/>
                  <w:sz w:val="18"/>
                  <w:szCs w:val="18"/>
                  <w:color w:val="1335FF"/>
                </w:rPr>
                <w:t>77</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80">
              <w:r>
                <w:rPr>
                  <w:rFonts w:ascii="Arial" w:cs="Arial" w:eastAsia="Arial" w:hAnsi="Arial"/>
                  <w:sz w:val="18"/>
                  <w:szCs w:val="18"/>
                  <w:color w:val="auto"/>
                </w:rPr>
                <w:t>Item 14.</w:t>
              </w:r>
            </w:hyperlink>
          </w:p>
        </w:tc>
        <w:tc>
          <w:tcPr>
            <w:tcW w:w="8820" w:type="dxa"/>
            <w:vAlign w:val="bottom"/>
          </w:tcPr>
          <w:p>
            <w:pPr>
              <w:ind w:left="20"/>
              <w:spacing w:after="0"/>
              <w:rPr>
                <w:rFonts w:ascii="Arial" w:cs="Arial" w:eastAsia="Arial" w:hAnsi="Arial"/>
                <w:sz w:val="18"/>
                <w:szCs w:val="18"/>
                <w:color w:val="auto"/>
              </w:rPr>
            </w:pPr>
            <w:hyperlink w:anchor="page80">
              <w:r>
                <w:rPr>
                  <w:rFonts w:ascii="Arial" w:cs="Arial" w:eastAsia="Arial" w:hAnsi="Arial"/>
                  <w:sz w:val="18"/>
                  <w:szCs w:val="18"/>
                  <w:color w:val="auto"/>
                </w:rPr>
                <w:t>Principal Accounting Fees and Services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80">
              <w:r>
                <w:rPr>
                  <w:rFonts w:ascii="Arial" w:cs="Arial" w:eastAsia="Arial" w:hAnsi="Arial"/>
                  <w:sz w:val="18"/>
                  <w:szCs w:val="18"/>
                  <w:color w:val="1335FF"/>
                </w:rPr>
                <w:t>77</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160" w:type="dxa"/>
            <w:vAlign w:val="bottom"/>
            <w:shd w:val="clear" w:color="auto" w:fill="CCEEFF"/>
          </w:tcPr>
          <w:p>
            <w:pPr>
              <w:spacing w:after="0"/>
              <w:rPr>
                <w:sz w:val="23"/>
                <w:szCs w:val="23"/>
                <w:color w:val="auto"/>
              </w:rPr>
            </w:pPr>
          </w:p>
        </w:tc>
        <w:tc>
          <w:tcPr>
            <w:tcW w:w="88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1160" w:type="dxa"/>
            <w:vAlign w:val="bottom"/>
          </w:tcPr>
          <w:p>
            <w:pPr>
              <w:ind w:left="40"/>
              <w:spacing w:after="0"/>
              <w:rPr>
                <w:rFonts w:ascii="Arial" w:cs="Arial" w:eastAsia="Arial" w:hAnsi="Arial"/>
                <w:sz w:val="18"/>
                <w:szCs w:val="18"/>
                <w:color w:val="auto"/>
              </w:rPr>
            </w:pPr>
            <w:hyperlink w:anchor="page81">
              <w:r>
                <w:rPr>
                  <w:rFonts w:ascii="Arial" w:cs="Arial" w:eastAsia="Arial" w:hAnsi="Arial"/>
                  <w:sz w:val="18"/>
                  <w:szCs w:val="18"/>
                  <w:color w:val="auto"/>
                </w:rPr>
                <w:t>PART IV</w:t>
              </w:r>
            </w:hyperlink>
          </w:p>
        </w:tc>
        <w:tc>
          <w:tcPr>
            <w:tcW w:w="8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81">
              <w:r>
                <w:rPr>
                  <w:rFonts w:ascii="Arial" w:cs="Arial" w:eastAsia="Arial" w:hAnsi="Arial"/>
                  <w:sz w:val="18"/>
                  <w:szCs w:val="18"/>
                  <w:color w:val="auto"/>
                </w:rPr>
                <w:t>Item 15.</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81">
              <w:r>
                <w:rPr>
                  <w:rFonts w:ascii="Arial" w:cs="Arial" w:eastAsia="Arial" w:hAnsi="Arial"/>
                  <w:sz w:val="18"/>
                  <w:szCs w:val="18"/>
                  <w:color w:val="auto"/>
                </w:rPr>
                <w:t>Exhibits, Financial Statement Schedules</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81">
              <w:r>
                <w:rPr>
                  <w:rFonts w:ascii="Arial" w:cs="Arial" w:eastAsia="Arial" w:hAnsi="Arial"/>
                  <w:sz w:val="18"/>
                  <w:szCs w:val="18"/>
                  <w:color w:val="1335FF"/>
                </w:rPr>
                <w:t>78</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84">
              <w:r>
                <w:rPr>
                  <w:rFonts w:ascii="Arial" w:cs="Arial" w:eastAsia="Arial" w:hAnsi="Arial"/>
                  <w:sz w:val="18"/>
                  <w:szCs w:val="18"/>
                  <w:color w:val="auto"/>
                </w:rPr>
                <w:t>Item 16.</w:t>
              </w:r>
            </w:hyperlink>
          </w:p>
        </w:tc>
        <w:tc>
          <w:tcPr>
            <w:tcW w:w="8820" w:type="dxa"/>
            <w:vAlign w:val="bottom"/>
          </w:tcPr>
          <w:p>
            <w:pPr>
              <w:ind w:left="20"/>
              <w:spacing w:after="0"/>
              <w:rPr>
                <w:rFonts w:ascii="Arial" w:cs="Arial" w:eastAsia="Arial" w:hAnsi="Arial"/>
                <w:sz w:val="18"/>
                <w:szCs w:val="18"/>
                <w:color w:val="auto"/>
              </w:rPr>
            </w:pPr>
            <w:hyperlink w:anchor="page84">
              <w:r>
                <w:rPr>
                  <w:rFonts w:ascii="Arial" w:cs="Arial" w:eastAsia="Arial" w:hAnsi="Arial"/>
                  <w:sz w:val="18"/>
                  <w:szCs w:val="18"/>
                  <w:color w:val="auto"/>
                </w:rPr>
                <w:t>Form 10-K Summary</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84">
              <w:r>
                <w:rPr>
                  <w:rFonts w:ascii="Arial" w:cs="Arial" w:eastAsia="Arial" w:hAnsi="Arial"/>
                  <w:sz w:val="18"/>
                  <w:szCs w:val="18"/>
                  <w:color w:val="1335FF"/>
                </w:rPr>
                <w:t>81</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160" w:type="dxa"/>
            <w:vAlign w:val="bottom"/>
            <w:shd w:val="clear" w:color="auto" w:fill="CCEEFF"/>
          </w:tcPr>
          <w:p>
            <w:pPr>
              <w:spacing w:after="0"/>
              <w:rPr>
                <w:sz w:val="23"/>
                <w:szCs w:val="23"/>
                <w:color w:val="auto"/>
              </w:rPr>
            </w:pPr>
          </w:p>
        </w:tc>
        <w:tc>
          <w:tcPr>
            <w:tcW w:w="88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1160" w:type="dxa"/>
            <w:vAlign w:val="bottom"/>
          </w:tcPr>
          <w:p>
            <w:pPr>
              <w:ind w:left="40"/>
              <w:spacing w:after="0"/>
              <w:rPr>
                <w:rFonts w:ascii="Arial" w:cs="Arial" w:eastAsia="Arial" w:hAnsi="Arial"/>
                <w:sz w:val="18"/>
                <w:szCs w:val="18"/>
                <w:color w:val="auto"/>
                <w:w w:val="93"/>
              </w:rPr>
            </w:pPr>
            <w:hyperlink w:anchor="page85">
              <w:r>
                <w:rPr>
                  <w:rFonts w:ascii="Arial" w:cs="Arial" w:eastAsia="Arial" w:hAnsi="Arial"/>
                  <w:sz w:val="18"/>
                  <w:szCs w:val="18"/>
                  <w:color w:val="auto"/>
                  <w:w w:val="93"/>
                </w:rPr>
                <w:t>SIGNATURES</w:t>
              </w:r>
            </w:hyperlink>
          </w:p>
        </w:tc>
        <w:tc>
          <w:tcPr>
            <w:tcW w:w="8820" w:type="dxa"/>
            <w:vAlign w:val="bottom"/>
          </w:tcPr>
          <w:p>
            <w:pPr>
              <w:spacing w:after="0"/>
              <w:rPr>
                <w:sz w:val="21"/>
                <w:szCs w:val="21"/>
                <w:color w:val="auto"/>
              </w:rPr>
            </w:pPr>
          </w:p>
        </w:tc>
        <w:tc>
          <w:tcPr>
            <w:tcW w:w="1440" w:type="dxa"/>
            <w:vAlign w:val="bottom"/>
            <w:gridSpan w:val="3"/>
          </w:tcPr>
          <w:p>
            <w:pPr>
              <w:jc w:val="right"/>
              <w:ind w:right="20"/>
              <w:spacing w:after="0"/>
              <w:rPr>
                <w:rFonts w:ascii="Arial" w:cs="Arial" w:eastAsia="Arial" w:hAnsi="Arial"/>
                <w:sz w:val="18"/>
                <w:szCs w:val="18"/>
                <w:color w:val="1335FF"/>
              </w:rPr>
            </w:pPr>
            <w:hyperlink w:anchor="page85">
              <w:r>
                <w:rPr>
                  <w:rFonts w:ascii="Arial" w:cs="Arial" w:eastAsia="Arial" w:hAnsi="Arial"/>
                  <w:sz w:val="18"/>
                  <w:szCs w:val="18"/>
                  <w:color w:val="1335FF"/>
                </w:rPr>
                <w:t>82</w:t>
              </w:r>
            </w:hyperlink>
          </w:p>
        </w:tc>
      </w:tr>
      <w:tr>
        <w:trPr>
          <w:trHeight w:val="27"/>
        </w:trPr>
        <w:tc>
          <w:tcPr>
            <w:tcW w:w="99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9980" w:type="dxa"/>
            <w:vAlign w:val="bottom"/>
            <w:gridSpan w:val="2"/>
            <w:shd w:val="clear" w:color="auto" w:fill="CCEEFF"/>
          </w:tcPr>
          <w:p>
            <w:pPr>
              <w:ind w:left="40"/>
              <w:spacing w:after="0"/>
              <w:rPr>
                <w:rFonts w:ascii="Arial" w:cs="Arial" w:eastAsia="Arial" w:hAnsi="Arial"/>
                <w:sz w:val="18"/>
                <w:szCs w:val="18"/>
                <w:color w:val="auto"/>
              </w:rPr>
            </w:pPr>
            <w:hyperlink w:anchor="page86">
              <w:r>
                <w:rPr>
                  <w:rFonts w:ascii="Arial" w:cs="Arial" w:eastAsia="Arial" w:hAnsi="Arial"/>
                  <w:sz w:val="18"/>
                  <w:szCs w:val="18"/>
                  <w:color w:val="auto"/>
                </w:rPr>
                <w:t>INDEX TO CONSOLIDATED FINANCIAL STATEMENTS</w:t>
              </w:r>
            </w:hyperlink>
          </w:p>
        </w:tc>
        <w:tc>
          <w:tcPr>
            <w:tcW w:w="1440" w:type="dxa"/>
            <w:vAlign w:val="bottom"/>
            <w:gridSpan w:val="3"/>
            <w:shd w:val="clear" w:color="auto" w:fill="CCEEFF"/>
          </w:tcPr>
          <w:p>
            <w:pPr>
              <w:jc w:val="right"/>
              <w:ind w:right="20"/>
              <w:spacing w:after="0"/>
              <w:rPr>
                <w:rFonts w:ascii="Arial" w:cs="Arial" w:eastAsia="Arial" w:hAnsi="Arial"/>
                <w:sz w:val="18"/>
                <w:szCs w:val="18"/>
                <w:color w:val="1335FF"/>
              </w:rPr>
            </w:pPr>
            <w:hyperlink w:anchor="page86">
              <w:r>
                <w:rPr>
                  <w:rFonts w:ascii="Arial" w:cs="Arial" w:eastAsia="Arial" w:hAnsi="Arial"/>
                  <w:sz w:val="18"/>
                  <w:szCs w:val="18"/>
                  <w:color w:val="1335FF"/>
                </w:rPr>
                <w:t>83</w:t>
              </w:r>
            </w:hyperlink>
          </w:p>
        </w:tc>
      </w:tr>
      <w:tr>
        <w:trPr>
          <w:trHeight w:val="27"/>
        </w:trPr>
        <w:tc>
          <w:tcPr>
            <w:tcW w:w="1160" w:type="dxa"/>
            <w:vAlign w:val="bottom"/>
            <w:shd w:val="clear" w:color="auto" w:fill="CCEEFF"/>
          </w:tcPr>
          <w:p>
            <w:pPr>
              <w:spacing w:after="0"/>
              <w:rPr>
                <w:sz w:val="2"/>
                <w:szCs w:val="2"/>
                <w:color w:val="auto"/>
              </w:rPr>
            </w:pPr>
          </w:p>
        </w:tc>
        <w:tc>
          <w:tcPr>
            <w:tcW w:w="8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firstLine="135"/>
        <w:spacing w:after="0" w:line="276" w:lineRule="auto"/>
        <w:rPr>
          <w:sz w:val="20"/>
          <w:szCs w:val="20"/>
          <w:color w:val="auto"/>
        </w:rPr>
      </w:pPr>
      <w:r>
        <w:rPr>
          <w:rFonts w:ascii="Arial" w:cs="Arial" w:eastAsia="Arial" w:hAnsi="Arial"/>
          <w:sz w:val="17"/>
          <w:szCs w:val="17"/>
          <w:i w:val="1"/>
          <w:iCs w:val="1"/>
          <w:color w:val="auto"/>
        </w:rPr>
        <w:t>This annual report on Form 10-K (annual report) contains certain “forward-looking statements" within the meaning of Section 27A of the Securities Act of 1933 (the Securities Act) and Section 21E of the Securities Exchange Act of 1934 (the Exchange Act). Actual results could differ materially from those projected in the forward-looking statements as a result of a number of important factors. For a discussion of known material factors that could affect our results, please refer to “Part I, Item 1. Business,” “Part I, Item 1A. Risk Factors,” “Part II, Item 7. Management's Discussion and Analysis of Financial Condition and Results of Operations” and “Part II, Item 7A. Quantitative and Qualitative Disclosures about Market Risk” of this annual report.</w:t>
      </w:r>
    </w:p>
    <w:p>
      <w:pPr>
        <w:spacing w:after="0" w:line="173"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i w:val="1"/>
          <w:iCs w:val="1"/>
          <w:color w:val="auto"/>
        </w:rPr>
        <w:t>In addition, in certain places in this annual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459"/>
        <w:spacing w:after="0" w:line="270" w:lineRule="auto"/>
        <w:rPr>
          <w:sz w:val="20"/>
          <w:szCs w:val="20"/>
          <w:color w:val="auto"/>
        </w:rPr>
      </w:pPr>
      <w:r>
        <w:rPr>
          <w:rFonts w:ascii="Arial" w:cs="Arial" w:eastAsia="Arial" w:hAnsi="Arial"/>
          <w:sz w:val="17"/>
          <w:szCs w:val="17"/>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78" w:lineRule="exact"/>
        <w:rPr>
          <w:sz w:val="20"/>
          <w:szCs w:val="20"/>
          <w:color w:val="auto"/>
        </w:rPr>
      </w:pPr>
    </w:p>
    <w:p>
      <w:pPr>
        <w:ind w:right="200" w:firstLine="459"/>
        <w:spacing w:after="0" w:line="259"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us:</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activity, spending and developments in the Canadian oil sands;</w:t>
      </w:r>
    </w:p>
    <w:p>
      <w:pPr>
        <w:spacing w:after="0" w:line="225" w:lineRule="exact"/>
        <w:rPr>
          <w:rFonts w:ascii="Arial" w:cs="Arial" w:eastAsia="Arial" w:hAnsi="Arial"/>
          <w:sz w:val="18"/>
          <w:szCs w:val="18"/>
          <w:color w:val="auto"/>
        </w:rPr>
      </w:pPr>
    </w:p>
    <w:p>
      <w:pPr>
        <w:ind w:left="660" w:right="3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spacing w:after="0" w:line="14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plans or otherwise achieve our forecasts and other expectations with respect to our 2018 acquisition of Noralta Lodge Ltd. and to realize the anticipated synergies and cost savings in the time frame anticipated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and investments and opportunities in, Australia;</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natural gas, iron ore and other minerals;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3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weather conditions, natural disasters and security threats;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retain skilled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 of capital, including the ability to access the debt and equity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new projects, including whether such projects will continue in the future;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identified in Item 1A. - "Risk Factors" of this annual report.</w:t>
      </w:r>
    </w:p>
    <w:p>
      <w:pPr>
        <w:spacing w:after="0" w:line="225" w:lineRule="exact"/>
        <w:rPr>
          <w:sz w:val="20"/>
          <w:szCs w:val="20"/>
          <w:color w:val="auto"/>
        </w:rPr>
      </w:pPr>
    </w:p>
    <w:p>
      <w:pPr>
        <w:ind w:right="380" w:firstLine="459"/>
        <w:spacing w:after="0" w:line="277" w:lineRule="auto"/>
        <w:rPr>
          <w:sz w:val="20"/>
          <w:szCs w:val="20"/>
          <w:color w:val="auto"/>
        </w:rPr>
      </w:pPr>
      <w:r>
        <w:rPr>
          <w:rFonts w:ascii="Arial" w:cs="Arial" w:eastAsia="Arial" w:hAnsi="Arial"/>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70"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We maintain a website with the address of www.civeo.com. We are not including the information contained on our website as a part of, or incorporating it by reference into, this annual report. We make available free of charge through our website our Annual Report on Form 10-K, quarterly reports on Form 10-Q and current reports on Form 8-K, and amendments to these reports, as soon as reasonably practicable after we electronically file such material with, or furnish such material to, the Securities and Exchange Commission (the Commission). Also, these filings are available on the Internet at www.sec.gov and free of charge upon written request to our corporate secretary at the address shown on the cover page of this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firstLine="459"/>
        <w:spacing w:after="0" w:line="290" w:lineRule="auto"/>
        <w:rPr>
          <w:sz w:val="20"/>
          <w:szCs w:val="20"/>
          <w:color w:val="auto"/>
        </w:rPr>
      </w:pPr>
      <w:r>
        <w:rPr>
          <w:rFonts w:ascii="Arial" w:cs="Arial" w:eastAsia="Arial" w:hAnsi="Arial"/>
          <w:sz w:val="16"/>
          <w:szCs w:val="16"/>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group logistics. We also offer development activities for workforce accommodation facilities, including site selection, permitting, engineering and design, manufacturing management and site construction, along with providing hospitality services once the facility is constructed. We operate in some of the world’s most active oil, coal and iron ore producing regions, and our customers include major and independent oil companies, mining companies and oilfield and mining service companies. Our extensive suite of services enables us to meet the unique needs of each of our customers, while providing comfortable accommodations for their employees.</w:t>
      </w:r>
    </w:p>
    <w:p>
      <w:pPr>
        <w:spacing w:after="0" w:line="166" w:lineRule="exact"/>
        <w:rPr>
          <w:sz w:val="20"/>
          <w:szCs w:val="20"/>
          <w:color w:val="auto"/>
        </w:rPr>
      </w:pPr>
    </w:p>
    <w:p>
      <w:pPr>
        <w:jc w:val="both"/>
        <w:ind w:right="240" w:firstLine="459"/>
        <w:spacing w:after="0" w:line="286" w:lineRule="auto"/>
        <w:rPr>
          <w:sz w:val="20"/>
          <w:szCs w:val="20"/>
          <w:color w:val="auto"/>
        </w:rPr>
      </w:pPr>
      <w:r>
        <w:rPr>
          <w:rFonts w:ascii="Arial" w:cs="Arial" w:eastAsia="Arial" w:hAnsi="Arial"/>
          <w:sz w:val="17"/>
          <w:szCs w:val="17"/>
          <w:color w:val="auto"/>
        </w:rPr>
        <w:t>Our Company is built on the foundation of the following core values: Safety, Care, Excellence, Integrity and Collaboration. We put the safety of our employees and guests above all other concerns. We care about our people, guests, customers, communities and the environment, and we deliver excellent service with passion and pride. We act with integrity and collaborate with our people, communities, customers and partners.</w:t>
      </w:r>
    </w:p>
    <w:p>
      <w:pPr>
        <w:spacing w:after="0" w:line="166" w:lineRule="exact"/>
        <w:rPr>
          <w:sz w:val="20"/>
          <w:szCs w:val="20"/>
          <w:color w:val="auto"/>
        </w:rPr>
      </w:pPr>
    </w:p>
    <w:p>
      <w:pPr>
        <w:ind w:right="120" w:firstLine="501"/>
        <w:spacing w:after="0" w:line="272" w:lineRule="auto"/>
        <w:rPr>
          <w:sz w:val="20"/>
          <w:szCs w:val="20"/>
          <w:color w:val="auto"/>
        </w:rPr>
      </w:pPr>
      <w:r>
        <w:rPr>
          <w:rFonts w:ascii="Arial" w:cs="Arial" w:eastAsia="Arial" w:hAnsi="Arial"/>
          <w:sz w:val="17"/>
          <w:szCs w:val="17"/>
          <w:color w:val="auto"/>
        </w:rPr>
        <w:t>We provide hospitality services that span the lifecycle of customer projects, from the initial exploration and resource delineation to long-term production. Initially, as customers assess the resource potential and determine how they will develop it, they typically need our hospitality services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fleet of mobile accommodation assets, particularly for shorter term projects such as pipeline construction and seasonal drilling programs, or our scalable lodge or village model, as well as serve guests in customer-owned facilities. As projects grow and headcount needs increase, we are able to meet our customers growing needs at our accommodations facilities or with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hospitality services. By providing infrastructure support and hospitality services early in the project lifecycle, we are well positioned to continue to service our customers throughout the production phase, which typically lasts decades.</w:t>
      </w:r>
    </w:p>
    <w:p>
      <w:pPr>
        <w:spacing w:after="0" w:line="170" w:lineRule="exact"/>
        <w:rPr>
          <w:sz w:val="20"/>
          <w:szCs w:val="20"/>
          <w:color w:val="auto"/>
        </w:rPr>
      </w:pPr>
    </w:p>
    <w:p>
      <w:pPr>
        <w:ind w:firstLine="459"/>
        <w:spacing w:after="0" w:line="270" w:lineRule="auto"/>
        <w:rPr>
          <w:sz w:val="20"/>
          <w:szCs w:val="20"/>
          <w:color w:val="auto"/>
        </w:rPr>
      </w:pPr>
      <w:r>
        <w:rPr>
          <w:rFonts w:ascii="Arial" w:cs="Arial" w:eastAsia="Arial" w:hAnsi="Arial"/>
          <w:sz w:val="17"/>
          <w:szCs w:val="17"/>
          <w:color w:val="auto"/>
        </w:rPr>
        <w:t>Our scalable facilities provide workforce accommodations where, in many cases, traditional accommodations and related infrastructure are not accessible, sufficient or cost effective. Our hospitality services help facilitate efficient development and production of natural resources found in areas without sufficient housing, infrastructure or local labor. We support the development of these natural resources by providing hospitality services, including lodging, food service, housekeeping, recreation facilities, laundry and facilities management, as well as water and wastewater treatment, power generation, communications and group logistics. Our customers are able to outsource their accommodations needs to a single supplier, maintaining employee welfare and satisfaction while focusing their investment on their core resource production efforts. Our primary focus is on providing these hospitality services to leading natural resource companies at our major properties, which we refer to as lodges in Canada and villages in Australia, or at facilities owned by our customers. We own and operate 33 lodges and villages with an aggregate of more than 33,000 rooms. Additionally, in both Canada and the U.S., we also offer a fleet of mobile accommodation assets. We have long-standing relationships with many of our customers, many of whom are, or are affiliates of, large, investment-grade energy and mining companies.</w:t>
      </w:r>
    </w:p>
    <w:p>
      <w:pPr>
        <w:spacing w:after="0" w:line="178" w:lineRule="exact"/>
        <w:rPr>
          <w:sz w:val="20"/>
          <w:szCs w:val="20"/>
          <w:color w:val="auto"/>
        </w:rPr>
      </w:pPr>
    </w:p>
    <w:p>
      <w:pPr>
        <w:ind w:right="460" w:firstLine="459"/>
        <w:spacing w:after="0" w:line="277" w:lineRule="auto"/>
        <w:rPr>
          <w:sz w:val="20"/>
          <w:szCs w:val="20"/>
          <w:color w:val="auto"/>
        </w:rPr>
      </w:pPr>
      <w:r>
        <w:rPr>
          <w:rFonts w:ascii="Arial" w:cs="Arial" w:eastAsia="Arial" w:hAnsi="Arial"/>
          <w:sz w:val="18"/>
          <w:szCs w:val="18"/>
          <w:color w:val="auto"/>
        </w:rPr>
        <w:t>On April 2, 2018, we completed our acquisition of Noralta Lodge Ltd. (Noralta). Please see Note 7 - Acquisitions to the notes to the consolidated financial statements in Item 8 of this annual report for further discussion.</w:t>
      </w:r>
    </w:p>
    <w:p>
      <w:pPr>
        <w:spacing w:after="0" w:line="170" w:lineRule="exact"/>
        <w:rPr>
          <w:sz w:val="20"/>
          <w:szCs w:val="20"/>
          <w:color w:val="auto"/>
        </w:rPr>
      </w:pPr>
    </w:p>
    <w:p>
      <w:pPr>
        <w:ind w:right="160" w:firstLine="459"/>
        <w:spacing w:after="0" w:line="257" w:lineRule="auto"/>
        <w:rPr>
          <w:sz w:val="20"/>
          <w:szCs w:val="20"/>
          <w:color w:val="auto"/>
        </w:rPr>
      </w:pPr>
      <w:r>
        <w:rPr>
          <w:rFonts w:ascii="Arial" w:cs="Arial" w:eastAsia="Arial" w:hAnsi="Arial"/>
          <w:sz w:val="18"/>
          <w:szCs w:val="18"/>
          <w:color w:val="auto"/>
        </w:rPr>
        <w:t>Demand for our hospitality services is influenced by four primary factors: commodity prices, available infrastructure, headcount requirements and competition. Current commodity prices, and our customers’ expectations for future commodity prices, influence customers’ spending on current productive assets, maintenance on and expansion of existing assets and development of greenfield, brownfield or new assets. In addition to commodity prices, different types of customer activity require varying workforce sizes, influencing the demand for our services. Competing locations and services will also influence demand for our rooms and services.</w:t>
      </w:r>
    </w:p>
    <w:p>
      <w:pPr>
        <w:spacing w:after="0" w:line="188"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color w:val="auto"/>
        </w:rPr>
        <w:t>In the Canadian oil sands region, demand for our hospitality services is influenced by oil prices. Spending on the construction and development of new projects has historically decreased as the outlook for oil prices decreases. However, spending on current operations and maintenance has historically reacted less quickly to changes in oil prices, as customers consider their cash operating costs, rather than overall full-cycle returns. Likewise, construction and expansion projects underway have also been less sensitive to commodity price decreases, as customers generally focus on completion and incremental costs. Natural gas prices also influence oil sands activity as an input cost, so as natural gas prices fall, a significant component of our customers’ operating costs falls as well.</w:t>
      </w:r>
    </w:p>
    <w:p>
      <w:pPr>
        <w:spacing w:after="0" w:line="193" w:lineRule="exact"/>
        <w:rPr>
          <w:sz w:val="20"/>
          <w:szCs w:val="20"/>
          <w:color w:val="auto"/>
        </w:rPr>
      </w:pPr>
    </w:p>
    <w:p>
      <w:pPr>
        <w:ind w:right="300" w:firstLine="459"/>
        <w:spacing w:after="0" w:line="286" w:lineRule="auto"/>
        <w:rPr>
          <w:sz w:val="20"/>
          <w:szCs w:val="20"/>
          <w:color w:val="auto"/>
        </w:rPr>
      </w:pPr>
      <w:r>
        <w:rPr>
          <w:rFonts w:ascii="Arial" w:cs="Arial" w:eastAsia="Arial" w:hAnsi="Arial"/>
          <w:sz w:val="17"/>
          <w:szCs w:val="17"/>
          <w:color w:val="auto"/>
        </w:rPr>
        <w:t>Another factor that influences demand for our hospitality services is the type of customer project we are supporting. Generally, Canadian customers require larger workforces during construction and expansionary periods, and therefore have higher demand for our rooms and services. Operational and maintenance headcounts are typically a fraction, 20-25%, of the headcounts experienced during construction.</w:t>
      </w:r>
    </w:p>
    <w:p>
      <w:pPr>
        <w:spacing w:after="0" w:line="166"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In addition, proximity to customer activity and availability of customer-owned rooms influences the rental demand of our rooms. Typically, customers prefer to first utilize their own rooms on location, and if such customer-owned rooms are insufficient, customers prefer to avoid busing their workforces to housing more than 45 kilometers away.</w:t>
      </w:r>
    </w:p>
    <w:p>
      <w:pPr>
        <w:spacing w:after="0" w:line="181"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A number of multinational energy companies believe there is a potential to export liquefied natural gas (LNG) from Canada to meet the increasing global demand, particularly in Asia, for LNG. We expect that LNG activity in Western Canada will be influenced by the global prices for LNG, which are largely tied to global oil prices, global supply/demand dynamics for LNG and Western Canadian wellhead prices for natural gas. Should our customers or potential customers decide to invest in these LNG projects, demand for hospitality services over the next three years will be driven by (i) the construction of the LNG facilities on the coast of British Columbia and (ii) the construction of the related natural gas pipeline infrastructure across British Columbia. Facility construction will create demand for permanent lodge accommodations and services, while pipeline construction activity will drive demand for mobile camp accommodations.</w:t>
      </w:r>
    </w:p>
    <w:p>
      <w:pPr>
        <w:spacing w:after="0" w:line="189" w:lineRule="exact"/>
        <w:rPr>
          <w:sz w:val="20"/>
          <w:szCs w:val="20"/>
          <w:color w:val="auto"/>
        </w:rPr>
      </w:pPr>
    </w:p>
    <w:p>
      <w:pPr>
        <w:ind w:right="120" w:firstLine="459"/>
        <w:spacing w:after="0" w:line="297" w:lineRule="auto"/>
        <w:rPr>
          <w:sz w:val="20"/>
          <w:szCs w:val="20"/>
          <w:color w:val="auto"/>
        </w:rPr>
      </w:pPr>
      <w:r>
        <w:rPr>
          <w:rFonts w:ascii="Arial" w:cs="Arial" w:eastAsia="Arial" w:hAnsi="Arial"/>
          <w:sz w:val="16"/>
          <w:szCs w:val="16"/>
          <w:color w:val="auto"/>
        </w:rPr>
        <w:t>Currently, Western Canada does not have any operational LNG export facilities. However, on October 1, 2018, LNG Canada (LNGC), a large LNG export project proposed by a joint venture between Shell Canada Energy, an affiliate of Royal Dutch Shell plc (40 percent), and affiliates of PETRONAS, through its wholly-owned entity, North Montney LNG Limited Partnership (25 percent), PetroChina (15 percent), Korea Gas Corporation (5 percent) and Mitsubishi Corporation (15 percent), announced that a positive final investment decision (FID) was reached on the proposed Kitimat liquefaction and export facility in Kitimat, British Columbia (Kitimat LNG Facility). See "Canada-Canadian British Columbia Lodge" for more information.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59"/>
        <w:spacing w:after="0" w:line="287" w:lineRule="auto"/>
        <w:rPr>
          <w:sz w:val="20"/>
          <w:szCs w:val="20"/>
          <w:color w:val="auto"/>
        </w:rPr>
      </w:pPr>
      <w:r>
        <w:rPr>
          <w:rFonts w:ascii="Arial" w:cs="Arial" w:eastAsia="Arial" w:hAnsi="Arial"/>
          <w:sz w:val="16"/>
          <w:szCs w:val="16"/>
          <w:color w:val="auto"/>
        </w:rPr>
        <w:t>Our Australian villages support similar activities as our Canadian lodges for the natural resources industry in Australia. Our customers are typically developing and producing metallurgical (met) coal and other minerals which have resource lives that are measured in decades. As such, their spending levels tend to react similarly to commodity prices as the spending levels of our Canadian customers. Spending on producing assets is less sensitive to commodity price decreases in the short and medium term, assuming the projects remain cash flow positive. However, new construction projects and expansionary projects are typically cancelled or deferred during periods of lower met coal prices. Similar to the Canadian market, new project construction activity typically requires larger workforces than day-to-day operations, where proximity and availability of customer-owned rooms influences the demand for our rooms and services. During the period from mid-year 2012 to mid-year 2016, much of the previous demand for our hospitality services from new construction activity had ceased. Subsequently, our customer service requirements were primarily driven by production, maintenance and operational activities. More recently, we have seen an increase in the number of significant maintenance projects, along with customers initiating projects to optimize their assets. This work has also included some small mine expansion projects. The rise in met coal prices since the fourth quarter of 2016 has improved market sentiment, and we are working closely with our existing and potential customers as they consider capital investment and expansion opportunities in the future. We expect that customers will assess the likelihood of a period of sustained higher prices before committing capital to new projects.</w:t>
      </w:r>
    </w:p>
    <w:p>
      <w:pPr>
        <w:spacing w:after="0" w:line="169" w:lineRule="exact"/>
        <w:rPr>
          <w:sz w:val="20"/>
          <w:szCs w:val="20"/>
          <w:color w:val="auto"/>
        </w:rPr>
      </w:pPr>
    </w:p>
    <w:p>
      <w:pPr>
        <w:ind w:right="20" w:firstLine="459"/>
        <w:spacing w:after="0" w:line="269" w:lineRule="auto"/>
        <w:rPr>
          <w:sz w:val="20"/>
          <w:szCs w:val="20"/>
          <w:color w:val="auto"/>
        </w:rPr>
      </w:pPr>
      <w:r>
        <w:rPr>
          <w:rFonts w:ascii="Arial" w:cs="Arial" w:eastAsia="Arial" w:hAnsi="Arial"/>
          <w:sz w:val="17"/>
          <w:szCs w:val="17"/>
          <w:color w:val="auto"/>
        </w:rPr>
        <w:t>Our U.S. operations are primarily tied to activity in the U.S. shale formations in West Texas, the Bakken, the mid Continent, and the Rockies, as well as activity in the Louisiana downstream and offshore Gulf of Mexico markets. Given the shorter investment horizon and decision cycle of our U.S. customers, typically on a well-by-well basis, spending activities of U.S. customers typically react more quickly to changes in oil and natural gas prices. These spending dynamics were clearly demonstrated over the past six years. With oil prices near $100 per barrel from 2012 to late 2014, drilling and completion activity levels grew. However, as oil prices fell beginning in August 2014, and remained at relatively low levels throughout 2015 and most of 2016, activity in the U.S. reacted swiftly, with the U.S. rig count falling over 50% in six months from its peak in the third quarter of 2014. After staging a significant recovery in 2017, the U.S. rig count was generally stable in 2018, finishing the year at 1,083 rigs. The Permian Basin remains the most active U.S. unconventional play, representing 45% of the rigs in the U.S. market at the end of 2018. Completion activity also grew, with the Permian Basin again seeing the majority of growth in the U.S. market. Unlike the Canadian and Australian markets, headcount requirements for drilling and completion activity are fairly uniform in the U.S. market. Given the U.S. market for accommodations is primarily supported by mobile camp assets, competition is primarily driven by the availability of assets and price.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59"/>
        <w:spacing w:after="0" w:line="255" w:lineRule="auto"/>
        <w:rPr>
          <w:sz w:val="20"/>
          <w:szCs w:val="20"/>
          <w:color w:val="auto"/>
        </w:rPr>
      </w:pPr>
      <w:r>
        <w:rPr>
          <w:rFonts w:ascii="Arial" w:cs="Arial" w:eastAsia="Arial" w:hAnsi="Arial"/>
          <w:sz w:val="18"/>
          <w:szCs w:val="18"/>
          <w:color w:val="auto"/>
        </w:rPr>
        <w:t>For the years ended December 31, 2018, 2017 and 2016, we generated $466.7 million, $382.3 million and $397.2 million in revenues and $88.1 million, $98.0 million and $95.8 million in operating loss, respectively. The majority of our operations, assets and income are derived from the hospitality services provided at our lodges and villages that have historically been contracted by our customers on a take-or-pay basis for periods ranging from several months to three years. The hospitality services we provide at these facilities generate more than 85% of our revenue. Important performance metrics include revenue related to our major properties, aggregate billed rooms and average daily rate. The table below summarizes these key statistics for the periods presented in this annual report.</w:t>
      </w:r>
    </w:p>
    <w:p>
      <w:pPr>
        <w:spacing w:after="0" w:line="140"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37465</wp:posOffset>
            </wp:positionV>
            <wp:extent cx="2967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p>
      <w:pPr>
        <w:ind w:left="7340"/>
        <w:spacing w:after="0"/>
        <w:tabs>
          <w:tab w:leader="none" w:pos="8920" w:val="left"/>
          <w:tab w:leader="none" w:pos="1050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r>
        <w:rPr>
          <w:sz w:val="20"/>
          <w:szCs w:val="20"/>
          <w:color w:val="auto"/>
        </w:rPr>
        <w:tab/>
      </w:r>
      <w:r>
        <w:rPr>
          <w:rFonts w:ascii="Arial" w:cs="Arial" w:eastAsia="Arial" w:hAnsi="Arial"/>
          <w:sz w:val="15"/>
          <w:szCs w:val="15"/>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37465</wp:posOffset>
            </wp:positionV>
            <wp:extent cx="2967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66" w:lineRule="exact"/>
        <w:rPr>
          <w:sz w:val="20"/>
          <w:szCs w:val="20"/>
          <w:color w:val="auto"/>
        </w:rPr>
      </w:pPr>
    </w:p>
    <w:p>
      <w:pPr>
        <w:ind w:left="6960"/>
        <w:spacing w:after="0"/>
        <w:rPr>
          <w:sz w:val="20"/>
          <w:szCs w:val="20"/>
          <w:color w:val="auto"/>
        </w:rPr>
      </w:pPr>
      <w:r>
        <w:rPr>
          <w:rFonts w:ascii="Arial" w:cs="Arial" w:eastAsia="Arial" w:hAnsi="Arial"/>
          <w:sz w:val="15"/>
          <w:szCs w:val="15"/>
          <w:b w:val="1"/>
          <w:bCs w:val="1"/>
          <w:color w:val="auto"/>
        </w:rPr>
        <w:t>(In thousands, except for room counts and average daily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Accommodation Revenue (1)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266,899</w:t>
            </w:r>
          </w:p>
        </w:tc>
        <w:tc>
          <w:tcPr>
            <w:tcW w:w="12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228,062</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238,221</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Australia</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117,896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106,815</w:t>
            </w: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United States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18,288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9,832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3,806</w:t>
            </w: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Total Accommodation Revenue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403,083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348,842</w:t>
            </w:r>
          </w:p>
        </w:tc>
      </w:tr>
      <w:tr>
        <w:trPr>
          <w:trHeight w:val="18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Mobile Facility Rental Revenue (2)</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9,316</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3,935</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9,217</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United States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20,389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6,243</w:t>
            </w:r>
          </w:p>
        </w:tc>
      </w:tr>
      <w:tr>
        <w:trPr>
          <w:trHeight w:val="217"/>
        </w:trPr>
        <w:tc>
          <w:tcPr>
            <w:tcW w:w="20" w:type="dxa"/>
            <w:vAlign w:val="bottom"/>
          </w:tcPr>
          <w:p>
            <w:pPr>
              <w:spacing w:after="0"/>
              <w:rPr>
                <w:sz w:val="18"/>
                <w:szCs w:val="18"/>
                <w:color w:val="auto"/>
              </w:rPr>
            </w:pPr>
          </w:p>
        </w:tc>
        <w:tc>
          <w:tcPr>
            <w:tcW w:w="6720" w:type="dxa"/>
            <w:vAlign w:val="bottom"/>
          </w:tcPr>
          <w:p>
            <w:pPr>
              <w:ind w:left="1340"/>
              <w:spacing w:after="0"/>
              <w:rPr>
                <w:sz w:val="20"/>
                <w:szCs w:val="20"/>
                <w:color w:val="auto"/>
              </w:rPr>
            </w:pPr>
            <w:r>
              <w:rPr>
                <w:rFonts w:ascii="Arial" w:cs="Arial" w:eastAsia="Arial" w:hAnsi="Arial"/>
                <w:sz w:val="16"/>
                <w:szCs w:val="16"/>
                <w:color w:val="auto"/>
              </w:rPr>
              <w:t>Total Mobile Facility Rental Revenue</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29,705</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12,699</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15,460</w:t>
            </w: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6"/>
                <w:szCs w:val="16"/>
                <w:color w:val="auto"/>
              </w:rPr>
              <w:t>Food Service and Other Services Revenue (3)</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14,280</w:t>
            </w: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Australia</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United States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17"/>
        </w:trPr>
        <w:tc>
          <w:tcPr>
            <w:tcW w:w="20" w:type="dxa"/>
            <w:vAlign w:val="bottom"/>
          </w:tcPr>
          <w:p>
            <w:pPr>
              <w:spacing w:after="0"/>
              <w:rPr>
                <w:sz w:val="18"/>
                <w:szCs w:val="18"/>
                <w:color w:val="auto"/>
              </w:rPr>
            </w:pPr>
          </w:p>
        </w:tc>
        <w:tc>
          <w:tcPr>
            <w:tcW w:w="6720" w:type="dxa"/>
            <w:vAlign w:val="bottom"/>
          </w:tcPr>
          <w:p>
            <w:pPr>
              <w:ind w:left="1340"/>
              <w:spacing w:after="0"/>
              <w:rPr>
                <w:sz w:val="20"/>
                <w:szCs w:val="20"/>
                <w:color w:val="auto"/>
              </w:rPr>
            </w:pPr>
            <w:r>
              <w:rPr>
                <w:rFonts w:ascii="Arial" w:cs="Arial" w:eastAsia="Arial" w:hAnsi="Arial"/>
                <w:sz w:val="16"/>
                <w:szCs w:val="16"/>
                <w:color w:val="auto"/>
              </w:rPr>
              <w:t>Total Food Service and Other Services Revenue</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17,113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12,062</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14,366</w:t>
            </w: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6"/>
                <w:szCs w:val="16"/>
                <w:color w:val="auto"/>
              </w:rPr>
              <w:t>Manufacturing Revenue (4)</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16,746</w:t>
            </w: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United States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12,595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6,693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1,816</w:t>
            </w: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Total Manufacturing Revenue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18,562</w:t>
            </w:r>
          </w:p>
        </w:tc>
      </w:tr>
      <w:tr>
        <w:trPr>
          <w:trHeight w:val="183"/>
        </w:trPr>
        <w:tc>
          <w:tcPr>
            <w:tcW w:w="2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466,692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382,276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397,230</w:t>
            </w:r>
          </w:p>
        </w:tc>
      </w:tr>
      <w:tr>
        <w:trPr>
          <w:trHeight w:val="18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Daily Rates for Lodges and Villages (5)</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Australia</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189"/>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Billed Rooms for Lodges and Villages (6)</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3,007,229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2,469,899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2,284,159</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Australia</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1,512,030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1,385,087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1,395,770</w:t>
            </w:r>
          </w:p>
        </w:tc>
      </w:tr>
      <w:tr>
        <w:trPr>
          <w:trHeight w:val="189"/>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Exchange Rate</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Canadian dollar to U.S. dollar</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0.7719</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0.7712</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0.7551</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Australian dollar to U.S. dollar</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0.7480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0.7669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0.7439</w:t>
            </w: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__________</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87" w:lineRule="exact"/>
        <w:rPr>
          <w:sz w:val="20"/>
          <w:szCs w:val="20"/>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revenues related to lodge and village rooms and hospitality services for owned rooms for the periods presented.</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32" w:lineRule="exact"/>
        <w:rPr>
          <w:rFonts w:ascii="Arial" w:cs="Arial" w:eastAsia="Arial" w:hAnsi="Arial"/>
          <w:sz w:val="16"/>
          <w:szCs w:val="16"/>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jc w:val="both"/>
        <w:ind w:right="120" w:firstLine="459"/>
        <w:spacing w:after="0" w:line="255" w:lineRule="auto"/>
        <w:rPr>
          <w:sz w:val="20"/>
          <w:szCs w:val="20"/>
          <w:color w:val="auto"/>
        </w:rPr>
      </w:pPr>
      <w:r>
        <w:rPr>
          <w:rFonts w:ascii="Arial" w:cs="Arial" w:eastAsia="Arial" w:hAnsi="Arial"/>
          <w:sz w:val="18"/>
          <w:szCs w:val="18"/>
          <w:color w:val="auto"/>
        </w:rPr>
        <w:t>Our Canadian operations, founded in 1977, began by providing modular rental housing to energy customers, primarily supporting drilling rig crews in the Western Canadian Sedimentary Basin. Over the next decade, we acquired a food service operation and a manufacturing facility, enabling us to provide a more comprehensive accommodation solution. Through our experience with Syncrude’s Mildred Lake Village, a 2,100 bed facility that we built and sold to Syncrude in 1990 and operated and managed for them for nearly 20 years, we recognized a need for a premium, and more permanent, solution for workforce accommodations and hospitality services in the Canadian oil sands region. Pursuing this strategy, we opened PTI Lodge in 1998, one of the first independent lodging facilities in the region.</w:t>
      </w:r>
    </w:p>
    <w:p>
      <w:pPr>
        <w:spacing w:after="0" w:line="193" w:lineRule="exact"/>
        <w:rPr>
          <w:sz w:val="20"/>
          <w:szCs w:val="20"/>
          <w:color w:val="auto"/>
        </w:rPr>
      </w:pPr>
    </w:p>
    <w:p>
      <w:pPr>
        <w:ind w:right="60" w:firstLine="459"/>
        <w:spacing w:after="0" w:line="270" w:lineRule="auto"/>
        <w:rPr>
          <w:sz w:val="20"/>
          <w:szCs w:val="20"/>
          <w:color w:val="auto"/>
        </w:rPr>
      </w:pPr>
      <w:r>
        <w:rPr>
          <w:rFonts w:ascii="Arial" w:cs="Arial" w:eastAsia="Arial" w:hAnsi="Arial"/>
          <w:sz w:val="17"/>
          <w:szCs w:val="17"/>
          <w:color w:val="auto"/>
        </w:rPr>
        <w:t>Through our wide range of hospitality services, we are able to identify, solve and implement solutions and services that enhance the guests’ accommodations experience and reduce the customer’s total cost of housing a workforce in a remote operating location. Through our experiences and service delivery model, our hospitality services have evolved to include fitness centers, water and wastewater treatment, laundry service and many other advancements. As our experience in the region grew, we were the first to introduce to the Canadian oil sands market suite-style accommodations for middle and upper-level management working in the region, with our Beaver River Executive Lodge in 2005. Since then, we have continued to innovate our service offerings to meet our customers’ growing and evolving needs. On April 2, 2018, we acquired Noralta, which provides remote hospitality services in Alberta, Canada (the Noralta Acquisition). With eleven lodges comprising of over 5,700 owned rooms and 7,900 total rooms, Noralta has the capacity to house large workforces and the flexibility to meet our clients’ rapidly changing needs. From our entrepreneurial beginning, we have developed into Canada’s largest third-party provider of accommodations and hospitality services in the oil sands region.</w:t>
      </w:r>
    </w:p>
    <w:p>
      <w:pPr>
        <w:spacing w:after="0" w:line="182" w:lineRule="exact"/>
        <w:rPr>
          <w:sz w:val="20"/>
          <w:szCs w:val="20"/>
          <w:color w:val="auto"/>
        </w:rPr>
      </w:pPr>
    </w:p>
    <w:p>
      <w:pPr>
        <w:ind w:right="300" w:firstLine="459"/>
        <w:spacing w:after="0" w:line="264" w:lineRule="auto"/>
        <w:rPr>
          <w:sz w:val="20"/>
          <w:szCs w:val="20"/>
          <w:color w:val="auto"/>
        </w:rPr>
      </w:pPr>
      <w:r>
        <w:rPr>
          <w:rFonts w:ascii="Arial" w:cs="Arial" w:eastAsia="Arial" w:hAnsi="Arial"/>
          <w:sz w:val="18"/>
          <w:szCs w:val="18"/>
          <w:color w:val="auto"/>
        </w:rPr>
        <w:t>Today, we also support customers’ logistical efforts in managing the movement of large numbers of personnel efficiently. At our Wapasu Creek location, we have introduced services that improve efficiencies for customers in transporting personnel to mine sites on a daily basis, as well as in rotating personnel when crews change.</w:t>
      </w:r>
    </w:p>
    <w:p>
      <w:pPr>
        <w:spacing w:after="0" w:line="181" w:lineRule="exact"/>
        <w:rPr>
          <w:sz w:val="20"/>
          <w:szCs w:val="20"/>
          <w:color w:val="auto"/>
        </w:rPr>
      </w:pPr>
    </w:p>
    <w:p>
      <w:pPr>
        <w:ind w:right="40" w:firstLine="459"/>
        <w:spacing w:after="0" w:line="259" w:lineRule="auto"/>
        <w:rPr>
          <w:sz w:val="20"/>
          <w:szCs w:val="20"/>
          <w:color w:val="auto"/>
        </w:rPr>
      </w:pPr>
      <w:r>
        <w:rPr>
          <w:rFonts w:ascii="Arial" w:cs="Arial" w:eastAsia="Arial" w:hAnsi="Arial"/>
          <w:sz w:val="18"/>
          <w:szCs w:val="18"/>
          <w:color w:val="auto"/>
        </w:rPr>
        <w:t>During 2015, we entered the Canadian LNG market with our Sitka Lodge. Most of the Sitka Lodge’s 646 rooms were under contract through October 2017 to LNGC. On October 1, 2018, LNGC's participants announced that a positive FID had been reached on the Kitimat LNG Facility. With the project moving forward, British Columbia LNG activity and related pipeline projects could become a material driver of future activity for our Sitka Lodge, as well as for our mobile camp assets, which are well suited for the related pipeline construction activity.</w:t>
      </w:r>
    </w:p>
    <w:p>
      <w:pPr>
        <w:spacing w:after="0" w:line="187" w:lineRule="exact"/>
        <w:rPr>
          <w:sz w:val="20"/>
          <w:szCs w:val="20"/>
          <w:color w:val="auto"/>
        </w:rPr>
      </w:pPr>
    </w:p>
    <w:p>
      <w:pPr>
        <w:ind w:right="60" w:firstLine="459"/>
        <w:spacing w:after="0" w:line="293" w:lineRule="auto"/>
        <w:rPr>
          <w:sz w:val="20"/>
          <w:szCs w:val="20"/>
          <w:color w:val="auto"/>
        </w:rPr>
      </w:pPr>
      <w:r>
        <w:rPr>
          <w:rFonts w:ascii="Arial" w:cs="Arial" w:eastAsia="Arial" w:hAnsi="Arial"/>
          <w:sz w:val="16"/>
          <w:szCs w:val="16"/>
          <w:color w:val="auto"/>
        </w:rPr>
        <w:t>With the acquisition of our Australian business in December 2010, we began providing hospitality services to support the Australian natural resources industry through our villages located in Queensland, New South Wales and Western Australia. Like Canada, our Australian business has a long-history of taking care of customers in remote regions, beginning with its initial Moranbah Village in 1996, and has grown to become Australia’s largest independent provider of hospitality services for people working in remote locations. Our Australian business was the first to introduce resort-style accommodations to the mining sector, adding landscaping, outdoor kitchens, pools, fitness centers and, in some cases, taverns. In all our operating regions, our business is built on a culture of continuous service improvement to enhance the guest experience and reduce customers' workforce housing costs.</w:t>
      </w:r>
    </w:p>
    <w:p>
      <w:pPr>
        <w:spacing w:after="0" w:line="165" w:lineRule="exact"/>
        <w:rPr>
          <w:sz w:val="20"/>
          <w:szCs w:val="20"/>
          <w:color w:val="auto"/>
        </w:rPr>
      </w:pPr>
    </w:p>
    <w:p>
      <w:pPr>
        <w:jc w:val="both"/>
        <w:ind w:right="160" w:firstLine="459"/>
        <w:spacing w:after="0" w:line="276" w:lineRule="auto"/>
        <w:rPr>
          <w:sz w:val="20"/>
          <w:szCs w:val="20"/>
          <w:color w:val="auto"/>
        </w:rPr>
      </w:pPr>
      <w:r>
        <w:rPr>
          <w:rFonts w:ascii="Arial" w:cs="Arial" w:eastAsia="Arial" w:hAnsi="Arial"/>
          <w:sz w:val="17"/>
          <w:szCs w:val="17"/>
          <w:color w:val="auto"/>
        </w:rPr>
        <w:t>We take an active role in minimizing the environmental impact of our operations through a number of sustainable initiatives.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passive-solar-design principles and smart-switching systems to reduce the need for electricity related to heating and cooling.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color w:val="auto"/>
        </w:rPr>
        <w:t>We provide hospitality services for the natural resource industries. Our scalable facilities provide long-term and temporary workforce accommodations where traditional accommodations and related infrastructure often are not accessible, sufficient or cost effective. Once facilities are deployed in the field, we also provide hospitality services such as lodging, food service, housekeeping, and maintenance, as well as day-to-day operations, such as laundry, water and wastewater treatment, power generation, communication systems, security and group logistics. Our hospitality services can be provided at accommodation facilities we own or at facilities owned by our customers. Demand for our services is cyclical and substantially dependent upon activity levels, particularly our customers’ willingness to spend capital on the exploration for, development and production of oil, coal, natural gas and other resource reserves. Our customers’ spending plans generally are based on their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view of commodity supply and demand dynamics, as well as the outlook for near-term and long-term commodity prices. As a result, the demand for our services is sensitive to current and expected commodity prices.</w:t>
      </w:r>
    </w:p>
    <w:p>
      <w:pPr>
        <w:spacing w:after="0" w:line="170" w:lineRule="exact"/>
        <w:rPr>
          <w:sz w:val="20"/>
          <w:szCs w:val="20"/>
          <w:color w:val="auto"/>
        </w:rPr>
      </w:pPr>
    </w:p>
    <w:p>
      <w:pPr>
        <w:ind w:firstLine="459"/>
        <w:spacing w:after="0" w:line="312" w:lineRule="auto"/>
        <w:rPr>
          <w:sz w:val="20"/>
          <w:szCs w:val="20"/>
          <w:color w:val="auto"/>
        </w:rPr>
      </w:pPr>
      <w:r>
        <w:rPr>
          <w:rFonts w:ascii="Arial" w:cs="Arial" w:eastAsia="Arial" w:hAnsi="Arial"/>
          <w:sz w:val="16"/>
          <w:szCs w:val="16"/>
          <w:color w:val="auto"/>
        </w:rPr>
        <w:t>We serve multiple projects and multiple customers at most of our sites, which allows those customers to share some of the costs associated with their peak construction accommodations needs.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47" w:lineRule="exact"/>
        <w:rPr>
          <w:sz w:val="20"/>
          <w:szCs w:val="20"/>
          <w:color w:val="auto"/>
        </w:rPr>
      </w:pPr>
    </w:p>
    <w:p>
      <w:pPr>
        <w:ind w:right="480" w:firstLine="459"/>
        <w:spacing w:after="0" w:line="312" w:lineRule="auto"/>
        <w:rPr>
          <w:sz w:val="20"/>
          <w:szCs w:val="20"/>
          <w:color w:val="auto"/>
        </w:rPr>
      </w:pPr>
      <w:r>
        <w:rPr>
          <w:rFonts w:ascii="Arial" w:cs="Arial" w:eastAsia="Arial" w:hAnsi="Arial"/>
          <w:sz w:val="16"/>
          <w:szCs w:val="16"/>
          <w:color w:val="auto"/>
        </w:rPr>
        <w:t>Our business is significantly influenced by the level of production of oil sands deposits in Alberta, Canada, activity levels in support of extractive industries in Australia, LNG and related pipeline activity in Canada and oil production in Canada and the U.S. Our two primary activity drivers are development and production activity in the Canadian oil sands region in Western Canada and the met coal region of Australia’s Bowen Basin.</w:t>
      </w:r>
    </w:p>
    <w:p>
      <w:pPr>
        <w:spacing w:after="0" w:line="147" w:lineRule="exact"/>
        <w:rPr>
          <w:sz w:val="20"/>
          <w:szCs w:val="20"/>
          <w:color w:val="auto"/>
        </w:rPr>
      </w:pPr>
    </w:p>
    <w:p>
      <w:pPr>
        <w:ind w:right="80" w:firstLine="459"/>
        <w:spacing w:after="0" w:line="279" w:lineRule="auto"/>
        <w:rPr>
          <w:sz w:val="20"/>
          <w:szCs w:val="20"/>
          <w:color w:val="auto"/>
        </w:rPr>
      </w:pPr>
      <w:r>
        <w:rPr>
          <w:rFonts w:ascii="Arial" w:cs="Arial" w:eastAsia="Arial" w:hAnsi="Arial"/>
          <w:sz w:val="17"/>
          <w:szCs w:val="17"/>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20 years, and increasingly over the past 10 years, some customers have moved away from the insourcing business model for some of their accommodations as they recognize that owning accommodations and providing the hospitality services are non-core investments for their business.</w:t>
      </w:r>
    </w:p>
    <w:p>
      <w:pPr>
        <w:spacing w:after="0" w:line="171" w:lineRule="exact"/>
        <w:rPr>
          <w:sz w:val="20"/>
          <w:szCs w:val="20"/>
          <w:color w:val="auto"/>
        </w:rPr>
      </w:pPr>
    </w:p>
    <w:p>
      <w:pPr>
        <w:ind w:firstLine="459"/>
        <w:spacing w:after="0" w:line="290" w:lineRule="auto"/>
        <w:rPr>
          <w:sz w:val="20"/>
          <w:szCs w:val="20"/>
          <w:color w:val="auto"/>
        </w:rPr>
      </w:pPr>
      <w:r>
        <w:rPr>
          <w:rFonts w:ascii="Arial" w:cs="Arial" w:eastAsia="Arial" w:hAnsi="Arial"/>
          <w:sz w:val="16"/>
          <w:szCs w:val="16"/>
          <w:color w:val="auto"/>
        </w:rPr>
        <w:t>We believe that our existing industry divides accommodations into two primary types: (1) lodges and villages and (2) mobile assets. Civeo is principally focused on hospitality services at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supported by multi-year, take-or-pay contracts. These facilities are designed to serve the long-term needs of customers in constructing and operating their resource developments. Mobile camps are designed to follow customers’ activities and can be deployed rapidly to scale. They are often used to support conventional and in-situ drilling crews, as well as pipeline and seismic crews, and are contracted on a project-by-project, well-by-well or short-term basis. Oftentimes, customers will initially require mobile accommodations as they evaluate or initially develop a field or mine. Mobile camp projects can be dedicated and committed to a single customer or project or the camps can serve multiple customers.</w:t>
      </w:r>
    </w:p>
    <w:p>
      <w:pPr>
        <w:spacing w:after="0" w:line="166" w:lineRule="exact"/>
        <w:rPr>
          <w:sz w:val="20"/>
          <w:szCs w:val="20"/>
          <w:color w:val="auto"/>
        </w:rPr>
      </w:pPr>
    </w:p>
    <w:p>
      <w:pPr>
        <w:ind w:right="80" w:firstLine="459"/>
        <w:spacing w:after="0" w:line="269" w:lineRule="auto"/>
        <w:rPr>
          <w:sz w:val="20"/>
          <w:szCs w:val="20"/>
          <w:color w:val="auto"/>
        </w:rPr>
      </w:pPr>
      <w:r>
        <w:rPr>
          <w:rFonts w:ascii="Arial" w:cs="Arial" w:eastAsia="Arial" w:hAnsi="Arial"/>
          <w:sz w:val="17"/>
          <w:szCs w:val="17"/>
          <w:color w:val="auto"/>
        </w:rPr>
        <w:t>The accommodations market supporting the natural resource industry is segmented into competitors that serve components of the overall value chain, but very few offer the entire suite of hospitality services to customers. We estimate that customer-owned rooms represent over 50% of the market. Engineering firms such as Bechtel, Fluor and ColtAmec often design accommodations facilities. Many public and private firms, such as ATCO Structures &amp; Logistics Ltd. (ATCO), Horizon North Logistics Inc. (Horizon North), Alta-Fab Structures Ltd. (Alta-Fab) and Northgate Industries Ltd. (Northgate), will build the modular accommodations for sale. Horizon North, Black Diamond Group Limited (Black Diamond), ATCO, Royal Camp Services Ltd. and Algeco Scotsman will primarily own and lease the units to customers and in some cases provide facility management services, usually on a shorter-term basis with a more limited number of rooms, similar to our mobile camp business. Facility service companies, such as Aramark Corporation (Aramark), Sodexo Inc. (Sodexo), Compass Group PLC (Compass Group), or Cater Care typically do not invest in and own the accommodations assets, but will provide hospitality services at third-party or customer-owned facilities. We believe our service model provides value to our customers by reducing project timing and counterparty risks. In addition, with our holistic approach to hospitality services, we are able to identify and execute on efficiency opportunities for our customers by being able to bundle our services to meet their specific needs.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During the year ended December 31, 2018, we generated approximately 63% of our revenue from our Canadian operations. We are Canada’s largest provider of hospitality services for people working in remote locations. We provide our services through our lodges and mobile assets and at customer-owned locations. Our hospitality services support workforces in the Canadian oil sands and in a variety of oil and natural gas drilling, mining and related natural resource applications, as well as disaster relief efforts.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Market</w:t>
      </w:r>
    </w:p>
    <w:p>
      <w:pPr>
        <w:spacing w:after="0" w:line="225"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Demand for our hospitality services in the Canadian oil sands region is primarily influenced by the longer-term outlook for crude oil prices rather than current energy prices, given the multi-year production phase of oil sands projects and the costs associated with development of such large scale projects. Utilization of our existing Canadian capacity and our future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expansions will largely depend on continued oil sands spending related to existing production efforts, maintenance thereon and potential future expansion of existing projects.</w:t>
      </w:r>
    </w:p>
    <w:p>
      <w:pPr>
        <w:spacing w:after="0" w:line="170" w:lineRule="exact"/>
        <w:rPr>
          <w:sz w:val="20"/>
          <w:szCs w:val="20"/>
          <w:color w:val="auto"/>
        </w:rPr>
      </w:pPr>
    </w:p>
    <w:p>
      <w:pPr>
        <w:ind w:right="40" w:firstLine="459"/>
        <w:spacing w:after="0" w:line="297" w:lineRule="auto"/>
        <w:rPr>
          <w:sz w:val="20"/>
          <w:szCs w:val="20"/>
          <w:color w:val="auto"/>
        </w:rPr>
      </w:pPr>
      <w:r>
        <w:rPr>
          <w:rFonts w:ascii="Arial" w:cs="Arial" w:eastAsia="Arial" w:hAnsi="Arial"/>
          <w:sz w:val="16"/>
          <w:szCs w:val="16"/>
          <w:color w:val="auto"/>
        </w:rPr>
        <w:t>The Athabasca oil sands are located in northern Alberta, an area that is very remote, with a limited local labor supply. Of Canada’s approximately 37 million residents, nearly half of the population lives in ten cities, while approximately 12% of the population lives in Alberta and less than 1% of the population lives within 100 kilometers of the oil sands activity. The local municipalities, of which Fort McMurray is the largest, have grown rapidly over the last decade, stressing their infrastructures and challenging them to respond to large-scale changes in demand. As such, the workforce accommodations market provides a cost effective solution to the problem of staffing large oil sands projects by sourcing labor largely throughout Canada to work on a rotational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Oil Sands Lodges</w:t>
      </w:r>
    </w:p>
    <w:p>
      <w:pPr>
        <w:spacing w:after="0" w:line="225" w:lineRule="exact"/>
        <w:rPr>
          <w:sz w:val="20"/>
          <w:szCs w:val="20"/>
          <w:color w:val="auto"/>
        </w:rPr>
      </w:pPr>
    </w:p>
    <w:p>
      <w:pPr>
        <w:ind w:firstLine="459"/>
        <w:spacing w:after="0" w:line="287" w:lineRule="auto"/>
        <w:rPr>
          <w:sz w:val="20"/>
          <w:szCs w:val="20"/>
          <w:color w:val="auto"/>
        </w:rPr>
      </w:pPr>
      <w:r>
        <w:rPr>
          <w:rFonts w:ascii="Arial" w:cs="Arial" w:eastAsia="Arial" w:hAnsi="Arial"/>
          <w:sz w:val="16"/>
          <w:szCs w:val="16"/>
          <w:color w:val="auto"/>
        </w:rPr>
        <w:t>During the year ended December 31, 2018, activity in the Athabasca oil sands region generated over 85% of our Canadian revenue. The oil sands region of northern Alberta, Canada continues to represent one of the world’s largest reserves for heavy oil. Our McClelland Lake, Wapasu, Henday, Athabasca, Beaver River, Fort McMurray Village, Grey Wolf, Hudson, Borealis and Firebag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Mariana Lake, Anzac, Red Earth and Wabasca lodges, as well as a portion of our mobile camp assets, are focused in the southern portion of the region where we primarily serve in-situ operations and pipeline expansion activity. In-situ methods are used on reserves that are too deep for traditional mining methods. In-situ technology typically injects steam or solvents into the deep oil sands in place to separate the bitumen from the sand and pumps it to the surface where it undergoes the same upgrading treatment as the mined bitumen. Reserves requiring in situ techniques of extraction represent 80% of the established recoverable reserves in Alberta. In-situ operations generally require less capital and personnel and produce lower volumes of bitumen per development, with higher ongoing operating expense per barrel of bitumen produced.</w:t>
      </w:r>
    </w:p>
    <w:p>
      <w:pPr>
        <w:spacing w:after="0" w:line="173" w:lineRule="exact"/>
        <w:rPr>
          <w:sz w:val="20"/>
          <w:szCs w:val="20"/>
          <w:color w:val="auto"/>
        </w:rPr>
      </w:pPr>
    </w:p>
    <w:p>
      <w:pPr>
        <w:ind w:right="40" w:firstLine="459"/>
        <w:spacing w:after="0" w:line="297" w:lineRule="auto"/>
        <w:rPr>
          <w:sz w:val="20"/>
          <w:szCs w:val="20"/>
          <w:color w:val="auto"/>
        </w:rPr>
      </w:pPr>
      <w:r>
        <w:rPr>
          <w:rFonts w:ascii="Arial" w:cs="Arial" w:eastAsia="Arial" w:hAnsi="Arial"/>
          <w:sz w:val="16"/>
          <w:szCs w:val="16"/>
          <w:color w:val="auto"/>
        </w:rPr>
        <w:t>Our oil sands lodges support construction and operating personnel for maintenance and expansionary projects, as well as ongoing operations associated with surface mining and in-situ oil sands projects, generally under short and medium-term contracts. Most of our oil sands lodges are located on land with leases obtained from the province of Alberta, or subleased from the resource developer, with initial terms of ten years. Our leases have expiration dates that range from 2020 to 2028. Currently, none of our Canadian lodges are on land with leases expiring prior to December 31, 2019. In recent years, we have successfully renewed or extended all expiring land leases. Two of our oil sands properties are located on land which we own.</w:t>
      </w:r>
    </w:p>
    <w:p>
      <w:pPr>
        <w:spacing w:after="0" w:line="158" w:lineRule="exact"/>
        <w:rPr>
          <w:sz w:val="20"/>
          <w:szCs w:val="20"/>
          <w:color w:val="auto"/>
        </w:rPr>
      </w:pPr>
    </w:p>
    <w:p>
      <w:pPr>
        <w:ind w:right="220" w:firstLine="459"/>
        <w:spacing w:after="0" w:line="276" w:lineRule="auto"/>
        <w:rPr>
          <w:sz w:val="20"/>
          <w:szCs w:val="20"/>
          <w:color w:val="auto"/>
        </w:rPr>
      </w:pPr>
      <w:r>
        <w:rPr>
          <w:rFonts w:ascii="Arial" w:cs="Arial" w:eastAsia="Arial" w:hAnsi="Arial"/>
          <w:sz w:val="17"/>
          <w:szCs w:val="17"/>
          <w:color w:val="auto"/>
        </w:rPr>
        <w:t>In order to operate a lodge in Canada, we are required to obtain a development permit from the regional municipality in which the lodge resides. The development permits are granted for a term ranging from two to ten years. Our development permits have expiration dates that range from 2019 to 2023. In recent years, we have successfully renewed or extended all expiring development permits. See “Item 1A. Risk Factors-Risks related to our business-All but three of our major Canadian lodges are located on land subject to leases. If we are unable to renew a lease or obtain permits necessary to operate on such leased land, we could be materially and adversely affected.” of this annual report for further information.</w:t>
      </w:r>
    </w:p>
    <w:p>
      <w:pPr>
        <w:spacing w:after="0" w:line="173"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color w:val="auto"/>
        </w:rPr>
        <w:t>We provide a range of hospitality services at our lodges, including reservation management, check in and check out, food service, housekeeping and facilities management. Our lodge guests receive amenities similar to a full-service hotel plus three meals a day. During 2018, with the exception of the Noralta Acquisition, no further rooms were added (net of retirements) to our major oil sands lodges. Our Wapasu Creek Lodge, with more than 5,000 rooms, is equivalent in size to the largest hotels in North America.</w:t>
      </w:r>
    </w:p>
    <w:p>
      <w:pPr>
        <w:spacing w:after="0" w:line="187" w:lineRule="exact"/>
        <w:rPr>
          <w:sz w:val="20"/>
          <w:szCs w:val="20"/>
          <w:color w:val="auto"/>
        </w:rPr>
      </w:pPr>
    </w:p>
    <w:p>
      <w:pPr>
        <w:ind w:right="400" w:firstLine="459"/>
        <w:spacing w:after="0" w:line="286" w:lineRule="auto"/>
        <w:rPr>
          <w:sz w:val="20"/>
          <w:szCs w:val="20"/>
          <w:color w:val="auto"/>
        </w:rPr>
      </w:pPr>
      <w:r>
        <w:rPr>
          <w:rFonts w:ascii="Arial" w:cs="Arial" w:eastAsia="Arial" w:hAnsi="Arial"/>
          <w:sz w:val="17"/>
          <w:szCs w:val="17"/>
          <w:color w:val="auto"/>
        </w:rPr>
        <w:t>We provide our hospitality services at the lodges we own on a day rate or monthly rental basis, and our customers typically commit for short to medium-term contracts (from several months up to several years). Customers make a minimum nightly or monthly room commitment for the term of the contract, and the multi-year contracts typically provide for inflationary escalations in rates for increased food, labor and utilities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British Columbia Lodge</w:t>
      </w:r>
    </w:p>
    <w:p>
      <w:pPr>
        <w:spacing w:after="0" w:line="225"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The initial development of our Sitka Lodge, in Kitimat, British Columbia, included 646 rooms built in 2015. Most of these rooms were under contract through October 2017 to LNGC. The initial phase of this location featured food service and recreational facilities and the ability to expand should demand for rooms in the region warrant.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59"/>
        <w:spacing w:after="0" w:line="287" w:lineRule="auto"/>
        <w:rPr>
          <w:sz w:val="20"/>
          <w:szCs w:val="20"/>
          <w:color w:val="auto"/>
        </w:rPr>
      </w:pPr>
      <w:r>
        <w:rPr>
          <w:rFonts w:ascii="Arial" w:cs="Arial" w:eastAsia="Arial" w:hAnsi="Arial"/>
          <w:sz w:val="16"/>
          <w:szCs w:val="16"/>
          <w:color w:val="auto"/>
        </w:rPr>
        <w:t>On October 1, 2018, LNGC's participants announced a positive FID on the Kitimat LNG Facility. With the project moving forward, British Columbia LNG activity and related pipeline projects could become a material driver of future activity for our Sitka Lodge, as well as for our mobile camp assets, which are well suited for the related pipeline construction activity. We previously announced contract awards totaling C$100 million in revenues to supply mobile accommodations for four locations along the Coastal GasLink (CGL) pipeline project in British Columbia, Canada. This pipeline would provide the natural gas for the Kitimat LNG Facility. We expect to deploy approximately C$10 million in capital, primarily in 2019, across all four locations. We expect to begin recognizing revenue from these contracts beginning in 2019. In addition, in the fourth quarter of 2018, we were awarded room commitments from LNGC, CGL and LNGC’s engineering, procurement and construction firm to provide rooms and services from Sitka Lodge. The award covers expected room needs over an initial 18 month time period with a minimum room commitment and options for extension of up to 36 months. We began recognizing revenue from this award beginning in November 2018. Revenues for the room commitments are estimated to be approximately C$70 million over the initial 18 months. The actual timing of when revenue is realized from the CGL pipeline and Sitka Lodge contracts could be impacted by any delays in the construction of the Kitimat LNG Facility. We expect to spend approximately C$15 million in capital to expand the Sitka Lodge to 1,100 rooms.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Lodge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48985" cy="329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125"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Rooms in our Canadian Lodges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w w:val="99"/>
              </w:rPr>
              <w:t>As of December 31,</w:t>
            </w:r>
          </w:p>
        </w:tc>
        <w:tc>
          <w:tcPr>
            <w:tcW w:w="1460" w:type="dxa"/>
            <w:vAlign w:val="bottom"/>
          </w:tcPr>
          <w:p>
            <w:pPr>
              <w:spacing w:after="0"/>
              <w:rPr>
                <w:sz w:val="18"/>
                <w:szCs w:val="18"/>
                <w:color w:val="auto"/>
              </w:rPr>
            </w:pPr>
          </w:p>
        </w:tc>
      </w:tr>
      <w:tr>
        <w:trPr>
          <w:trHeight w:val="249"/>
        </w:trPr>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ind w:left="420"/>
              <w:spacing w:after="0"/>
              <w:rPr>
                <w:sz w:val="20"/>
                <w:szCs w:val="20"/>
                <w:color w:val="auto"/>
              </w:rPr>
            </w:pPr>
            <w:r>
              <w:rPr>
                <w:rFonts w:ascii="Arial" w:cs="Arial" w:eastAsia="Arial" w:hAnsi="Arial"/>
                <w:sz w:val="16"/>
                <w:szCs w:val="16"/>
                <w:b w:val="1"/>
                <w:bCs w:val="1"/>
                <w:color w:val="auto"/>
              </w:rPr>
              <w:t>Extraction</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0"/>
        </w:trPr>
        <w:tc>
          <w:tcPr>
            <w:tcW w:w="3320" w:type="dxa"/>
            <w:vAlign w:val="bottom"/>
            <w:gridSpan w:val="2"/>
          </w:tcPr>
          <w:p>
            <w:pPr>
              <w:ind w:left="1360"/>
              <w:spacing w:after="0"/>
              <w:rPr>
                <w:sz w:val="20"/>
                <w:szCs w:val="20"/>
                <w:color w:val="auto"/>
              </w:rPr>
            </w:pPr>
            <w:r>
              <w:rPr>
                <w:rFonts w:ascii="Arial" w:cs="Arial" w:eastAsia="Arial" w:hAnsi="Arial"/>
                <w:sz w:val="16"/>
                <w:szCs w:val="16"/>
                <w:b w:val="1"/>
                <w:bCs w:val="1"/>
                <w:color w:val="auto"/>
              </w:rPr>
              <w:t>Lodges</w:t>
            </w:r>
          </w:p>
        </w:tc>
        <w:tc>
          <w:tcPr>
            <w:tcW w:w="1720" w:type="dxa"/>
            <w:vAlign w:val="bottom"/>
            <w:gridSpan w:val="2"/>
          </w:tcPr>
          <w:p>
            <w:pPr>
              <w:ind w:left="560"/>
              <w:spacing w:after="0"/>
              <w:rPr>
                <w:sz w:val="20"/>
                <w:szCs w:val="20"/>
                <w:color w:val="auto"/>
              </w:rPr>
            </w:pPr>
            <w:r>
              <w:rPr>
                <w:rFonts w:ascii="Arial" w:cs="Arial" w:eastAsia="Arial" w:hAnsi="Arial"/>
                <w:sz w:val="16"/>
                <w:szCs w:val="16"/>
                <w:b w:val="1"/>
                <w:bCs w:val="1"/>
                <w:color w:val="auto"/>
              </w:rPr>
              <w:t>Region</w:t>
            </w:r>
          </w:p>
        </w:tc>
        <w:tc>
          <w:tcPr>
            <w:tcW w:w="1700" w:type="dxa"/>
            <w:vAlign w:val="bottom"/>
            <w:gridSpan w:val="2"/>
          </w:tcPr>
          <w:p>
            <w:pPr>
              <w:ind w:left="440"/>
              <w:spacing w:after="0"/>
              <w:rPr>
                <w:sz w:val="20"/>
                <w:szCs w:val="20"/>
                <w:color w:val="auto"/>
              </w:rPr>
            </w:pPr>
            <w:r>
              <w:rPr>
                <w:rFonts w:ascii="Arial" w:cs="Arial" w:eastAsia="Arial" w:hAnsi="Arial"/>
                <w:sz w:val="16"/>
                <w:szCs w:val="16"/>
                <w:b w:val="1"/>
                <w:bCs w:val="1"/>
                <w:color w:val="auto"/>
              </w:rPr>
              <w:t>Technique</w:t>
            </w: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33"/>
        </w:trPr>
        <w:tc>
          <w:tcPr>
            <w:tcW w:w="3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Wapasu</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5,246</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5,246</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Athabasca</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2,005</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2,005</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McClelland Lake</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1,997</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Henday (1)</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mining/in situ</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1,698</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1,698</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Beaver River</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w:t>
            </w:r>
          </w:p>
        </w:tc>
      </w:tr>
      <w:tr>
        <w:trPr>
          <w:trHeight w:val="224"/>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Fort McMurray Village:</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3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Buffalo (2)</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380"/>
              <w:spacing w:after="0"/>
              <w:rPr>
                <w:sz w:val="20"/>
                <w:szCs w:val="20"/>
                <w:color w:val="auto"/>
              </w:rPr>
            </w:pPr>
            <w:r>
              <w:rPr>
                <w:rFonts w:ascii="Arial" w:cs="Arial" w:eastAsia="Arial" w:hAnsi="Arial"/>
                <w:sz w:val="16"/>
                <w:szCs w:val="16"/>
                <w:color w:val="auto"/>
              </w:rPr>
              <w:t>Black Bear (2)</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Bighorn (2)</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380"/>
              <w:spacing w:after="0"/>
              <w:rPr>
                <w:sz w:val="20"/>
                <w:szCs w:val="20"/>
                <w:color w:val="auto"/>
              </w:rPr>
            </w:pPr>
            <w:r>
              <w:rPr>
                <w:rFonts w:ascii="Arial" w:cs="Arial" w:eastAsia="Arial" w:hAnsi="Arial"/>
                <w:sz w:val="16"/>
                <w:szCs w:val="16"/>
                <w:color w:val="auto"/>
              </w:rPr>
              <w:t>Lynx (2)</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Wolverine (2)</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Borealis (1) (2)</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1,504</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Grey Wolf (2)</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Firebag (1) (2)</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in situ</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Hudson (1) (2)</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Wabasca (2)</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S.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Red Earth (1) (2)</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Conklin</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S.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mining/in situ</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1,032</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1,032</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Anzac (1)</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in situ</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Mariana Lake (1)</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S.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686</w:t>
            </w: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Subtotal – Oil Sands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14,284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14,284</w:t>
            </w:r>
          </w:p>
        </w:tc>
      </w:tr>
      <w:tr>
        <w:trPr>
          <w:trHeight w:val="21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Sitka Lodge</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Kitimat, BC</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LNG</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436</w:t>
            </w: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Rooms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22,707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14,720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14,720</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457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182" w:lineRule="exact"/>
        <w:rPr>
          <w:sz w:val="20"/>
          <w:szCs w:val="20"/>
          <w:color w:val="auto"/>
        </w:rPr>
      </w:pPr>
    </w:p>
    <w:p>
      <w:pPr>
        <w:ind w:left="500" w:right="180" w:hanging="316"/>
        <w:spacing w:after="0" w:line="256"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Currently closed due to low activity level in the region. All seven closed lodges are periodically assessed for impairment, in accordance with U.S. generally accepted accounting principles (U.S. GAAP). Please see Note 4 - Impairment Charges to the notes to the consolidated financial statements in Item 8 of this annual report for further discussion.</w:t>
      </w: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Lodges acquired in the Noralta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Hospitality Services at Third-Party Owned Facilities</w:t>
      </w:r>
    </w:p>
    <w:p>
      <w:pPr>
        <w:spacing w:after="0" w:line="225" w:lineRule="exact"/>
        <w:rPr>
          <w:sz w:val="20"/>
          <w:szCs w:val="20"/>
          <w:color w:val="auto"/>
        </w:rPr>
      </w:pPr>
    </w:p>
    <w:p>
      <w:pPr>
        <w:ind w:right="340" w:firstLine="459"/>
        <w:spacing w:after="0" w:line="302" w:lineRule="auto"/>
        <w:rPr>
          <w:sz w:val="20"/>
          <w:szCs w:val="20"/>
          <w:color w:val="auto"/>
        </w:rPr>
      </w:pPr>
      <w:r>
        <w:rPr>
          <w:rFonts w:ascii="Arial" w:cs="Arial" w:eastAsia="Arial" w:hAnsi="Arial"/>
          <w:sz w:val="16"/>
          <w:szCs w:val="16"/>
          <w:color w:val="auto"/>
        </w:rPr>
        <w:t>We provide hospitality services at facilities owned by our customers. Historically, this has been focused around natural resource production-related housing facilities that are owned by the natural resource owners. Currently, we operate camp facilities for third-party customers. The facilities we manage range anywhere from 200 to 1,500 rooms. We are able to customize our service offerings depending on our client’s needs. Hospitality services can be performed on an end-to-end basis with food service, maintenance and utility services included or in segments such as food service only.</w:t>
      </w:r>
    </w:p>
    <w:p>
      <w:pPr>
        <w:spacing w:after="0" w:line="154" w:lineRule="exact"/>
        <w:rPr>
          <w:sz w:val="20"/>
          <w:szCs w:val="20"/>
          <w:color w:val="auto"/>
        </w:rPr>
      </w:pPr>
    </w:p>
    <w:p>
      <w:pPr>
        <w:ind w:right="600" w:firstLine="459"/>
        <w:spacing w:after="0" w:line="312" w:lineRule="auto"/>
        <w:rPr>
          <w:sz w:val="20"/>
          <w:szCs w:val="20"/>
          <w:color w:val="auto"/>
        </w:rPr>
      </w:pPr>
      <w:r>
        <w:rPr>
          <w:rFonts w:ascii="Arial" w:cs="Arial" w:eastAsia="Arial" w:hAnsi="Arial"/>
          <w:sz w:val="16"/>
          <w:szCs w:val="16"/>
          <w:color w:val="auto"/>
        </w:rPr>
        <w:t>Recently, we have engaged in developing a related food service brand, Red Table. This diversification initiative targets food service and facility management opportunities outside of the natural resources industry, including educational, entertainment, healthcare and traditional catering events. Currently, Red Table operates more than ten facilities, and includes a food production facility, which began operations in the second quarter of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Mobile Accommodations</w:t>
      </w:r>
    </w:p>
    <w:p>
      <w:pPr>
        <w:spacing w:after="0" w:line="117"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Our mobile accommodations consist of modular, skid-mounted accommodations and central facilities that can be quickly configured to serve a multitude of short to medium-term accommodation needs. The dormitory, kitchen and ancillary assets can be rapidly mobilized and demobilized and are scalable to support 200 to 800 people in a single location. In addition to asset rental, we provide hospitality services such as food service and housekeeping, as well as camp management services, including fresh water and sewage hauling services. Our mobile camps service the traditional oil and gas sector in Alberta and British Columbia and in-situ oil sands drilling and development operations in Alberta, as well as pipeline construction crews throughout Western Canada. The assets have also been used in the past in disaster relief efforts, the 2010 Vancouver Winter Olympic Games and a variety of other non-energy related projects.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459"/>
        <w:spacing w:after="0" w:line="276" w:lineRule="auto"/>
        <w:rPr>
          <w:sz w:val="20"/>
          <w:szCs w:val="20"/>
          <w:color w:val="auto"/>
        </w:rPr>
      </w:pPr>
      <w:r>
        <w:rPr>
          <w:rFonts w:ascii="Arial" w:cs="Arial" w:eastAsia="Arial" w:hAnsi="Arial"/>
          <w:sz w:val="17"/>
          <w:szCs w:val="17"/>
          <w:color w:val="auto"/>
        </w:rPr>
        <w:t>Our mobile camp assets are rented on a per unit basis based on the number of days that a customer utilizes the asset. In cases where we provide food service or ancillary services, the contract can provide for per unit pricing or cost-plus pricing. Customers are also typically responsible for mobilization and demobilization costs. Our focus on hospitality service contracts has allowed us to successfully pursue food service only opportunities. Due to the business nature of servicing client-owned facilities, this business easily fits into our overall business. Aside from the traditional workforce accommodations, we are expanding our target markets to areas such as institutional, educational and entertainment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80" w:firstLine="459"/>
        <w:spacing w:after="0" w:line="302" w:lineRule="auto"/>
        <w:rPr>
          <w:sz w:val="20"/>
          <w:szCs w:val="20"/>
          <w:color w:val="auto"/>
        </w:rPr>
      </w:pPr>
      <w:r>
        <w:rPr>
          <w:rFonts w:ascii="Arial" w:cs="Arial" w:eastAsia="Arial" w:hAnsi="Arial"/>
          <w:sz w:val="16"/>
          <w:szCs w:val="16"/>
          <w:color w:val="auto"/>
        </w:rPr>
        <w:t>During the year ended December 31, 2018, we generated 26% of our revenue from our Australian operations. As of December 31, 2018, we had 9,346 rooms across ten villages, of which 7,392 rooms service the Bowen Basin region of Queensland, one of the premier met coal basins in the world. We provide hospitality services on a day rate basis to mining and related service companies (including construction contractors), typically under short and medium-term contracts (one to five years) with minimum nightly room commitments. During 2018, no further rooms were added to our Australian villages.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Market</w:t>
      </w:r>
    </w:p>
    <w:p>
      <w:pPr>
        <w:spacing w:after="0" w:line="225" w:lineRule="exact"/>
        <w:rPr>
          <w:sz w:val="20"/>
          <w:szCs w:val="20"/>
          <w:color w:val="auto"/>
        </w:rPr>
      </w:pPr>
    </w:p>
    <w:p>
      <w:pPr>
        <w:ind w:right="80" w:firstLine="459"/>
        <w:spacing w:after="0" w:line="289" w:lineRule="auto"/>
        <w:rPr>
          <w:sz w:val="20"/>
          <w:szCs w:val="20"/>
          <w:color w:val="auto"/>
        </w:rPr>
      </w:pPr>
      <w:r>
        <w:rPr>
          <w:rFonts w:ascii="Arial" w:cs="Arial" w:eastAsia="Arial" w:hAnsi="Arial"/>
          <w:sz w:val="16"/>
          <w:szCs w:val="16"/>
          <w:color w:val="auto"/>
        </w:rPr>
        <w:t>As the largest contributor to exports and a major contributor to the country’s gross domestic product and government revenue, the Australian natural resources industry plays a vital role in the Australian economy. Australia has broad natural resources, including met and thermal coal, conventional and coal seam gas, base metals, iron ore and precious metals such as gold. The growth of Australian natural resource commodity exports over the last decade has been largely driven by strong Asian demand for coal, iron ore and LNG. Australia’s resources are primarily located in remote regions of the country that lack infrastructure and resident labor forces to develop these resources, as the majority of Australia’s population is located on the east coast of the country. As a result, much of the natural resources labor force works on a rotational basis, which often requires a commute from a major city or the coast and a living arrangement near the resource projects. Consequently, there is substantial need for workforce accommodations and hospitality services to support resource production in the country. Workforce accommodations have historically been built and owned by the resource developer/owner, with third parties providing the hospitality and facility management services, typical of an insourcing business model.</w:t>
      </w:r>
    </w:p>
    <w:p>
      <w:pPr>
        <w:spacing w:after="0" w:line="167"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Since 1996, our Australian business has sought to change the insourcing business model through its hospitality services offering, allowing customers to outsource their accommodations needs and focus their investments on resource production operations. Our Australian villages are strategically located in proximity to long-lived, low-cost mines operated by investment-grade, international mining companies.</w:t>
      </w:r>
    </w:p>
    <w:p>
      <w:pPr>
        <w:spacing w:after="0" w:line="181"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During the year ended December 31, 2018, our five villages in the Bowen Basin of central Queensland generated 80% of our Australian revenue. The Bowen Basin contains one of the largest coal deposits in Australia and is renowned for its premium met coal. Met coal is used in the steel making process and demand has largely been driven by global demand for steel finished goods and steel construction materials. In recent years, growth in construction demand for steel products in emerging economies, particularly China, slowed significantly, negatively impacting demand for the commodity. However, the rebounding of steel demand in 2017 and 2018 led to improved pricing for met coal in 2017 and 2018. Australia is the largest exporter of met coal in the world, in addition to being in close proximity to the largest steel producing countries in the world. Our villages are focused on the mines in the central portion of the basin and are well positioned for the active mines in the region.</w:t>
      </w:r>
    </w:p>
    <w:p>
      <w:pPr>
        <w:spacing w:after="0" w:line="189" w:lineRule="exact"/>
        <w:rPr>
          <w:sz w:val="20"/>
          <w:szCs w:val="20"/>
          <w:color w:val="auto"/>
        </w:rPr>
      </w:pPr>
    </w:p>
    <w:p>
      <w:pPr>
        <w:ind w:right="240" w:firstLine="459"/>
        <w:spacing w:after="0" w:line="286" w:lineRule="auto"/>
        <w:rPr>
          <w:sz w:val="20"/>
          <w:szCs w:val="20"/>
          <w:color w:val="auto"/>
        </w:rPr>
      </w:pPr>
      <w:r>
        <w:rPr>
          <w:rFonts w:ascii="Arial" w:cs="Arial" w:eastAsia="Arial" w:hAnsi="Arial"/>
          <w:sz w:val="17"/>
          <w:szCs w:val="17"/>
          <w:color w:val="auto"/>
        </w:rPr>
        <w:t>Beyond the Bowen Basin, we serve several markets with four additional villages. At the end of 2018, we had two villages with over 1,000 combined rooms in the Gunnedah Basin, a thermal and met coal region in New South Wales. In Western Australia, we serve workforces related to LNG facilities operations on the Northwest Shelf through our Karratha village and the gold fields through our Kambalda village.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Village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5848985" cy="3293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Rooms in our Australian Villages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w w:val="99"/>
              </w:rPr>
              <w:t>As of December 31,</w:t>
            </w:r>
          </w:p>
        </w:tc>
        <w:tc>
          <w:tcPr>
            <w:tcW w:w="1480" w:type="dxa"/>
            <w:vAlign w:val="bottom"/>
          </w:tcPr>
          <w:p>
            <w:pPr>
              <w:spacing w:after="0"/>
              <w:rPr>
                <w:sz w:val="18"/>
                <w:szCs w:val="18"/>
                <w:color w:val="auto"/>
              </w:rPr>
            </w:pPr>
          </w:p>
        </w:tc>
      </w:tr>
      <w:tr>
        <w:trPr>
          <w:trHeight w:val="249"/>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420"/>
              <w:spacing w:after="0"/>
              <w:rPr>
                <w:sz w:val="20"/>
                <w:szCs w:val="20"/>
                <w:color w:val="auto"/>
              </w:rPr>
            </w:pPr>
            <w:r>
              <w:rPr>
                <w:rFonts w:ascii="Arial" w:cs="Arial" w:eastAsia="Arial" w:hAnsi="Arial"/>
                <w:sz w:val="16"/>
                <w:szCs w:val="16"/>
                <w:b w:val="1"/>
                <w:bCs w:val="1"/>
                <w:color w:val="auto"/>
              </w:rPr>
              <w:t>Resource</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0"/>
        </w:trPr>
        <w:tc>
          <w:tcPr>
            <w:tcW w:w="3220" w:type="dxa"/>
            <w:vAlign w:val="bottom"/>
            <w:gridSpan w:val="2"/>
          </w:tcPr>
          <w:p>
            <w:pPr>
              <w:ind w:left="1280"/>
              <w:spacing w:after="0"/>
              <w:rPr>
                <w:sz w:val="20"/>
                <w:szCs w:val="20"/>
                <w:color w:val="auto"/>
              </w:rPr>
            </w:pPr>
            <w:r>
              <w:rPr>
                <w:rFonts w:ascii="Arial" w:cs="Arial" w:eastAsia="Arial" w:hAnsi="Arial"/>
                <w:sz w:val="16"/>
                <w:szCs w:val="16"/>
                <w:b w:val="1"/>
                <w:bCs w:val="1"/>
                <w:color w:val="auto"/>
              </w:rPr>
              <w:t>Villages</w:t>
            </w:r>
          </w:p>
        </w:tc>
        <w:tc>
          <w:tcPr>
            <w:tcW w:w="1600" w:type="dxa"/>
            <w:vAlign w:val="bottom"/>
            <w:gridSpan w:val="2"/>
          </w:tcPr>
          <w:p>
            <w:pPr>
              <w:ind w:left="560"/>
              <w:spacing w:after="0"/>
              <w:rPr>
                <w:sz w:val="20"/>
                <w:szCs w:val="20"/>
                <w:color w:val="auto"/>
              </w:rPr>
            </w:pPr>
            <w:r>
              <w:rPr>
                <w:rFonts w:ascii="Arial" w:cs="Arial" w:eastAsia="Arial" w:hAnsi="Arial"/>
                <w:sz w:val="16"/>
                <w:szCs w:val="16"/>
                <w:b w:val="1"/>
                <w:bCs w:val="1"/>
                <w:color w:val="auto"/>
              </w:rPr>
              <w:t>Basin</w:t>
            </w:r>
          </w:p>
        </w:tc>
        <w:tc>
          <w:tcPr>
            <w:tcW w:w="1960" w:type="dxa"/>
            <w:vAlign w:val="bottom"/>
            <w:gridSpan w:val="2"/>
          </w:tcPr>
          <w:p>
            <w:pPr>
              <w:ind w:left="520"/>
              <w:spacing w:after="0"/>
              <w:rPr>
                <w:sz w:val="20"/>
                <w:szCs w:val="20"/>
                <w:color w:val="auto"/>
              </w:rPr>
            </w:pPr>
            <w:r>
              <w:rPr>
                <w:rFonts w:ascii="Arial" w:cs="Arial" w:eastAsia="Arial" w:hAnsi="Arial"/>
                <w:sz w:val="16"/>
                <w:szCs w:val="16"/>
                <w:b w:val="1"/>
                <w:bCs w:val="1"/>
                <w:color w:val="auto"/>
              </w:rPr>
              <w:t>Commodity</w:t>
            </w: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33"/>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Coppabella</w:t>
            </w:r>
          </w:p>
        </w:tc>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Bowen</w:t>
            </w:r>
          </w:p>
        </w:tc>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met coal</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Dysart</w:t>
            </w:r>
          </w:p>
        </w:tc>
        <w:tc>
          <w:tcPr>
            <w:tcW w:w="1600" w:type="dxa"/>
            <w:vAlign w:val="bottom"/>
            <w:gridSpan w:val="2"/>
          </w:tcPr>
          <w:p>
            <w:pPr>
              <w:ind w:left="160"/>
              <w:spacing w:after="0"/>
              <w:rPr>
                <w:sz w:val="20"/>
                <w:szCs w:val="20"/>
                <w:color w:val="auto"/>
              </w:rPr>
            </w:pPr>
            <w:r>
              <w:rPr>
                <w:rFonts w:ascii="Arial" w:cs="Arial" w:eastAsia="Arial" w:hAnsi="Arial"/>
                <w:sz w:val="16"/>
                <w:szCs w:val="16"/>
                <w:color w:val="auto"/>
              </w:rPr>
              <w:t>Bowen</w:t>
            </w:r>
          </w:p>
        </w:tc>
        <w:tc>
          <w:tcPr>
            <w:tcW w:w="1960" w:type="dxa"/>
            <w:vAlign w:val="bottom"/>
            <w:gridSpan w:val="2"/>
          </w:tcPr>
          <w:p>
            <w:pPr>
              <w:ind w:left="180"/>
              <w:spacing w:after="0"/>
              <w:rPr>
                <w:sz w:val="20"/>
                <w:szCs w:val="20"/>
                <w:color w:val="auto"/>
              </w:rPr>
            </w:pPr>
            <w:r>
              <w:rPr>
                <w:rFonts w:ascii="Arial" w:cs="Arial" w:eastAsia="Arial" w:hAnsi="Arial"/>
                <w:sz w:val="16"/>
                <w:szCs w:val="16"/>
                <w:color w:val="auto"/>
              </w:rPr>
              <w:t>met coal</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1,798</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1,798</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1,798</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Moranbah</w:t>
            </w:r>
          </w:p>
        </w:tc>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Bowen</w:t>
            </w:r>
          </w:p>
        </w:tc>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met coal</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Middlemount</w:t>
            </w:r>
          </w:p>
        </w:tc>
        <w:tc>
          <w:tcPr>
            <w:tcW w:w="1600" w:type="dxa"/>
            <w:vAlign w:val="bottom"/>
            <w:gridSpan w:val="2"/>
          </w:tcPr>
          <w:p>
            <w:pPr>
              <w:ind w:left="160"/>
              <w:spacing w:after="0"/>
              <w:rPr>
                <w:sz w:val="20"/>
                <w:szCs w:val="20"/>
                <w:color w:val="auto"/>
              </w:rPr>
            </w:pPr>
            <w:r>
              <w:rPr>
                <w:rFonts w:ascii="Arial" w:cs="Arial" w:eastAsia="Arial" w:hAnsi="Arial"/>
                <w:sz w:val="16"/>
                <w:szCs w:val="16"/>
                <w:color w:val="auto"/>
              </w:rPr>
              <w:t>Bowen</w:t>
            </w:r>
          </w:p>
        </w:tc>
        <w:tc>
          <w:tcPr>
            <w:tcW w:w="1960" w:type="dxa"/>
            <w:vAlign w:val="bottom"/>
            <w:gridSpan w:val="2"/>
          </w:tcPr>
          <w:p>
            <w:pPr>
              <w:ind w:left="180"/>
              <w:spacing w:after="0"/>
              <w:rPr>
                <w:sz w:val="20"/>
                <w:szCs w:val="20"/>
                <w:color w:val="auto"/>
              </w:rPr>
            </w:pPr>
            <w:r>
              <w:rPr>
                <w:rFonts w:ascii="Arial" w:cs="Arial" w:eastAsia="Arial" w:hAnsi="Arial"/>
                <w:sz w:val="16"/>
                <w:szCs w:val="16"/>
                <w:color w:val="auto"/>
              </w:rPr>
              <w:t>met coal</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816</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Boggabri</w:t>
            </w:r>
          </w:p>
        </w:tc>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Gunnedah</w:t>
            </w:r>
          </w:p>
        </w:tc>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met/thermal coal</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Narrabri</w:t>
            </w:r>
          </w:p>
        </w:tc>
        <w:tc>
          <w:tcPr>
            <w:tcW w:w="1600" w:type="dxa"/>
            <w:vAlign w:val="bottom"/>
            <w:gridSpan w:val="2"/>
          </w:tcPr>
          <w:p>
            <w:pPr>
              <w:ind w:left="160"/>
              <w:spacing w:after="0"/>
              <w:rPr>
                <w:sz w:val="20"/>
                <w:szCs w:val="20"/>
                <w:color w:val="auto"/>
              </w:rPr>
            </w:pPr>
            <w:r>
              <w:rPr>
                <w:rFonts w:ascii="Arial" w:cs="Arial" w:eastAsia="Arial" w:hAnsi="Arial"/>
                <w:sz w:val="16"/>
                <w:szCs w:val="16"/>
                <w:color w:val="auto"/>
              </w:rPr>
              <w:t>Gunnedah</w:t>
            </w:r>
          </w:p>
        </w:tc>
        <w:tc>
          <w:tcPr>
            <w:tcW w:w="1960" w:type="dxa"/>
            <w:vAlign w:val="bottom"/>
            <w:gridSpan w:val="2"/>
          </w:tcPr>
          <w:p>
            <w:pPr>
              <w:ind w:left="180"/>
              <w:spacing w:after="0"/>
              <w:rPr>
                <w:sz w:val="20"/>
                <w:szCs w:val="20"/>
                <w:color w:val="auto"/>
              </w:rPr>
            </w:pPr>
            <w:r>
              <w:rPr>
                <w:rFonts w:ascii="Arial" w:cs="Arial" w:eastAsia="Arial" w:hAnsi="Arial"/>
                <w:sz w:val="16"/>
                <w:szCs w:val="16"/>
                <w:color w:val="auto"/>
              </w:rPr>
              <w:t>met/thermal coal</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502</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Nebo</w:t>
            </w:r>
          </w:p>
        </w:tc>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Bowen</w:t>
            </w:r>
          </w:p>
        </w:tc>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met coal</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r>
      <w:tr>
        <w:trPr>
          <w:trHeight w:val="270"/>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 xml:space="preserve">Calliope </w:t>
            </w:r>
            <w:r>
              <w:rPr>
                <w:rFonts w:ascii="Arial" w:cs="Arial" w:eastAsia="Arial" w:hAnsi="Arial"/>
                <w:sz w:val="21"/>
                <w:szCs w:val="21"/>
                <w:color w:val="auto"/>
                <w:vertAlign w:val="superscript"/>
              </w:rPr>
              <w:t>(1)</w:t>
            </w:r>
          </w:p>
        </w:tc>
        <w:tc>
          <w:tcPr>
            <w:tcW w:w="1480" w:type="dxa"/>
            <w:vAlign w:val="bottom"/>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960" w:type="dxa"/>
            <w:vAlign w:val="bottom"/>
            <w:gridSpan w:val="2"/>
          </w:tcPr>
          <w:p>
            <w:pPr>
              <w:ind w:left="180"/>
              <w:spacing w:after="0"/>
              <w:rPr>
                <w:sz w:val="20"/>
                <w:szCs w:val="20"/>
                <w:color w:val="auto"/>
              </w:rPr>
            </w:pPr>
            <w:r>
              <w:rPr>
                <w:rFonts w:ascii="Arial" w:cs="Arial" w:eastAsia="Arial" w:hAnsi="Arial"/>
                <w:sz w:val="16"/>
                <w:szCs w:val="16"/>
                <w:color w:val="auto"/>
              </w:rPr>
              <w:t>LNG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Kambalda</w:t>
            </w:r>
          </w:p>
        </w:tc>
        <w:tc>
          <w:tcPr>
            <w:tcW w:w="14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Gold, lithium</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Karratha</w:t>
            </w:r>
          </w:p>
        </w:tc>
        <w:tc>
          <w:tcPr>
            <w:tcW w:w="1600" w:type="dxa"/>
            <w:vAlign w:val="bottom"/>
            <w:gridSpan w:val="2"/>
          </w:tcPr>
          <w:p>
            <w:pPr>
              <w:ind w:left="160"/>
              <w:spacing w:after="0"/>
              <w:rPr>
                <w:sz w:val="20"/>
                <w:szCs w:val="20"/>
                <w:color w:val="auto"/>
              </w:rPr>
            </w:pPr>
            <w:r>
              <w:rPr>
                <w:rFonts w:ascii="Arial" w:cs="Arial" w:eastAsia="Arial" w:hAnsi="Arial"/>
                <w:sz w:val="16"/>
                <w:szCs w:val="16"/>
                <w:color w:val="auto"/>
              </w:rPr>
              <w:t>Pilbara</w:t>
            </w:r>
          </w:p>
        </w:tc>
        <w:tc>
          <w:tcPr>
            <w:tcW w:w="1960" w:type="dxa"/>
            <w:vAlign w:val="bottom"/>
            <w:gridSpan w:val="2"/>
          </w:tcPr>
          <w:p>
            <w:pPr>
              <w:ind w:left="180"/>
              <w:spacing w:after="0"/>
              <w:rPr>
                <w:sz w:val="20"/>
                <w:szCs w:val="20"/>
                <w:color w:val="auto"/>
              </w:rPr>
            </w:pPr>
            <w:r>
              <w:rPr>
                <w:rFonts w:ascii="Arial" w:cs="Arial" w:eastAsia="Arial" w:hAnsi="Arial"/>
                <w:sz w:val="16"/>
                <w:szCs w:val="16"/>
                <w:color w:val="auto"/>
              </w:rPr>
              <w:t>LNG, iron ore</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298</w:t>
            </w: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Rooms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9,386</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457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182" w:lineRule="exact"/>
        <w:rPr>
          <w:sz w:val="20"/>
          <w:szCs w:val="20"/>
          <w:color w:val="auto"/>
        </w:rPr>
      </w:pPr>
    </w:p>
    <w:p>
      <w:pPr>
        <w:ind w:right="80" w:firstLine="143"/>
        <w:spacing w:after="0" w:line="264" w:lineRule="auto"/>
        <w:tabs>
          <w:tab w:leader="none" w:pos="57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Currently closed due to low activity level in the region. This village was assessed for impairment upon its closure, and written down to its fair market value in 2015. Please see Note 4 - Impairment Charges to the notes to the consolidated financial statements in Item 8 of this annual report for further discussion.</w:t>
      </w:r>
    </w:p>
    <w:p>
      <w:pPr>
        <w:spacing w:after="0" w:line="181" w:lineRule="exact"/>
        <w:rPr>
          <w:sz w:val="20"/>
          <w:szCs w:val="20"/>
          <w:color w:val="auto"/>
        </w:rPr>
      </w:pPr>
    </w:p>
    <w:p>
      <w:pPr>
        <w:ind w:right="160" w:firstLine="459"/>
        <w:spacing w:after="0" w:line="279" w:lineRule="auto"/>
        <w:rPr>
          <w:sz w:val="20"/>
          <w:szCs w:val="20"/>
          <w:color w:val="auto"/>
        </w:rPr>
      </w:pPr>
      <w:r>
        <w:rPr>
          <w:rFonts w:ascii="Arial" w:cs="Arial" w:eastAsia="Arial" w:hAnsi="Arial"/>
          <w:sz w:val="17"/>
          <w:szCs w:val="17"/>
          <w:color w:val="auto"/>
        </w:rPr>
        <w:t>Our Australian segment includes ten villages with 9,346 rooms as of December 31, 2018 and are strategically located near long-lived, low-cost mines operated by large mining companies. Our Australian business provides hospitality services to mining and related service companies under short- and medium-term contracts. Our growth plan for this part of our business continues to include enhanced occupancy and expansion of these properties where we believe there is durable long-term demand, as well as to provide hospitality services at customer owned assets.</w:t>
      </w:r>
    </w:p>
    <w:p>
      <w:pPr>
        <w:spacing w:after="0" w:line="171" w:lineRule="exact"/>
        <w:rPr>
          <w:sz w:val="20"/>
          <w:szCs w:val="20"/>
          <w:color w:val="auto"/>
        </w:rPr>
      </w:pPr>
    </w:p>
    <w:p>
      <w:pPr>
        <w:ind w:right="140" w:firstLine="459"/>
        <w:spacing w:after="0" w:line="259" w:lineRule="auto"/>
        <w:rPr>
          <w:sz w:val="20"/>
          <w:szCs w:val="20"/>
          <w:color w:val="auto"/>
        </w:rPr>
      </w:pPr>
      <w:r>
        <w:rPr>
          <w:rFonts w:ascii="Arial" w:cs="Arial" w:eastAsia="Arial" w:hAnsi="Arial"/>
          <w:sz w:val="18"/>
          <w:szCs w:val="18"/>
          <w:color w:val="auto"/>
        </w:rPr>
        <w:t>Our Coppabella, Dysart, Moranbah, Middlemount and Nebo villages are located in the Bowen Basin. Coppabella, at over 3,000 rooms, is our largest village and provides rooms and related hospitality services to a variety of customers. Each of these villages supports both operational workforce needs and contractor needs with resort style amenities, including swimming pools, gyms, a walking track and a tavern. Our Nebo, Dysart, Moranbah and Middlemount Villages have a long history of providing service in the region.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40" w:firstLine="459"/>
        <w:spacing w:after="0" w:line="264" w:lineRule="auto"/>
        <w:rPr>
          <w:sz w:val="20"/>
          <w:szCs w:val="20"/>
          <w:color w:val="auto"/>
        </w:rPr>
      </w:pPr>
      <w:r>
        <w:rPr>
          <w:rFonts w:ascii="Arial" w:cs="Arial" w:eastAsia="Arial" w:hAnsi="Arial"/>
          <w:sz w:val="18"/>
          <w:szCs w:val="18"/>
          <w:color w:val="auto"/>
        </w:rPr>
        <w:t>Our Narrabri and Boggabri villages in New South Wales service met and thermal coal mines and coal seam gas in the Gunnedah Basin. Karratha village, in Western Australia, services workforces related to LNG facilities operations on the Northwest Shelf. Our Kambalda village supports gold and lithium mining in southern Western Australia.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80" w:firstLine="459"/>
        <w:spacing w:after="0" w:line="276" w:lineRule="auto"/>
        <w:rPr>
          <w:sz w:val="20"/>
          <w:szCs w:val="20"/>
          <w:color w:val="auto"/>
        </w:rPr>
      </w:pPr>
      <w:r>
        <w:rPr>
          <w:rFonts w:ascii="Arial" w:cs="Arial" w:eastAsia="Arial" w:hAnsi="Arial"/>
          <w:sz w:val="17"/>
          <w:szCs w:val="17"/>
          <w:color w:val="auto"/>
        </w:rPr>
        <w:t>During the year ended December 31, 2018, our U.S. business generated 11% of our revenue. Our U.S. business has operational exposure in the U.S. shale formations in West Texas, the Bakken, the mid Continent, and the Rockies and offshore Gulf of Mexico markets. The business provides accommodations facilities with hospitality services and highly mobile smaller camps that follow drilling rigs and completion crews as well as accommodations, office and storage modules that are placed on offshore drilling rigs and production platforms. Our U.S. business also provides lodging and hospitality services to the downstream industry through a 400-room facility near Lake Charles, Louisiana.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w:t>
      </w:r>
    </w:p>
    <w:p>
      <w:pPr>
        <w:spacing w:after="0" w:line="225"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Onshore oil and natural gas development in the U.S. has historically been supported by local workforces traveling short to moderate distances to the worksites. With the development of substantial resources in regions such as the Bakken, Rockies and Permian Basin, labor demand has exceeded the local labor supply and accommodations infrastructure to support the demand. Consequently, demand for remote, scalable accommodations and hospitality services has developed in the U.S. over the past several years. Demand for hospitality services in the U.S. has historically been tied to the level of oil and natural gas exploration and production activity, which is primarily driven by oil and natural gas prices. Activity levels have been, and we expect will continue to be, highly correlated with hydrocarbon commodity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48985" cy="3293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125"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U.S. Mobile Camps</w:t>
      </w:r>
    </w:p>
    <w:p>
      <w:pPr>
        <w:spacing w:after="0" w:line="225" w:lineRule="exact"/>
        <w:rPr>
          <w:sz w:val="20"/>
          <w:szCs w:val="20"/>
          <w:color w:val="auto"/>
        </w:rPr>
      </w:pPr>
    </w:p>
    <w:p>
      <w:pPr>
        <w:ind w:right="320" w:firstLine="459"/>
        <w:spacing w:after="0" w:line="259" w:lineRule="auto"/>
        <w:rPr>
          <w:sz w:val="20"/>
          <w:szCs w:val="20"/>
          <w:color w:val="auto"/>
        </w:rPr>
      </w:pPr>
      <w:r>
        <w:rPr>
          <w:rFonts w:ascii="Arial" w:cs="Arial" w:eastAsia="Arial" w:hAnsi="Arial"/>
          <w:sz w:val="18"/>
          <w:szCs w:val="18"/>
          <w:color w:val="auto"/>
        </w:rPr>
        <w:t>Our business in the U.S. consists primarily of mobile camp assets, both in the lower 48 states, including the Rocky Mountain corridor, the Bakken Shale region, the mid Continent region, the Permian Basin region of Texas, and in the Gulf of Mexico. We provide a variety of sizes and configurations to meet the needs of E&amp;P companies, completion companies, infrastructure construction projects and offshore drilling and completion activity. We provide quality hospitality services such as food service and housekeeping services as well.</w:t>
      </w:r>
    </w:p>
    <w:p>
      <w:pPr>
        <w:spacing w:after="0" w:line="187" w:lineRule="exact"/>
        <w:rPr>
          <w:sz w:val="20"/>
          <w:szCs w:val="20"/>
          <w:color w:val="auto"/>
        </w:rPr>
      </w:pPr>
    </w:p>
    <w:p>
      <w:pPr>
        <w:ind w:right="100" w:firstLine="459"/>
        <w:spacing w:after="0" w:line="264" w:lineRule="auto"/>
        <w:rPr>
          <w:sz w:val="20"/>
          <w:szCs w:val="20"/>
          <w:color w:val="auto"/>
        </w:rPr>
      </w:pPr>
      <w:r>
        <w:rPr>
          <w:rFonts w:ascii="Arial" w:cs="Arial" w:eastAsia="Arial" w:hAnsi="Arial"/>
          <w:sz w:val="18"/>
          <w:szCs w:val="18"/>
          <w:color w:val="auto"/>
        </w:rPr>
        <w:t>Our mobile camps are rented on a per unit basis based on the number of days that a customer utilizes the asset. In cases where we provide food service or other hospitality services, the contract can provide for per unit pricing or cost-plus pricing. Customers are also typically responsible for mobilization and demobilization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Lodges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w w:val="99"/>
              </w:rPr>
              <w:t>As of December 31,</w:t>
            </w:r>
          </w:p>
        </w:tc>
        <w:tc>
          <w:tcPr>
            <w:tcW w:w="1480" w:type="dxa"/>
            <w:vAlign w:val="bottom"/>
          </w:tcPr>
          <w:p>
            <w:pPr>
              <w:spacing w:after="0"/>
              <w:rPr>
                <w:sz w:val="18"/>
                <w:szCs w:val="18"/>
                <w:color w:val="auto"/>
              </w:rPr>
            </w:pPr>
          </w:p>
        </w:tc>
      </w:tr>
      <w:tr>
        <w:trPr>
          <w:trHeight w:val="270"/>
        </w:trPr>
        <w:tc>
          <w:tcPr>
            <w:tcW w:w="5160" w:type="dxa"/>
            <w:vAlign w:val="bottom"/>
          </w:tcPr>
          <w:p>
            <w:pPr>
              <w:spacing w:after="0"/>
              <w:rPr>
                <w:sz w:val="23"/>
                <w:szCs w:val="23"/>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State</w:t>
            </w: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3"/>
                <w:szCs w:val="23"/>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3"/>
                <w:szCs w:val="23"/>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 Permian</w:t>
            </w:r>
          </w:p>
        </w:tc>
        <w:tc>
          <w:tcPr>
            <w:tcW w:w="160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TX</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Acadian Acres</w:t>
            </w:r>
          </w:p>
        </w:tc>
        <w:tc>
          <w:tcPr>
            <w:tcW w:w="1600" w:type="dxa"/>
            <w:vAlign w:val="bottom"/>
            <w:gridSpan w:val="2"/>
          </w:tcPr>
          <w:p>
            <w:pPr>
              <w:jc w:val="right"/>
              <w:ind w:right="680"/>
              <w:spacing w:after="0"/>
              <w:rPr>
                <w:sz w:val="20"/>
                <w:szCs w:val="20"/>
                <w:color w:val="auto"/>
              </w:rPr>
            </w:pPr>
            <w:r>
              <w:rPr>
                <w:rFonts w:ascii="Arial" w:cs="Arial" w:eastAsia="Arial" w:hAnsi="Arial"/>
                <w:sz w:val="16"/>
                <w:szCs w:val="16"/>
                <w:color w:val="auto"/>
              </w:rPr>
              <w:t>LA</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Killdeer</w:t>
            </w:r>
          </w:p>
        </w:tc>
        <w:tc>
          <w:tcPr>
            <w:tcW w:w="160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ND</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Total Rooms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1,025</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561</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545</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59"/>
        <w:spacing w:after="0" w:line="286" w:lineRule="auto"/>
        <w:rPr>
          <w:sz w:val="20"/>
          <w:szCs w:val="20"/>
          <w:color w:val="auto"/>
        </w:rPr>
      </w:pPr>
      <w:r>
        <w:rPr>
          <w:rFonts w:ascii="Arial" w:cs="Arial" w:eastAsia="Arial" w:hAnsi="Arial"/>
          <w:sz w:val="17"/>
          <w:szCs w:val="17"/>
          <w:color w:val="auto"/>
        </w:rPr>
        <w:t>We had three lodges in the U.S. comprised of 1,025 rooms as of December 31, 2018. Our Killdeer Lodge, which we opened in October 2013, provides rooms to the Bakken Shale region in North Dakota. Our West Permian Lodge supports the Permian Basin in West Texas. Our Acadian Acres Lodge, which we acquired in February 2018, provides rooms near Lake Charles, Louisiana to support the Louisiana downstream market.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Construction</w:t>
      </w:r>
    </w:p>
    <w:p>
      <w:pPr>
        <w:spacing w:after="0" w:line="229" w:lineRule="exact"/>
        <w:rPr>
          <w:sz w:val="20"/>
          <w:szCs w:val="20"/>
          <w:color w:val="auto"/>
        </w:rPr>
      </w:pPr>
    </w:p>
    <w:p>
      <w:pPr>
        <w:ind w:right="60" w:firstLine="459"/>
        <w:spacing w:after="0" w:line="254" w:lineRule="auto"/>
        <w:rPr>
          <w:sz w:val="20"/>
          <w:szCs w:val="20"/>
          <w:color w:val="auto"/>
        </w:rPr>
      </w:pPr>
      <w:r>
        <w:rPr>
          <w:rFonts w:ascii="Arial" w:cs="Arial" w:eastAsia="Arial" w:hAnsi="Arial"/>
          <w:sz w:val="18"/>
          <w:szCs w:val="18"/>
          <w:color w:val="auto"/>
        </w:rPr>
        <w:t>The capability of our Canadian business includes the design, engineering, transportation and installation of a variety of modular buildings, predominately for our own use. As of December 31, 2018, we owned one modular construction and manufacturing plant near Edmonton, Alberta, Canada. During the fourth quarter of 2017, we made the decision to sell this plant due to changing geographic and market needs. In line with our Australian and U.S. strategy, we are now subcontracting modular construction from third-party manufacturers for our Canadian business. In Canada, we continue to retain a staff of experts who have designed and delivered large and small modular construction projects.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design accommodations facilities to suit the climate, terrain and population of a specific project 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Relations</w:t>
      </w:r>
    </w:p>
    <w:p>
      <w:pPr>
        <w:spacing w:after="0" w:line="229" w:lineRule="exact"/>
        <w:rPr>
          <w:sz w:val="20"/>
          <w:szCs w:val="20"/>
          <w:color w:val="auto"/>
        </w:rPr>
      </w:pPr>
    </w:p>
    <w:p>
      <w:pPr>
        <w:ind w:right="220" w:firstLine="459"/>
        <w:spacing w:after="0" w:line="255" w:lineRule="auto"/>
        <w:rPr>
          <w:sz w:val="20"/>
          <w:szCs w:val="20"/>
          <w:color w:val="auto"/>
        </w:rPr>
      </w:pPr>
      <w:r>
        <w:rPr>
          <w:rFonts w:ascii="Arial" w:cs="Arial" w:eastAsia="Arial" w:hAnsi="Arial"/>
          <w:sz w:val="18"/>
          <w:szCs w:val="18"/>
          <w:color w:val="auto"/>
        </w:rPr>
        <w:t>With a focus on long-term Indigenous community participation, our Canadian operations continue to work closely with a number of First Nations to develop mutually beneficial partnerships focused on revenue sharing, capacity building, employment and community investment and support. For over a decade, our Canadian operations supported Buffalo Metis Catering, a partnership with three Metis communities in the Regional Municipality of Wood Buffalo. Through this partnership, food and housekeeping services were delivered to three of our lodges. Beyond these services, this partnership provided a business incubator environment for a number of Metis business ventures. Our Canadian operations also procure services from a number of other First Nations-owned and member-owned businesses to deliver water hauling, snow removal and security services. The annual value of these contracts exceeds C$10 million.</w:t>
      </w:r>
    </w:p>
    <w:p>
      <w:pPr>
        <w:spacing w:after="0" w:line="189" w:lineRule="exact"/>
        <w:rPr>
          <w:sz w:val="20"/>
          <w:szCs w:val="20"/>
          <w:color w:val="auto"/>
        </w:rPr>
      </w:pPr>
    </w:p>
    <w:p>
      <w:pPr>
        <w:ind w:right="240" w:firstLine="459"/>
        <w:spacing w:after="0" w:line="264" w:lineRule="auto"/>
        <w:rPr>
          <w:sz w:val="20"/>
          <w:szCs w:val="20"/>
          <w:color w:val="auto"/>
        </w:rPr>
      </w:pPr>
      <w:r>
        <w:rPr>
          <w:rFonts w:ascii="Arial" w:cs="Arial" w:eastAsia="Arial" w:hAnsi="Arial"/>
          <w:sz w:val="18"/>
          <w:szCs w:val="18"/>
          <w:color w:val="auto"/>
        </w:rPr>
        <w:t>Our Indigenous partnership initiatives were recognized in 2011 and 2012 with awards from the Alberta Chamber of Commerce. In addition, in 2016, Civeo was awarded a Silver level PAR certification by the Canadian Council for Aboriginal Business (CCAB), demonstrating our commitment to the principles and practices established by the CCAB.</w:t>
      </w:r>
    </w:p>
    <w:p>
      <w:pPr>
        <w:spacing w:after="0" w:line="208" w:lineRule="exact"/>
        <w:rPr>
          <w:sz w:val="20"/>
          <w:szCs w:val="20"/>
          <w:color w:val="auto"/>
        </w:rPr>
      </w:pPr>
    </w:p>
    <w:p>
      <w:pPr>
        <w:jc w:val="both"/>
        <w:ind w:right="160" w:firstLine="459"/>
        <w:spacing w:after="0" w:line="306" w:lineRule="auto"/>
        <w:rPr>
          <w:sz w:val="20"/>
          <w:szCs w:val="20"/>
          <w:color w:val="auto"/>
        </w:rPr>
      </w:pPr>
      <w:r>
        <w:rPr>
          <w:rFonts w:ascii="Arial" w:cs="Arial" w:eastAsia="Arial" w:hAnsi="Arial"/>
          <w:sz w:val="18"/>
          <w:szCs w:val="18"/>
          <w:color w:val="auto"/>
        </w:rPr>
        <w:t>In 2018, Civeo entered into three new indigenous partnerships in the oil sands region and two new partnerships in British Columbia. Our partnerships in British Columbia are tied to accommodations contracts secured by Civeo for the Kitimat LNG Facility and for the Coastal Gas Link pipeline project that originates in the North Montney region of north east British Columbia. Beyond revenue sharing, these new arrangements provide employment, training, and ancillary business opportunities for indigenous owned businesses.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59"/>
        <w:spacing w:after="0" w:line="255" w:lineRule="auto"/>
        <w:rPr>
          <w:sz w:val="20"/>
          <w:szCs w:val="20"/>
          <w:color w:val="auto"/>
        </w:rPr>
      </w:pPr>
      <w:r>
        <w:rPr>
          <w:rFonts w:ascii="Arial" w:cs="Arial" w:eastAsia="Arial" w:hAnsi="Arial"/>
          <w:sz w:val="18"/>
          <w:szCs w:val="18"/>
          <w:color w:val="auto"/>
        </w:rPr>
        <w:t>In Australia, our community relations program also aims to build and maintain a positive social license to operate by consulting and engaging with local regional communities from project inception, through development, construction and operations. This is a major advantage for our business model, as it facilitates consistent communication, engenders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Competitors</w:t>
      </w:r>
    </w:p>
    <w:p>
      <w:pPr>
        <w:spacing w:after="0" w:line="229" w:lineRule="exact"/>
        <w:rPr>
          <w:sz w:val="20"/>
          <w:szCs w:val="20"/>
          <w:color w:val="auto"/>
        </w:rPr>
      </w:pPr>
    </w:p>
    <w:p>
      <w:pPr>
        <w:ind w:right="20" w:firstLine="459"/>
        <w:spacing w:after="0" w:line="257" w:lineRule="auto"/>
        <w:rPr>
          <w:sz w:val="20"/>
          <w:szCs w:val="20"/>
          <w:color w:val="auto"/>
        </w:rPr>
      </w:pPr>
      <w:r>
        <w:rPr>
          <w:rFonts w:ascii="Arial" w:cs="Arial" w:eastAsia="Arial" w:hAnsi="Arial"/>
          <w:sz w:val="18"/>
          <w:szCs w:val="18"/>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 Our largest customers in 2018 were Imperial Oil Limited (a company controlled by ExxonMobil Corporation), Fort Hills Energy LP (a partnership between Suncor Energy Inc., Total E&amp;P Canada Ltd and Teck Resources Limited) and Suncor Energy Inc., who each accounted for more than 10% of our 2018 revenues.</w:t>
      </w:r>
    </w:p>
    <w:p>
      <w:pPr>
        <w:spacing w:after="0" w:line="188"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color w:val="auto"/>
        </w:rPr>
        <w:t>Our primary competitors in Canada in lodge and mobile camp hospitality services include ATCO, Black Diamond, Horizon North and Clean Harbors, Inc. Some of these competitors have one or two locations similar to our oil sands lodges; however, based on our estimates, these competitors do not have the breadth or scale of our lodge operations. In Canada, we also compete against Aramark and Compass Group for third-party facility management and hospitality services.</w:t>
      </w:r>
    </w:p>
    <w:p>
      <w:pPr>
        <w:spacing w:after="0" w:line="187" w:lineRule="exact"/>
        <w:rPr>
          <w:sz w:val="20"/>
          <w:szCs w:val="20"/>
          <w:color w:val="auto"/>
        </w:rPr>
      </w:pPr>
    </w:p>
    <w:p>
      <w:pPr>
        <w:ind w:right="640" w:firstLine="459"/>
        <w:spacing w:after="0" w:line="277" w:lineRule="auto"/>
        <w:rPr>
          <w:sz w:val="20"/>
          <w:szCs w:val="20"/>
          <w:color w:val="auto"/>
        </w:rPr>
      </w:pPr>
      <w:r>
        <w:rPr>
          <w:rFonts w:ascii="Arial" w:cs="Arial" w:eastAsia="Arial" w:hAnsi="Arial"/>
          <w:sz w:val="18"/>
          <w:szCs w:val="18"/>
          <w:color w:val="auto"/>
        </w:rPr>
        <w:t>Our primary competitors in Australia for our village hospitality services are Ausco Modular (a subsidiary of Algeco Scotsman) and Fleetwood Corporation. We also compete against Sodexo and Compass Group for third-party facility management services.</w:t>
      </w:r>
    </w:p>
    <w:p>
      <w:pPr>
        <w:spacing w:after="0" w:line="170" w:lineRule="exact"/>
        <w:rPr>
          <w:sz w:val="20"/>
          <w:szCs w:val="20"/>
          <w:color w:val="auto"/>
        </w:rPr>
      </w:pPr>
    </w:p>
    <w:p>
      <w:pPr>
        <w:ind w:right="440" w:firstLine="459"/>
        <w:spacing w:after="0" w:line="342" w:lineRule="auto"/>
        <w:rPr>
          <w:sz w:val="20"/>
          <w:szCs w:val="20"/>
          <w:color w:val="auto"/>
        </w:rPr>
      </w:pPr>
      <w:r>
        <w:rPr>
          <w:rFonts w:ascii="Arial" w:cs="Arial" w:eastAsia="Arial" w:hAnsi="Arial"/>
          <w:sz w:val="16"/>
          <w:szCs w:val="16"/>
          <w:color w:val="auto"/>
        </w:rPr>
        <w:t>In the U.S., we primarily offer our lodge and mobile camp hospitality services and compete against Peak Oilfield Services (a subsidiary of Select Energy Services), Stallion Oilfield Holdings, Inc., Target Hospitality, HB Rentals (a subsidiary of Superior Energy Services) and Black Diamond.</w:t>
      </w:r>
    </w:p>
    <w:p>
      <w:pPr>
        <w:spacing w:after="0" w:line="124" w:lineRule="exact"/>
        <w:rPr>
          <w:sz w:val="20"/>
          <w:szCs w:val="20"/>
          <w:color w:val="auto"/>
        </w:rPr>
      </w:pPr>
    </w:p>
    <w:p>
      <w:pPr>
        <w:ind w:right="160" w:firstLine="459"/>
        <w:spacing w:after="0" w:line="277" w:lineRule="auto"/>
        <w:rPr>
          <w:sz w:val="20"/>
          <w:szCs w:val="20"/>
          <w:color w:val="auto"/>
        </w:rPr>
      </w:pPr>
      <w:r>
        <w:rPr>
          <w:rFonts w:ascii="Arial" w:cs="Arial" w:eastAsia="Arial" w:hAnsi="Arial"/>
          <w:sz w:val="18"/>
          <w:szCs w:val="18"/>
          <w:color w:val="auto"/>
        </w:rPr>
        <w:t>Historically, many customers have invested in their own accommodations. We estimate that our existing and potential customers own approximately 50% of the rooms available in the Canadian oil sands and 50% of the rooms in the Australian coal mining regions.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Lodge and Village Contracts</w:t>
      </w:r>
    </w:p>
    <w:p>
      <w:pPr>
        <w:spacing w:after="0" w:line="229" w:lineRule="exact"/>
        <w:rPr>
          <w:sz w:val="20"/>
          <w:szCs w:val="20"/>
          <w:color w:val="auto"/>
        </w:rPr>
      </w:pPr>
    </w:p>
    <w:p>
      <w:pPr>
        <w:ind w:firstLine="459"/>
        <w:spacing w:after="0" w:line="270" w:lineRule="auto"/>
        <w:rPr>
          <w:sz w:val="20"/>
          <w:szCs w:val="20"/>
          <w:color w:val="auto"/>
        </w:rPr>
      </w:pPr>
      <w:r>
        <w:rPr>
          <w:rFonts w:ascii="Arial" w:cs="Arial" w:eastAsia="Arial" w:hAnsi="Arial"/>
          <w:sz w:val="17"/>
          <w:szCs w:val="17"/>
          <w:color w:val="auto"/>
        </w:rPr>
        <w:t>During the year ended December 31, 2018, revenues from our lodges and villages represented over 80% of our consolidated revenues. Our customers typically contract for hospitality services under take-or-pay or exclusivity contracts with terms that most often range from several months to three years. Our contract terms generally provide for a rental rate for a reserved room and an occupied room rate that compensates us for hospitality services, including meals, utilities and maintenance for workers staying in the lodges and villages. In multi-year contracts, our rates typically have annual contractual escalation provisions to cover expected increases in labor and consumables costs over the contract term. Over the term of a take-or-pay contract, the customer commits to a minimum number of rooms over a determined period. Over the term of an exclusivity contract, rather than receiving a minimum room commitment, we are the exclusive hospitality service provider for the customer's employees working on a specific project or projects. In some contracts, customers have a contractual right to terminate rooms, for reasons other than a breach, in exchange for a termination fee. As of December 31, 2018, we had commitments for 24% of our rentable rooms for 2019 and 11% of our rentable rooms for 2020.</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5"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2018, we had 5,472 rooms under contract. The table below details the expiration of those contracts:</w:t>
      </w:r>
    </w:p>
    <w:p>
      <w:pPr>
        <w:spacing w:after="0" w:line="172" w:lineRule="exact"/>
        <w:rPr>
          <w:sz w:val="20"/>
          <w:szCs w:val="20"/>
          <w:color w:val="auto"/>
        </w:rPr>
      </w:pPr>
    </w:p>
    <w:tbl>
      <w:tblPr>
        <w:tblLayout w:type="fixed"/>
        <w:tblInd w:w="344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Contracted</w:t>
            </w:r>
          </w:p>
        </w:tc>
      </w:tr>
      <w:tr>
        <w:trPr>
          <w:trHeight w:val="210"/>
        </w:trPr>
        <w:tc>
          <w:tcPr>
            <w:tcW w:w="31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Room Expiration</w:t>
            </w:r>
          </w:p>
        </w:tc>
      </w:tr>
      <w:tr>
        <w:trPr>
          <w:trHeight w:val="33"/>
        </w:trPr>
        <w:tc>
          <w:tcPr>
            <w:tcW w:w="3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2020</w:t>
            </w:r>
          </w:p>
        </w:tc>
        <w:tc>
          <w:tcPr>
            <w:tcW w:w="1460" w:type="dxa"/>
            <w:vAlign w:val="bottom"/>
          </w:tcPr>
          <w:p>
            <w:pPr>
              <w:jc w:val="right"/>
              <w:spacing w:after="0"/>
              <w:rPr>
                <w:sz w:val="20"/>
                <w:szCs w:val="20"/>
                <w:color w:val="auto"/>
              </w:rPr>
            </w:pPr>
            <w:r>
              <w:rPr>
                <w:rFonts w:ascii="Arial" w:cs="Arial" w:eastAsia="Arial" w:hAnsi="Arial"/>
                <w:sz w:val="16"/>
                <w:szCs w:val="16"/>
                <w:color w:val="auto"/>
              </w:rPr>
              <w:t>3,613</w:t>
            </w:r>
          </w:p>
        </w:tc>
      </w:tr>
      <w:tr>
        <w:trPr>
          <w:trHeight w:val="33"/>
        </w:trPr>
        <w:tc>
          <w:tcPr>
            <w:tcW w:w="3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2022</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5,472</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900" w:firstLine="459"/>
        <w:spacing w:after="0" w:line="308" w:lineRule="auto"/>
        <w:rPr>
          <w:sz w:val="20"/>
          <w:szCs w:val="20"/>
          <w:color w:val="auto"/>
        </w:rPr>
      </w:pPr>
      <w:r>
        <w:rPr>
          <w:rFonts w:ascii="Arial" w:cs="Arial" w:eastAsia="Arial" w:hAnsi="Arial"/>
          <w:sz w:val="17"/>
          <w:szCs w:val="17"/>
          <w:color w:val="auto"/>
        </w:rPr>
        <w:t>The contracts expire throughout the year, and for many of the near-term expirations, we are in the process of negotiating extensions or new commitments. We cannot assure that we can renew existing contracts or obtain new business on the same or better terms, if at 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Operations</w:t>
      </w:r>
    </w:p>
    <w:p>
      <w:pPr>
        <w:spacing w:after="0" w:line="229"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Our operations are directly affected by seasonal weather. A portion of our Canadian operations is conducted during the winter months when the winter freeze in remote regions is required for customers’ activity to occur. The spring thaw in these frontier regions restricts operations in the second quarter and adversely affects our operations and our ability to provide services. Customers’ maintenance activities in the oil sands region, such as shutdown and turnaround activity, are typically performed in the second and third quarters annually.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U.S., winter weather in the first quarter and the resulting spring break up in the second quarter have historically negatively impacted our Bakken and Rocky Mountain operations. Our U.S. offshore operations have historically been impacted by the Gulf of Mexico hurricane season from July through November.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459"/>
        <w:spacing w:after="0" w:line="312" w:lineRule="auto"/>
        <w:rPr>
          <w:sz w:val="20"/>
          <w:szCs w:val="20"/>
          <w:color w:val="auto"/>
        </w:rPr>
      </w:pPr>
      <w:r>
        <w:rPr>
          <w:rFonts w:ascii="Arial" w:cs="Arial" w:eastAsia="Arial" w:hAnsi="Arial"/>
          <w:sz w:val="16"/>
          <w:szCs w:val="16"/>
          <w:color w:val="auto"/>
        </w:rPr>
        <w:t>As of December 31, 2018, we had approximately 700 full-time employees and approximately 1,500 hourly employees on a consolidated basis, 73% of whom are located in Canada, 18% of whom are located in Australia and 9% of whom are located in the U.S. We were party to collective bargaining agreements covering approximately 1,100 employees located in Canada and 140 employees located in Australia as of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459"/>
        <w:spacing w:after="0" w:line="312" w:lineRule="auto"/>
        <w:rPr>
          <w:sz w:val="20"/>
          <w:szCs w:val="20"/>
          <w:color w:val="auto"/>
        </w:rPr>
      </w:pPr>
      <w:r>
        <w:rPr>
          <w:rFonts w:ascii="Arial" w:cs="Arial" w:eastAsia="Arial" w:hAnsi="Arial"/>
          <w:sz w:val="16"/>
          <w:szCs w:val="16"/>
          <w:color w:val="auto"/>
        </w:rPr>
        <w:t>Our business is significantly affected by foreign and U.S.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and the development of new laws and regulations could significantly affect our business and result in:</w:t>
      </w:r>
    </w:p>
    <w:p>
      <w:pPr>
        <w:spacing w:after="0" w:line="14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compliance costs or additional operating restrictions associated with our operations or our customers’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increased costs to our business or our customers’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demand for oil, natural gas, and other natural resources that our customers produce;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demand for our services.</w:t>
      </w:r>
    </w:p>
    <w:p>
      <w:pPr>
        <w:spacing w:after="0" w:line="225"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To the extent that these laws and regulations impose more stringent requirements or increased costs or delays upon our customers in the performance of their operations, the resulting demand for our services by those customers may be adversely affected, which impact could be significant and long-lasting. Moreover, climate change laws or regulations could increase the cost of consuming, and thereby reduce demand for, oil and natural gas, which could reduce our customers’ demand for our services. We cannot predict changes in the level of enforcement of existing laws and regulations, how these laws and regulations may be interpreted or the effect changes in these laws and regulations may have on us or our customers or on our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70" w:lineRule="exact"/>
        <w:rPr>
          <w:sz w:val="20"/>
          <w:szCs w:val="20"/>
          <w:color w:val="auto"/>
        </w:rPr>
      </w:pPr>
    </w:p>
    <w:p>
      <w:pPr>
        <w:ind w:firstLine="459"/>
        <w:spacing w:after="0" w:line="288" w:lineRule="auto"/>
        <w:rPr>
          <w:sz w:val="20"/>
          <w:szCs w:val="20"/>
          <w:color w:val="auto"/>
        </w:rPr>
      </w:pPr>
      <w:r>
        <w:rPr>
          <w:rFonts w:ascii="Arial" w:cs="Arial" w:eastAsia="Arial" w:hAnsi="Arial"/>
          <w:sz w:val="16"/>
          <w:szCs w:val="16"/>
          <w:color w:val="auto"/>
        </w:rPr>
        <w:t>Our operations and the operations of our customers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financial condition, results of operations or cash flows. However, there can be no assurance that substantial costs for compliance or penalties for non-compliance with these existing requirements will not be incurred in the future by us or our customers.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Environmental Regulations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Canada, the federal, provincial and local governments have jurisdiction to regulate environmental matters. We or our customers may be subject to environmental regulations imposed by these three levels of government. The following addresses updates to Canadian environmental regulations in 2018 that may affect us or our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Quality Management</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Government of Alberta (Alberta) and the Government of Canada (Canada) each have frameworks for air quality management that may affect us and our customers.</w:t>
      </w:r>
    </w:p>
    <w:p>
      <w:pPr>
        <w:spacing w:after="0" w:line="170"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 xml:space="preserve">At the federal level, the </w:t>
      </w:r>
      <w:r>
        <w:rPr>
          <w:rFonts w:ascii="Arial" w:cs="Arial" w:eastAsia="Arial" w:hAnsi="Arial"/>
          <w:sz w:val="18"/>
          <w:szCs w:val="18"/>
          <w:i w:val="1"/>
          <w:iCs w:val="1"/>
          <w:color w:val="auto"/>
        </w:rPr>
        <w:t>Multi-Sector Air Pollutants Regulations</w:t>
      </w:r>
      <w:r>
        <w:rPr>
          <w:rFonts w:ascii="Arial" w:cs="Arial" w:eastAsia="Arial" w:hAnsi="Arial"/>
          <w:sz w:val="18"/>
          <w:szCs w:val="18"/>
          <w:color w:val="auto"/>
        </w:rPr>
        <w:t xml:space="preserve"> impose mandatory air emissions standards that limit the amount of nitrogen oxides and sulphur dioxides that can be emitted from certain boilers, heaters and gaseous-fuel-fired engines used in industrial facilities as well as from cement kilns. These regulations may impact emission performance standards for compressors and boilers used by our customers in conventional and steam assisted gravity operations in the oil sands and may affect our customers’ operations.</w:t>
      </w:r>
    </w:p>
    <w:p>
      <w:pPr>
        <w:spacing w:after="0" w:line="187" w:lineRule="exact"/>
        <w:rPr>
          <w:sz w:val="20"/>
          <w:szCs w:val="20"/>
          <w:color w:val="auto"/>
        </w:rPr>
      </w:pPr>
    </w:p>
    <w:p>
      <w:pPr>
        <w:ind w:right="100" w:firstLine="243"/>
        <w:spacing w:after="0" w:line="272" w:lineRule="auto"/>
        <w:rPr>
          <w:sz w:val="20"/>
          <w:szCs w:val="20"/>
          <w:color w:val="auto"/>
        </w:rPr>
      </w:pPr>
      <w:r>
        <w:rPr>
          <w:rFonts w:ascii="Arial" w:cs="Arial" w:eastAsia="Arial" w:hAnsi="Arial"/>
          <w:sz w:val="17"/>
          <w:szCs w:val="17"/>
          <w:color w:val="auto"/>
        </w:rPr>
        <w:t>In addition to federal requirements, emissions from facilities in Alberta are subject to provincial regulation. The Alberta Energy Regulator (AER), which is responsible for regulating upstream oil and gas activity in the province, oversees compliance with Directive 60, which requires operators to eliminate or reduce flaring associated with a wide variety of energy development activities and operations. In December 2018, the AER finalized amendments to its Directive 60 and Directive 17 as part of its role in implementing commitments from the Alberta government to reduce methane emissions from upstream oil and gas operations by 45 per cent by 2025. These requirements, among other things, set limits on methane emissions from various facilities and require annual reporting of such emissions to the AER, with the first such report covering the 2019 calendar year and coming due on June 1, 2020. Meeting these regulatory requirements may result in additional costs or liabilities for our customers’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Regulation</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Scientific studies have suggested that emissions of greenhouse gases (GHG),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 to commit to specific efforts to reduce GHG emissions, although how and when the commitments may be converted into binding emission reduction obligations, if ever, is currently uncertain. Pursuant to the Copenhagen Accord process, Canada has indicated an economy-wide GHG emissions target that equates to a 17 percent reduction from 2005 levels by 2020, and the former Canadian Conservative federal government indicated an objective of reducing overall Canadian GHG emissions by 60 percent to 70 percent from 2006 levels by 2050. However, with current climate change measures in place, Canada’s GHG emissions are forecast to be just under 6% below 2005 levels by 2020.</w:t>
      </w:r>
    </w:p>
    <w:p>
      <w:pPr>
        <w:spacing w:after="0" w:line="16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 December 2015, 195 nations, including Canada, Australia, and the U.S., adopted the Paris Agreement at the 21st “Conference of the Parties” (COP 21). The Paris Agreement does not set legally binding emission reduction targets but does set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goal of limiting global temperature increases to less than 2° Celsius. Canada announced that it is in favor of the decision of the COP 21 to endeavor to take action to further limit global temperature increases to less than 1.5° Celsius. The Paris Agreement also requires parties to submit Intended Nationally Determined Contributions (INDCs) which set out their emission reduction targets and to renew these INDCs, with the goal of increasing the reductions, every five years. The Paris Agreement does not legally bind the parties to reach their INDCs, nor does it prescribe the measures it must take to achieve them. These measures are left to each participating nation. In September 2016, the new federal government confirmed that it would not commit to a more ambitious INDC than the preceding Conservative federal government. The government maintained this approach in 2017 revisions to Canada’s INDC submission taking into account the federal Pan-Canadian Framework on Clean Growth and Climate Change (PCF) adopted in 2016.</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In March 2016, Canada and the Government of the United States jointly announced their intention to take action to reduce methane emissions from the oil and gas sector in an effort to meet their respective INDCs pursuant to the Paris Agreement. For its part, Canada announced its intention to reduce methane emissions from the oil and gas sector by 40-45 percent below 2012 levels by 2025. In 2018, the government introduced the </w:t>
      </w:r>
      <w:r>
        <w:rPr>
          <w:rFonts w:ascii="Arial" w:cs="Arial" w:eastAsia="Arial" w:hAnsi="Arial"/>
          <w:sz w:val="17"/>
          <w:szCs w:val="17"/>
          <w:i w:val="1"/>
          <w:iCs w:val="1"/>
          <w:color w:val="auto"/>
        </w:rPr>
        <w:t>Regulations Respecting Reduction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 the Release of Methane and Certain Volatile Organic Compounds (Upstream Oil and Gas Sector) </w:t>
      </w:r>
      <w:r>
        <w:rPr>
          <w:rFonts w:ascii="Arial" w:cs="Arial" w:eastAsia="Arial" w:hAnsi="Arial"/>
          <w:sz w:val="17"/>
          <w:szCs w:val="17"/>
          <w:color w:val="auto"/>
        </w:rPr>
        <w:t>(“Federal Methane Regulations”) to implement its</w:t>
      </w:r>
      <w:r>
        <w:rPr>
          <w:rFonts w:ascii="Arial" w:cs="Arial" w:eastAsia="Arial" w:hAnsi="Arial"/>
          <w:sz w:val="17"/>
          <w:szCs w:val="17"/>
          <w:i w:val="1"/>
          <w:iCs w:val="1"/>
          <w:color w:val="auto"/>
        </w:rPr>
        <w:t xml:space="preserve"> </w:t>
      </w:r>
      <w:r>
        <w:rPr>
          <w:rFonts w:ascii="Arial" w:cs="Arial" w:eastAsia="Arial" w:hAnsi="Arial"/>
          <w:sz w:val="17"/>
          <w:szCs w:val="17"/>
          <w:color w:val="auto"/>
        </w:rPr>
        <w:t>methane commitment. The Federal Methane Regulations impose various quantity-based limits on the venting of natural gas (or in the case of well completions involving hydraulic fracturing, a ban on such venting) and include associated conservation, measurement, inspection and corrective action requirements. Certain requirements of the Federal Methane Regulations come into effect January 1, 2020, with others deferred until January 1, 2023. These requirements may result in additional costs or liabilities for our customers’ operations.</w:t>
      </w:r>
    </w:p>
    <w:p>
      <w:pPr>
        <w:spacing w:after="0" w:line="1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In March 2016, as a further effort to meet Canada’s INDC, representatives of the federal and certain provincial governments committed to imposing a price on carbon pollution, beginning at $10 per tonne in 2018 and increasing at a rate of $10 annually to $50 per tonne in 2022. To implement its INDC and PCF commitments, the federal government introduced the </w:t>
      </w:r>
      <w:r>
        <w:rPr>
          <w:rFonts w:ascii="Arial" w:cs="Arial" w:eastAsia="Arial" w:hAnsi="Arial"/>
          <w:sz w:val="17"/>
          <w:szCs w:val="17"/>
          <w:i w:val="1"/>
          <w:iCs w:val="1"/>
          <w:color w:val="auto"/>
        </w:rPr>
        <w:t>Greenhouse Gas Pollution Pricing Act</w:t>
      </w:r>
      <w:r>
        <w:rPr>
          <w:rFonts w:ascii="Arial" w:cs="Arial" w:eastAsia="Arial" w:hAnsi="Arial"/>
          <w:sz w:val="17"/>
          <w:szCs w:val="17"/>
          <w:color w:val="auto"/>
        </w:rPr>
        <w:t>, which as of its assent in June 2018 implements a legislative carbon pricing “backstop” applying a benchmark carbon price in any province that does not establish an equivalent framework at or above the benchmark level. The backstop allows individual provinces to choose between an explicit price-based system (as exists in British Columbia) or a cap-and-trade system (as exists in Quebec). Features of the backstop come into effect at various points in 2019 in Ontario, New Brunswick, Manitoba, Saskatchewan, Yukon, Nunavut and Prince Edward Island. Saskatchewan and Ontario are challenging the backstop in court on the basis that the federal government lacks the constitutional ability to implement the measure. The outcome of this litigation is uncertain and could affect our customers compliance requirements in provinces subject to the backstop or which may become subject to the backstop in the future.</w:t>
      </w:r>
    </w:p>
    <w:p>
      <w:pPr>
        <w:spacing w:after="0" w:line="182"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 xml:space="preserve">Additionally, GHG regulation can take place at the provincial level. For example, Alberta’s </w:t>
      </w:r>
      <w:r>
        <w:rPr>
          <w:rFonts w:ascii="Arial" w:cs="Arial" w:eastAsia="Arial" w:hAnsi="Arial"/>
          <w:sz w:val="16"/>
          <w:szCs w:val="16"/>
          <w:i w:val="1"/>
          <w:iCs w:val="1"/>
          <w:color w:val="auto"/>
        </w:rPr>
        <w:t>Climate Change and Emissions Management Act</w:t>
      </w:r>
      <w:r>
        <w:rPr>
          <w:rFonts w:ascii="Arial" w:cs="Arial" w:eastAsia="Arial" w:hAnsi="Arial"/>
          <w:sz w:val="16"/>
          <w:szCs w:val="16"/>
          <w:color w:val="auto"/>
        </w:rPr>
        <w:t xml:space="preserve"> provides a framework for managing GHG emissions by reducing specified gas emissions, relative to total production from facilities that emit over 100,000 tons of carbon dioxide equivalent per year. The details of this framework are set out in the </w:t>
      </w:r>
      <w:r>
        <w:rPr>
          <w:rFonts w:ascii="Arial" w:cs="Arial" w:eastAsia="Arial" w:hAnsi="Arial"/>
          <w:sz w:val="16"/>
          <w:szCs w:val="16"/>
          <w:i w:val="1"/>
          <w:iCs w:val="1"/>
          <w:color w:val="auto"/>
        </w:rPr>
        <w:t>Carbon Competitiveness Incentive Regulation</w:t>
      </w:r>
      <w:r>
        <w:rPr>
          <w:rFonts w:ascii="Arial" w:cs="Arial" w:eastAsia="Arial" w:hAnsi="Arial"/>
          <w:sz w:val="16"/>
          <w:szCs w:val="16"/>
          <w:color w:val="auto"/>
        </w:rPr>
        <w:t xml:space="preserve"> (CCIR), which was issued in 2018 to replace the former </w:t>
      </w:r>
      <w:r>
        <w:rPr>
          <w:rFonts w:ascii="Arial" w:cs="Arial" w:eastAsia="Arial" w:hAnsi="Arial"/>
          <w:sz w:val="16"/>
          <w:szCs w:val="16"/>
          <w:i w:val="1"/>
          <w:iCs w:val="1"/>
          <w:color w:val="auto"/>
        </w:rPr>
        <w:t>Specified Gas Emitters Regulation</w:t>
      </w:r>
      <w:r>
        <w:rPr>
          <w:rFonts w:ascii="Arial" w:cs="Arial" w:eastAsia="Arial" w:hAnsi="Arial"/>
          <w:sz w:val="16"/>
          <w:szCs w:val="16"/>
          <w:color w:val="auto"/>
        </w:rPr>
        <w:t>, following changes announced as part of government’s Climate Leadership Plan (CLP) launched in November 2015. Like its predecessor, the CCIR incentivizes emissions reductions through the use of emissions intensity targets. A company can meet the applicable emissions limits by making emissions intensity improvements at regulated facilities, offsetting GHG emissions by purchasing offset credits or emission performance credits in the open market, or acquiring “fund credits” (akin to allowances) by making payments for each ton of GHG emissions over the required reduction target to the Alberta Climate Change and Emissions Management Fund.</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Between 2015 and 2017, the government of Alberta increased the price per fund credit from $15 to $30 per credit. There are financial penalties for non-compliance for every ton of carbon dioxide equivalent over a facility’s net emission intensity limit as well as for contraventions of other provisions contained in the CCIR. Further, the CCIR imposes GHG emissions reporting requirements on a company that has GHG emissions of 50,000 tons or more of carbon dioxide equivalent from a facility in a calendar year. In addition, Alberta facilities must currently report emissions of industrial air pollutants and comply with obligations in approvals and under other environmental regulations.</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The implementation of the CCIR in 2018 largely maintained the preceding </w:t>
      </w:r>
      <w:r>
        <w:rPr>
          <w:rFonts w:ascii="Arial" w:cs="Arial" w:eastAsia="Arial" w:hAnsi="Arial"/>
          <w:sz w:val="17"/>
          <w:szCs w:val="17"/>
          <w:i w:val="1"/>
          <w:iCs w:val="1"/>
          <w:color w:val="auto"/>
        </w:rPr>
        <w:t>Specific Gas Emitters Regulation</w:t>
      </w:r>
      <w:r>
        <w:rPr>
          <w:rFonts w:ascii="Arial" w:cs="Arial" w:eastAsia="Arial" w:hAnsi="Arial"/>
          <w:sz w:val="17"/>
          <w:szCs w:val="17"/>
          <w:color w:val="auto"/>
        </w:rPr>
        <w:t>’s emissions reduction framework, but, as anticipated following the CLP’s announcement, introduced a number of changes that increase the regime’s stringency. Most notably, for the purposes of calculating emissions limits, the CCIR largely replaces the facility-specific baselines of its predecessor with product-specific benchmarks based on either 80% of production-weighted average emissions, best-in-class or top quartile production methodologies. Each of these benchmarks has a 1% tightening rate applicable to the 2020 compliance years and beyond that results in the benchmark becoming more stringent over time. The CCIR also imposes caps on the percentage of a facility’s emissions compliance obligation that can be met using emission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performance credits and offsets, thereby requiring either greater fund credit purchases or emissions improvements from affected facilities. These changes, among others, may significantly increase the cost of compliance for some of our customers.</w:t>
      </w:r>
    </w:p>
    <w:p>
      <w:pPr>
        <w:spacing w:after="0" w:line="17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 xml:space="preserve">The 2015 CLP also proposed introducing a broad economy-wide levy on GHG emissions from the combustion of fossil fuels, subject to limited exceptions. In May 2016, Alberta passed the </w:t>
      </w:r>
      <w:r>
        <w:rPr>
          <w:rFonts w:ascii="Arial" w:cs="Arial" w:eastAsia="Arial" w:hAnsi="Arial"/>
          <w:sz w:val="17"/>
          <w:szCs w:val="17"/>
          <w:i w:val="1"/>
          <w:iCs w:val="1"/>
          <w:color w:val="auto"/>
        </w:rPr>
        <w:t>Climate Leadership Act</w:t>
      </w:r>
      <w:r>
        <w:rPr>
          <w:rFonts w:ascii="Arial" w:cs="Arial" w:eastAsia="Arial" w:hAnsi="Arial"/>
          <w:sz w:val="17"/>
          <w:szCs w:val="17"/>
          <w:color w:val="auto"/>
        </w:rPr>
        <w:t>, implementing the broad economy-wide levy on GHG emissions contemplated in the CLP. Under that Act, all fuel consumption - including gasoline, diesel, and natural gas consumption - is subject to a carbon levy. The levy was set at $20 per ton in 2017 and rose to $30 per ton in 2018, adding to the cost of most fossil-based fuels. While the federal government’s backstop carbon price is set to rise from $30 per ton in 2020 to $40 per ton in 2021, the Alberta government declared in August 2018 that it would be pulling out of the federal PCF until its concerns with progress on the stalled Trans-Mountain Expansion Project pipeline are resolved. As such, further increases in the carbon levy affecting our customers are uncertain at this time. The carbon levy could also be affected by the result of an Alberta provincial election set to take place before May 31, 2019 and existing court challenges to the PCF’s carbon-pricing scheme.</w:t>
      </w:r>
    </w:p>
    <w:p>
      <w:pPr>
        <w:spacing w:after="0" w:line="17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CLP also targets a 45 percent reduction in methane emissions from oil and gas operations by 2025, consistent with the subsequently-issued Federal Methane Regulations described above. The AER was assigned the task of developing Alberta’s parallel regulatory framework. In December 2018, the AER released amended directives to require reporting of methane emissions on an annual basis, with annual recording of emissions beginning in the 2019 calendar year for a first report due to the AER on June 1, 2020, together with various facility-specific emissions limits.</w:t>
      </w:r>
    </w:p>
    <w:p>
      <w:pPr>
        <w:spacing w:after="0" w:line="17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 xml:space="preserve">Further, as contemplated in the CLP, Alberta passed the </w:t>
      </w:r>
      <w:r>
        <w:rPr>
          <w:rFonts w:ascii="Arial" w:cs="Arial" w:eastAsia="Arial" w:hAnsi="Arial"/>
          <w:sz w:val="16"/>
          <w:szCs w:val="16"/>
          <w:i w:val="1"/>
          <w:iCs w:val="1"/>
          <w:color w:val="auto"/>
        </w:rPr>
        <w:t>Oil Sands Emissions Limit Act</w:t>
      </w:r>
      <w:r>
        <w:rPr>
          <w:rFonts w:ascii="Arial" w:cs="Arial" w:eastAsia="Arial" w:hAnsi="Arial"/>
          <w:sz w:val="16"/>
          <w:szCs w:val="16"/>
          <w:color w:val="auto"/>
        </w:rPr>
        <w:t xml:space="preserve"> which caps oil sands emissions at 100 million tonnes annually. The CLP also targets the phasing out of coal-generated electricity (or the emissions therefrom) by 2030. The combination of the carbon levy and coal phase-out is expected to increase fuel and electricity prices, which could have an impact on our operating costs. The direct and indirect costs of these regulatory changes may adversely affect our operations and financial results as well as those of our customers with whom we conduct business.</w:t>
      </w:r>
    </w:p>
    <w:p>
      <w:pPr>
        <w:spacing w:after="0" w:line="154"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Finally, it should be noted that some scientists have concluded that increasing concentrations of GHGs in the Earth’s atmosphere may produce climate changes that have significant physical effects, such as higher sea levels, increased frequency and severity of storms, droughts, floods and other climatic events. If any such effects were to occur, they could have an adverse effect on our financial condition and results of operations.</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The Canadian </w:t>
      </w:r>
      <w:r>
        <w:rPr>
          <w:rFonts w:ascii="Arial" w:cs="Arial" w:eastAsia="Arial" w:hAnsi="Arial"/>
          <w:sz w:val="18"/>
          <w:szCs w:val="18"/>
          <w:i w:val="1"/>
          <w:iCs w:val="1"/>
          <w:color w:val="auto"/>
        </w:rPr>
        <w:t>Species at Risk Act</w:t>
      </w:r>
      <w:r>
        <w:rPr>
          <w:rFonts w:ascii="Arial" w:cs="Arial" w:eastAsia="Arial" w:hAnsi="Arial"/>
          <w:sz w:val="18"/>
          <w:szCs w:val="18"/>
          <w:color w:val="auto"/>
        </w:rPr>
        <w:t xml:space="preserve"> is intended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 The designation of previously unprotected species as threatened or endangered in areas of Canada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Alberta’s Electricity Market</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CLP set a target of 30 per cent of Alberta’s electricity generation coming from renewables by 2030. Toward attaining this goal, on November 3, 2016, Alberta released the details of its Renewable Electricity Program (REP), which includes a procurement process for renewable generation. The first procurement process, REP Round 1, took place in 2017 and awarded long-term, indexed-price power contracts to approximately 596 MW of wind generation capacity. The second process, REP 2, took place in 2018 and awarded contracts to 363 MW of wind capacity in 2018, with eligible projects having a minimum of 25% Indigenous equity ownership. The third, REP 3, also in 2018, was structured similarly to REP 1 and awarded contracts to 400 MW of wind capacity. REP 1-procured capacity will come into commercial operation by the end of 2019, with REP 2 and REP 3-procured capacity coming online later, in mid-2021. Funding for the REP will come from the Climate Change and Emissions Management Fund described above, backstopped by the government’s General Revenue Fund, rather than from direct electricity charges to our customers.</w:t>
      </w:r>
    </w:p>
    <w:p>
      <w:pPr>
        <w:spacing w:after="0" w:line="17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Alberta further announced on November 23, 2016, that it would restructure its power market to include a parallel “capacity market” by 2021. The effect of this change will be to create two revenue streams for power generators in Alberta, one for energy produced (with payments structured similarly to the existing market) and the other for the provision of generating capacity itself (with payments based on outcomes in the new capacity market). The capacity market, managed by the Alberta Electric System Operator, will award rights to “capacity payments” to the lowest bidders in auctions to be held periodically in which all Alberta generation, excepting REP assets, will be eligible to participate. This reform is expected to increase revenue certainty in the sector and stimulate needed investment, while avoiding the risk of cost overruns associated with procuring all</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new capacity pursuant to centrally-managed government procurement processes. The details of the capacity market are currently the subject of Alberta Utilities Commission (AUC) proceedings that, pursuant to amendments to the province’s </w:t>
      </w:r>
      <w:r>
        <w:rPr>
          <w:rFonts w:ascii="Arial" w:cs="Arial" w:eastAsia="Arial" w:hAnsi="Arial"/>
          <w:sz w:val="18"/>
          <w:szCs w:val="18"/>
          <w:i w:val="1"/>
          <w:iCs w:val="1"/>
          <w:color w:val="auto"/>
        </w:rPr>
        <w:t>Electric Utilities Act</w:t>
      </w:r>
      <w:r>
        <w:rPr>
          <w:rFonts w:ascii="Arial" w:cs="Arial" w:eastAsia="Arial" w:hAnsi="Arial"/>
          <w:sz w:val="18"/>
          <w:szCs w:val="18"/>
          <w:color w:val="auto"/>
        </w:rPr>
        <w:t>, will take place between 2019 and 2021 in order to finalize new market rules ahead of the first capacity market-procured capacity coming online. However, provisional rules will be approved by the AUC to be in place ahead of the first capacity auctions scheduled for late 2019.</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There is still considerable uncertainty regarding the future of the REP and Alberta’s proposed two-market structure, both of which could potentially increase costs to our customers in the form of higher electricity prices. The REP’s funding structure currently limits that program’s direct impact on electricity prices. However, the coming-online of REP-subsidized generation could negatively affect the performance of Alberta’s current electricity market. This may be mitigated by the introduction of the capacity market, which the Alberta government expects to result in more stable power prices without sacrificing affordability to power consumers. However, capacity market outcomes depend on the details of the market’s rules framework, which are the subject of the above-noted AUC proceedings, and the results of numerous capacity auctions scheduled into the future. Both reforms may also be affected by the outcome of a provincial election scheduled for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Environmental Regulations</w:t>
      </w:r>
    </w:p>
    <w:p>
      <w:pPr>
        <w:spacing w:after="0" w:line="229" w:lineRule="exact"/>
        <w:rPr>
          <w:sz w:val="20"/>
          <w:szCs w:val="20"/>
          <w:color w:val="auto"/>
        </w:rPr>
      </w:pPr>
    </w:p>
    <w:p>
      <w:pPr>
        <w:ind w:right="160" w:firstLine="459"/>
        <w:spacing w:after="0" w:line="289" w:lineRule="auto"/>
        <w:rPr>
          <w:sz w:val="20"/>
          <w:szCs w:val="20"/>
          <w:color w:val="auto"/>
        </w:rPr>
      </w:pPr>
      <w:r>
        <w:rPr>
          <w:rFonts w:ascii="Arial" w:cs="Arial" w:eastAsia="Arial" w:hAnsi="Arial"/>
          <w:sz w:val="16"/>
          <w:szCs w:val="16"/>
          <w:color w:val="auto"/>
        </w:rPr>
        <w:t>Our Australian segment is regulated by general statutory environmental controls at both the state and federal level which may result in land use approval and compliance risk. These controls include: land use and urban design controls; the regulation of hard and liquid waste, including the requirement for tradewaste and/or wastewater permits or licenses; the regulation of water, noise, heat, and atmospheric gases emissions; the regulation of the production, transport and storage of dangerous and hazardous materials (including asbestos); and the regulation of pollution and site contamination. Some specified activities, for example, sewage treatment works, may require regulation at a state level by way of environmental protection licenses which also impose monitoring and reporting obligations on the holder. There is an increasing emphasis from state and federal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or energy use or production for a reporting (financial) year under national legislation.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Environmental Regulations</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Clean Water Act, as amended, and analogous state laws impose restrictions and strict controls regarding the discharge of pollutants into state waters or waters of the U.S. The discharge of pollutants into jurisdictional waters is prohibited unless the discharge is permitted by the U.S. Environmental Protection Agency (EPA) or authorized state agencies. The EPA published a final rule outlining its position on the federal jurisdictional reach over waters of the U.S. in June 2015, but in January 2018 released a final rule that delays implementation of the rule revising the WOTUS definition until 2020 to allow time for EPA to reconsider the definition of “waters of the United States.” In August 2018, the U.S. District Court for the District of South Carolina issued a nationwide injunction against EPA’s rule delaying implementation of the WOTUS definition. Pursuant to the court’s order, the 2015 Clean Water Rule is now in effect in 22 states, the District of Columbia, and the U.S. territories. Litigation surrounding this rule is ongoing. More recently, on December 11, 2018, the EPA and the U.S. Army Corps of Engineers released a proposal to revise the 2015 Clean Water Rule so as to narrow the regulatory definition of waters of the U.S., with a 60-day comment period to follow. Many of our U.S. properties and operations require permits for discharges of wastewater and/or storm water, and we have developed a system for securing and maintaining these permits. The Clean Water Act and analogous state laws provide for administrative, civil and criminal penalties for unauthorized discharges and, together with the Oil Pollution Act of 1999, as amended, require the development and implementation of spill prevention and response plans and impose liability for the remedial costs and associated damages arising out of any unauthorized discharges.</w:t>
      </w:r>
    </w:p>
    <w:p>
      <w:pPr>
        <w:spacing w:after="0" w:line="16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EPA has adopted rules requiring the monitoring and reporting of GHG emissions from specified large GHG emission sources in the U.S., including, offshore and onshore oil and natural gas production facilities, on an annual basis. In October 2015, the EPA finalized rules that added new sources to the scope of the GHG monitoring and reporting requirements. These new sources include gathering and boosting facilities as well as completions and workovers from hydraulically fractured oil wells. In addition, the EPA has finalized new regulations that would further restrict GHG emissions, such as new standards for methane and volatile organic compound (VOC) emissions from new and modified oil and gas sources, which the EPA published in June 2016. The EPA has also announced that it intends to impose methane emission standards for existing sources and has issued information collection requests for oil and natural gas facilities. The EPA is currently engaged in rulemaking to stay the effective date of these rules. In April 2018, a coalition of states filed a lawsuit in the U.S. District Court for the District of Columbia aiming to force the EPA to establish guidelines for limiting methane emissions from existing sources in the oil and natural gas sector; that lawsuit is pending. Additionally, in November 2016, the Bureau of Land Management (BLM) issued new regulations to reduce “waste” of natural gas-of which methane is a primary constituent-from venting, flaring and leaks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oil and natural gas production activities on onshore federal and Indian lands, but then proposed a revised rule which scaled back the waste-prevention requirements of the 2016 rule. Environmental groups sued in federal district court a day later to challenge the legality of aspects of the revised rule, and the outcome of this litigation is currently uncertain. In October 2015, the EPA finalized the Clean Power Plan, which imposes additional obligations on the power generation sector to reduce GHG emissions. However, on February 9, 2016, the U.S. Supreme Court stayed implementation of the Clean Power Plan pending resolution of legal challenges to the rule, and in October 2017 the EPA proposed to repeal the rule before proposing a replacement rule, the Affordable Clean Energy Rule, which would scale back the obligations of the Clean Power Plan. While our operations are not directly affected by these actions, their impact on our oil and natural gas exploration and production customers could result in a decreased demand for the services that we provide.</w:t>
      </w:r>
    </w:p>
    <w:p>
      <w:pPr>
        <w:spacing w:after="0" w:line="16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including cap and trade programs that typically require major sources of GHG emissions, such as electric power plants, to acquire and surrender emission allowances in return for emitting those GHGs. The U.S. also participated in the creation of the Paris Agreement at COP 21 in December 2015 but has subsequently announced its intention to withdraw from the agreement. Although it is not possible at this time to predict how legislation or new regulations that may be adopted to address GHG emissions would impact our business, any such future laws and regulations could require us or our customers to incur increased operating costs, such as costs to purchase and operate emissions control systems, to acquire emission allowances or comply with new regulatory or reporting requirements. Any such legislation or regulatory programs could also increase the cost of consuming, and thereby reduce demand for oil and natural gas, which could reduce our customers’ demand for our services. Consequently, legislation and regulatory programs to reduce GHG emissions could have an adverse effect on our business, financial condition and results of operations.</w:t>
      </w:r>
    </w:p>
    <w:p>
      <w:pPr>
        <w:spacing w:after="0" w:line="183"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Our operations as well as the operations of our customers are also subject to various laws and regulations addressing the management, disposal and releases of regulated substances. For example, in the U.S.,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transported, disposed or arranged for the transport or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 parties may file claims for personal injury and property damage allegedly caused by the hazardous substances released into the environment. We generate materials in the course of our operations that may qualify as hazardous substances. In the event of mismanagement or release of regulated substances upon properties where we conduct operations, we could become subject to liability and/or obligations under CERCLA, RCRA and/or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federal Endangered Species Act, as amended (ESA), restricts activities in the U.S. that may affect endangered or threatened species or their habitats. If endangered species are located in areas of the U.S. where our oil and natural gas exploration and production customers operate, such operations could be prohibited or delayed or expensive mitigation may be required. The designation of previously unprotected species as threatened or endangered in areas of the U.S.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30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Hydraulic fracturing is a process sometimes used to stimulate production of hydrocarbons from tight formations. The process involves the injection of water, sand and chemicals under pressure into formations to fracture the surrounding rock and</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stimulate production. Hydraulic fracturing is typically regulated by state oil and natural gas regulators, but EPA has asserted federal regulatory authority pursuant to the Safe Drinking Water Act (SDWA) over, and issued permitting guidance in February 2014 for, certain hydraulic fracturing activities involving the use of diesel fuels. In May 2014, EPA issued an advance notice of proposed rulemaking seeking comment on the development of regulations under the Toxic Substances Control Act (TSCA) to require companies to disclose information regarding the chemicals used in hydraulic fracturing. In March 2015, BLM issued a final rule that imposes requirements on hydraulic fracturing activities on federal and Indian lands, including new requirements relating to public disclosure, wellbore integrity and handling of flowback water; similar final rules were published in November 2016 for hydraulic fracturing activities on National Park and National Wildlife Refuge System lands. In June 2016, the U.S. District Court for the District of Wyoming struck down the BLM final rule, finding that BLM lacked authority to promulgate the rule, but this ruling was vacated on appeal in September 2017. Regardless, BLM rescinded this rule in December 2017. In January 24, 2018, California and a coalition of environmental groups each filed lawsuits in the Northern District of California to challenge BLM’s rescission of the 2015 rule. This litigation is pending. In addition, Congress has from time to time considered legislation to provide for federal regulation of hydraulic fracturing under the SDWA and to require disclosure of chemicals used in the hydraulic fracturing process. Some states and local governments also have adopted or are considering adopting regulations to restrict or ban hydraulic fracturing in certain circumstances. Moreover, ongoing governmental reviews of the environmental impacts of hydraulic fracturing by EPA and other agencies could lead to further regulation of hydraulic fracturing. For example, in December 2016, the EPA released its final report on the potential impacts of hydraulic fracturing on drinking water resources. The final report concluded that hydraulic fracturing activities can impact drinking water under some circumstances, including large volume spills and inadequate mechanical integrity of wells. While our operations are not directly affected by these actions, their impact on our oil and natural gas exploration and production customers could result in a decreased demand for the services that we provide.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i w:val="1"/>
          <w:iCs w:val="1"/>
          <w:color w:val="auto"/>
        </w:rPr>
        <w:t>We are subject to various risks and hazards due to the nature of the business activities we conduct. The risks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Decreased customer expenditure levels have adversely affected and may continue to adversely affect our results of operations.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Demand for our services is sensitive to the level of exploration, development and production activity of, and the corresponding capital spending by, oil and gas and mining companies. Although we saw increases in oil prices beginning in late 2016 through the third quarter of 2018, oil prices have remained volatile and significantly decreased during the fourth quarter of 2018. We are not expecting significant improvement in oil-related customer activity in the near-term, as we anticipate that our customers’ expenditures will generally lag increased oil prices by nine to 12 months. If our customers’ expenditures fail to increase in regions where our facilities are located, our business will be adversely impacted. The oil and gas and mining industries’ willingness to explore, develop and produce depends largely upon the availability of attractive resource prospects and the prevailing view of future commodity prices, which over the past year, has not been positive.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or a continuation of the current volatile commodity price environment, would have material adverse effects on our results of operations.</w:t>
      </w:r>
    </w:p>
    <w:p>
      <w:pPr>
        <w:spacing w:after="0" w:line="16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During the first quarter of 2016, global oil prices dropped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Since Western Canadian Select (WCS) has historically traded at a discount to West Texas Intermediate (WTI), falling WTI oil prices have also led to falling WCS prices. While WTI and WCS oil prices have rebounded in recent periods, they continue to remain volatile. For example, WCS prices significantly decreased during the second half of 2018, widening the discount at which WCS trades to WTI. WCS prices in the fourth quarter of 2018 averaged $25.66 per barrel compared to a low of $20.26 in the first quarter of 2016 and a high of $83.78 in the second quarter of 2014. On December 2, 2018, the Government of Alberta announced it would mandate temporary curtailments of the Province’s oil production. This curtailment resulted in an increase to the WCS price in December 2018, which has continued into the first quarter of 2019. As of February 22, 2019, the WTI price was $57.11, and the WCS price was $44.26.</w:t>
      </w:r>
    </w:p>
    <w:p>
      <w:pPr>
        <w:spacing w:after="0" w:line="18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met coal prices fluctuated in recent years, due to a declining global demand for steel and the impact of a stronger U.S. dollar, falling to approximately $89.00/metric tonne as of December 31, 2016. The rebounding of steel demand in 2017 and 2018, particularly in China, led to higher met coal pricing in 2017 and 2018. As of February 22, 2019, spot prices for met coal were $210.05/metric tonne. However, the increase in met coal pricing in 2017 and 2018 has not led our customers to approve any significant new projects.</w:t>
      </w:r>
    </w:p>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Despite recent rebounds, the low and volatile commodity price environment has depressed exploration, development, and production activity. A deterioration of this price environment is likely to continue to depress activity levels, often reflected as reductions in employees or resource production, and have a material adverse effect on our financial position, results of operations or cash flows.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Additionally, significant new regulatory requirements, including climate change legislation, could have an impact on the demand for and the cost of producing oil, coal and natural gas in the regions where we operate. Many factors affect the supply of and demand for oil, coal, natural gas and other minerals and, therefore, influence product prices, including:</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global level of demand, particularly from China, for coal and other natural resources produced in Australia;</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economically attractive oil and natural gas field prospects, which may be affected by governmental actions or environmental activists which may restrict development;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2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transportation infrastructure for oil, natural gas, LNG and coal, refining capacity and shifts in end-customer preferences toward fuel efficiency and the use of natural gas;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worldwide economic activity including growth in developing countries, such as China and India;</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oil and gas production by non-OPEC countries, particularly the U.S. and Russia;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rapid technological change and the timing and extent of energy resource development, including LNG or other alternative fuels;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regulation;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and foreign tax policies.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Our failure to retain our current customers, renew our existing customer contracts and obtain new customer contracts, or the termination of existing contracts, could adversely affect our business.</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at all, or that our current customers will not turn to competitors, cease operations, elect to self-operate or terminate contracts with us. Because of the current volatile commodity price environment, our customers may not renew contracts on terms favorable to us or, in some cases, at all, and we may have difficulty obtaining new business. Additionally, several contracts have clauses that allow termination upon the payment of a termination fee. As a result, our customers may choose to terminate their contracts. The likelihood that a customer may seek to terminate a contract is increased during periods of market volatility like those we are currently experiencing. Further, certain of our customers may not reach positive final investment decisions on projects with respect to which we have been awarded contracts to provide related accommodation, which may cause those customers to terminate the contracts. Customer contract cancellations, the failure to renew a significant number of our existing contracts or the failure to obtain new business would have a material adverse effect on our business and results of operations.</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Should gross domestic product growth in China slow further or contract, demand for oil and metallurgical coal and, correspondingly, our accommodations would fall, which would negatively impact our financial results.</w:t>
      </w:r>
    </w:p>
    <w:p>
      <w:pPr>
        <w:spacing w:after="0" w:line="16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Because of the recent volatile commodity price environment, our customers have reduced or deferred, and may continue to reduce or defer, major expenditures, particularly in Canada and Australia, given the long-term nature of many large scale development projects, adversely affecting our revenues and profitability.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324"/>
        <w:spacing w:after="0" w:line="289" w:lineRule="auto"/>
        <w:rPr>
          <w:sz w:val="20"/>
          <w:szCs w:val="20"/>
          <w:color w:val="auto"/>
        </w:rPr>
      </w:pPr>
      <w:r>
        <w:rPr>
          <w:rFonts w:ascii="Arial" w:cs="Arial" w:eastAsia="Arial" w:hAnsi="Arial"/>
          <w:sz w:val="16"/>
          <w:szCs w:val="16"/>
          <w:color w:val="auto"/>
        </w:rPr>
        <w:t>In Canada, WCS crude is the benchmark price for our oil sands accommodations customers. Pricing for WCS is driven by several factors, including the underlying price for WTI and the availability of transportation infrastructure. Historically, WCS has traded at a discount to WTI. Should the price of WTI decline or the WCS discount to WTI widen further, our oil sands customers may delay or eliminate additional investments, further reduce their spending in the oil sands region or curtail or shut-down additional existing operations.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No assurance can be given regarding future volumes or prices relating to the activities of our customers. We have experienced in the past, and expect to experience in the future, significant fluctuations in operating results based on these changes.</w:t>
      </w:r>
    </w:p>
    <w:p>
      <w:pPr>
        <w:spacing w:after="0" w:line="16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the carrying value of our lodges or villages could be reduced by extended periods of limited or no activity by our customers, which has required us to record impairment charges equal to the excess of the carrying value of the lodges or villages over fair value. We recorded impairments of our long-lived assets of $28.7 million, $31.6 million and $46.1 million in 2018, 2017 and 2016, respectively. We may incur additional asset impairment charges in the future, which charges will affect negatively our results of operations and financial condition.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 rate fluctuations could adversely affect our U.S. dollar reported results of operations and financial position.</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our reported revenues, net income, financial condition and cash flows depending upon exchange rate movements. For the year ended December 31, 2018, 89% of our revenues originated from subsidiaries outside of the U.S. and were denominated in either the Canadian dollar or the Australian dollar. As a result, a material decrease in the value of these currencies relative to the U.S. dollar has had, and may have in the future, a negative impact on our reported revenues, net income, financial condition and cash flows. Any currency controls implemented by local monetary authorities in countries where we currently operate could also adversely affect our business, financial condition and results of operations.</w:t>
      </w:r>
    </w:p>
    <w:p>
      <w:pPr>
        <w:spacing w:after="0" w:line="19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reporting currency is the U.S. dollar, and we are exposed to currency exchange risk primarily between the U.S. dollar and the Canadian and Australian dollars. We may attempt to limit the risks of currency fluctuation where possible by entering into financial instruments to protect against foreign currency exposure. Our efforts to limit exchange risks may be unsuccessful, thereby exposing us to foreign currency fluctuations that could cause our results of operations, financial condition and cash flows to deteriorate.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do business in Canada and Australia, whose political and regulatory environments and compliance regimes differ from those in the United States.</w:t>
      </w:r>
    </w:p>
    <w:p>
      <w:pPr>
        <w:spacing w:after="0" w:line="26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 significant portion of our revenue is attributable to operations in Canada and Australia. These activities accounted for 89% of our consolidated revenue in the year ended December 31, 2018. Risks associated with our operations in Canada and Australia include, but are not limited to:</w:t>
      </w:r>
    </w:p>
    <w:p>
      <w:pPr>
        <w:spacing w:after="0" w:line="14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taxing regimes;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political conditions at the federal, provincial or state level;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international and U.S. monetary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economic downturns;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expropriation, confiscation or nationalization of assets;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exchange limitations.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regulatory regimes in these countries are substantially different than those in the United States, and may be unfamiliar to U.S. investors. Violations of non-U.S. laws could result in monetary and criminal penalties against us or our subsidiaries and could damage our reputation and, therefore, our ability to do business.</w:t>
      </w:r>
    </w:p>
    <w:p>
      <w:pPr>
        <w:spacing w:after="0" w:line="18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All but three of our major Canadian lodges are located on land subject to leases. If we are unable to renew a lease or obtain permits necessary to operate on such leased land, we could be materially and adversely affected.</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All but three of our major Canadian lodges are located on land subject to leases. Accordingly, while we own the accommodations assets, we only own a leasehold in those properties. If we are found to be in breach of a lease, we could lose the right to use the property. In addition, our leases generally have an initial term of ten years and will expire between 2020 and 2028 unless extended.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Also, in certain areas in which we operate, we are required to seek permits from local government agencies in order to build a new lodge or operate an existing lodge on leased land. Regulations have recently been proposed in a regional municipality of Alberta which would require us to seek renewal of such permits every two years and also would prohibit the granting of new permits or the renewal of existing permits for lodges within 75 kilometers of Fort McMurray, Alberta. We can provide no assurances that we will be able to renew our leases or permits upon expiration on similar terms, or at all. If we are unable to renew our leases or permits on similar terms, it may have an adverse effect on our business.</w:t>
      </w:r>
    </w:p>
    <w:p>
      <w:pPr>
        <w:spacing w:after="0" w:line="17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 and our geographic concentration could limit the number of customers seeking our services.</w:t>
      </w:r>
    </w:p>
    <w:p>
      <w:pPr>
        <w:spacing w:after="0" w:line="18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Because of the concentration of our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2017, a cyclone impacted areas near our villages in Australia. Also in 2011 and 2016, forest fires in northern Alberta impacted areas near our Canadian oil sands lodges. Due to our geographic concentration, any adverse events or developments in our operating areas may disproportionately affect our financial results.</w:t>
      </w:r>
    </w:p>
    <w:p>
      <w:pPr>
        <w:spacing w:after="0" w:line="17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addition, a limited number of companies operate in the areas in which our business is concentrated,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Development of permanent infrastructure in the Canadian oil sands region, the west coast of British Columbia, regions of Australia or various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locations where we locate our assets could negatively impact our business.</w:t>
      </w:r>
    </w:p>
    <w:p>
      <w:pPr>
        <w:spacing w:after="0" w:line="21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specialize in providing hospitality services for work forces in remote areas which often lack the infrastructure typically available in nearby towns and cities. If permanent towns, cities and municipal infrastructure develop, grow or otherwise become available in the oil sands region of northern Alberta, Canada, the west coast of British Columbia or regions of Australia where we locate villages, then demand for our hospitality services could decrease as customer employees move to the region and choose to utilize permanent housing and food services.</w:t>
      </w:r>
    </w:p>
    <w:p>
      <w:pPr>
        <w:spacing w:after="0" w:line="18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We depend on several significant customers. The loss of one or more such customers or the inability of one or more such customers to meet their obligations to us could adversely affect our results of operations.</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depend on several significant customers. The majority of our customers operate in the energy or mining industry. For a more detailed explanation of our customers, see “Business” in Item 1 of this annual report.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require collateral in support of our trade receivables.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Although we have seen an increase in oil prices in late 2016 and through the third quarter of 2018, oil prices significantly decreased during the fourth quarter of 2018, and commodity prices generally have remained depressed since 2015, and the capital markets and availability of credit have been constrained relative to historical levels. Additionally, many of our customers’ equity values have declined and could decline further. The combination of lower cash flow due to commodity prices, a reduction in borrowing bases under reserve-based credit facilities and the lack of available debt or equity financing may continue to result in a significant reduction in our customers’ liquidity and could impair their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susceptible to seasonal earnings volatility due to adverse weather conditions in our regions of operations.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operations are directly affected by seasonal differences in weather in the areas in which we operate, most notably in Canada and Australia, and, to a lesser extent, the Rocky Mountain region and the Permian Basin.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and the Permian Basin of the United States can restrict access to work areas for our customers. Furthermore, the areas in which we operate are susceptible to forest fires, which could interrupt our operations and adversely impact our earnings.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customers are exposed to a number of unique operating risks and challenges which could also adversely affect us.</w:t>
      </w:r>
    </w:p>
    <w:p>
      <w:pPr>
        <w:spacing w:after="0" w:line="225"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We could be materially adversely affected by disruptions to our clients’ operations caused by any one of or all of the following singularly or in combination:</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and international pricing and demand for the natural resource being produced at a given project (or proposed project);</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problems, higher costs and delays during the development, construction and project start-up which may delay the commencement of production;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and adverse geological, geotechnical, seismic and mining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availability of sufficient water or power to maintain their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availability or failure of the required infrastructure necessary to maintain or to expand their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breakdown or shortage of equipment and labor necessary to maintain their operations;</w:t>
      </w:r>
    </w:p>
    <w:p>
      <w:pPr>
        <w:spacing w:after="0" w:line="225" w:lineRule="exact"/>
        <w:rPr>
          <w:rFonts w:ascii="Arial" w:cs="Arial" w:eastAsia="Arial" w:hAnsi="Arial"/>
          <w:sz w:val="18"/>
          <w:szCs w:val="18"/>
          <w:color w:val="auto"/>
        </w:rPr>
      </w:pPr>
    </w:p>
    <w:p>
      <w:pPr>
        <w:ind w:left="660" w:right="240" w:hanging="328"/>
        <w:spacing w:after="0" w:line="31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to land titles, mining titles and use thereof as a result of native title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by persons living in close proximity to mining projects, which may have an impact on the consents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to the operations of our customers caused by industrial accidents or disputes;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or failure to commission new infrastructure in timeframes so as not to disrupt customer operations.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adversely affected if customers reduce their accommodations outsourcing.</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business and growth strategies depend in large part on customers outsourcing some or all of the services that we provide.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these customer preferences will continue or that customers that have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6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foreign exchange rates and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16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A failure to maintain food safety or comply with government regulations related to food and beverages or serving alcoholic beverages may subject us to liability.</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9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 give no assurances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serve alcoholic beverages at some of our facilities, and must comply with applicable licensing laws, as well as local service laws. These laws generally prohibit serving alcoholic beverages to certain persons such as a patron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land banking activities may not be successful.</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land banking activities are focused on investing early in land in order to gain a strategic, early 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activities involve significant risks that could adversely affect our financial condition, results of operations, cash flow and the market price of our securities, which include the following risks:</w:t>
      </w:r>
    </w:p>
    <w:p>
      <w:pPr>
        <w:spacing w:after="0" w:line="15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regions in which we invest may not develop or sustain adequate customer demand;</w:t>
      </w:r>
    </w:p>
    <w:p>
      <w:pPr>
        <w:spacing w:after="0" w:line="225"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incur costs to acquire land and/or construct assets without securing a customer contract or prior to finalization of an accommodations contract with a customer and, if the contract is not obtained or delayed, the resulting impact could result in an impairment of the related investment;</w:t>
      </w:r>
    </w:p>
    <w:p>
      <w:pPr>
        <w:spacing w:after="0" w:line="123"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time between acquisition and use, and depending on adjacent uses of the land, the property may become unusable or require costly remediation efforts due to environmental damage;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financing for development projects on favorable terms or at all;</w:t>
      </w:r>
    </w:p>
    <w:p>
      <w:pPr>
        <w:spacing w:after="0" w:line="225"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or may experience delays in obtaining, all necessary zoning, land-use, building, occupancy and other governmental permits and authorizations, and the issuance of permits is dependent upon a number of factors, including water and waste treatment alternatives available, road traffic volumes and fire conditions in forested areas;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opportunities that we explore may be abandoned and the related investment impaired;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properties may perform below anticipated levels, producing cash flow below budgeted amounts;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construction costs, total investment amounts and our share of remaining funding may exceed our estimates and projects may not be completed, delivered or stabilized as planned;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delays (temporary or permanent) if there is public, government or aboriginal opposition to our activities; and</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is contract intensive and may lead to customer disputes or delays in receipt of payments.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pacing w:after="0" w:line="19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We are subject to extensive and costly environmental laws and regulations that may require us to take actions that will adversely affect our results of operations.</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The implementation of new laws and regulations could result in materially increased costs, stricter standards and enforcement, larger fines and liability and increased capital expenditures and operating costs, particularly for our customers, and could have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an adverse effect on our business or demand for our services. See Item 1. “Business - Government Regulation” of this annual report for a more detailed description of our risks associated with environmental laws and regulations. It should also be noted that some scientists have concluded that increasing concentrations of GHGs in the earth’s atmosphere may produce climate changes that have significant physical effects, such as increased frequency and severity of storms, droughts, and floods and other climatic events.</w:t>
      </w:r>
    </w:p>
    <w:p>
      <w:pPr>
        <w:spacing w:after="0" w:line="18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administrative, civil and criminal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denial or revocation of permits or other authorizations;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 or cessation of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site investigatory, remedial or other corrective 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Construction risks exist which may adversely affect our results of operations.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There are a number of general risks that might impinge on companies involved in the development, construction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construction activities of our accommodations are partially dependent on the supply of appropriate construction and development opportunities;</w:t>
      </w:r>
    </w:p>
    <w:p>
      <w:pPr>
        <w:spacing w:after="0" w:line="24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18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181"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objections to our activities or those of our customers aired by aboriginal or community interests, environment and/or neighborhood groups which may cause delays in the granting or approvals and/or the overall progress of a project;</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we assume design responsibility, there is a risk that design problems or defects may result in rectification and/or costs or liabilities which we cannot readily recover; and</w:t>
      </w:r>
    </w:p>
    <w:p>
      <w:pPr>
        <w:spacing w:after="0" w:line="170"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a risk that we may fail to fulfill our statutory and contractual obligations in relation to the quality of our materials and workmanship, including warranties and defect liability obligations.</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b w:val="1"/>
          <w:bCs w:val="1"/>
          <w:i w:val="1"/>
          <w:iCs w:val="1"/>
          <w:color w:val="auto"/>
        </w:rPr>
        <w:t>The cyclical nature of our business and a severe prolonged downturn has and could in the future negatively affect the value of our goodwill and long-lived assets.</w:t>
      </w:r>
    </w:p>
    <w:p>
      <w:pPr>
        <w:spacing w:after="0" w:line="1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As of December 31, 2018, goodwill represented approximately 11% of our total assets, or $114.2 million, entirely in our Canadian reporting unit. We have recorded goodwill because we paid more for one of our businesses that we acquired than the fair market value of the tangible and separately measurable intangible net assets of those businesses. We evaluate goodwill for impairment annually and when an event occurs or circumstances change to suggest that the carrying amount may not be recoverable. We may recognize impairment losses on our goodwill in the future if, among other factors:</w:t>
      </w:r>
    </w:p>
    <w:p>
      <w:pPr>
        <w:spacing w:after="0" w:line="154" w:lineRule="exact"/>
        <w:rPr>
          <w:sz w:val="20"/>
          <w:szCs w:val="20"/>
          <w:color w:val="auto"/>
        </w:rPr>
      </w:pPr>
    </w:p>
    <w:p>
      <w:pPr>
        <w:ind w:left="660" w:right="3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economic conditions remain depressed or further deteriorate, including a further decrease in the price of or demand for oil, natural gas and minerals;</w:t>
      </w:r>
    </w:p>
    <w:p>
      <w:pPr>
        <w:spacing w:after="0" w:line="170" w:lineRule="exact"/>
        <w:rPr>
          <w:rFonts w:ascii="Arial" w:cs="Arial" w:eastAsia="Arial" w:hAnsi="Arial"/>
          <w:sz w:val="18"/>
          <w:szCs w:val="18"/>
          <w:color w:val="auto"/>
        </w:rPr>
      </w:pPr>
    </w:p>
    <w:p>
      <w:pPr>
        <w:ind w:left="660" w:right="4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outlook for future profits and cash flow for our Canadian reporting unit deteriorates as the result of many possible factors, including, but not limited to, increased or unanticipated competition, technology becoming obsolete, need to satisfy changes in customers’ accommodations requirements, further reductions in customer capital spending plans,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360"/>
        <w:spacing w:after="0" w:line="336" w:lineRule="auto"/>
        <w:rPr>
          <w:sz w:val="20"/>
          <w:szCs w:val="20"/>
          <w:color w:val="auto"/>
        </w:rPr>
      </w:pPr>
      <w:r>
        <w:rPr>
          <w:rFonts w:ascii="Arial" w:cs="Arial" w:eastAsia="Arial" w:hAnsi="Arial"/>
          <w:sz w:val="17"/>
          <w:szCs w:val="17"/>
          <w:color w:val="auto"/>
        </w:rPr>
        <w:t>loss of key personnel, adverse legal or regulatory judgment(s), future operating losses at a reporting unit, downward forecast revisions or restructuring plans or if certain of our customers do not reach positive final investment decisions on projects with respect to which we have been awarded contracts to provide related accommodation, which may cause those customers to terminate the contracts;</w:t>
      </w:r>
    </w:p>
    <w:p>
      <w:pPr>
        <w:spacing w:after="0" w:line="13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equity or debt capital increase;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valuations for comparable public companies or comparable acquisition valuations deteriorate.</w:t>
      </w:r>
    </w:p>
    <w:p>
      <w:pPr>
        <w:spacing w:after="0" w:line="225"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In addition, we recorded impairments of our long-lived assets, including intangibles, of $28.7 million, $31.6 million and $46.1 million in 2018, 2017 and 2016, respectively. Extended periods of limited or no activity by our customers at our lodges or villages could require us to record further impairment charges equal to the excess of the carrying value of the lodges or villages over fair value or could result in an impairment to our goodwill balance.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accidental release of pollutants into the environment may cause us to incur significant costs and liabilities.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certain regulatory and financial risks related to climate change.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18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Efforts have been made and continue to be made in the international community toward the adoption of international treaties or protocols that would address global climate change issues and impose reductions of hydrocarbon-based fuels, including plans developed in connection with the Paris climate conference in December 2015 and the Katowice climate conference in December 2018. There are a number of legislative and regulatory proposals to address greenhouse gas emissions, including increased fuel efficiency standards, carbon taxes or cap and trade systems, restrictive permitting, and incentives for renewable energy, which are in various phases of discussion or implementation. The outcome of Canadian, Australian and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28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increased costs associated with our operations and our customers’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other costs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demand for carbon-based fuels;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demand for our services.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Any adoption of these or similar proposals by Canadian, Australian, U.S. federal, regional, provincial or state governments mandating a substantial reduction in greenhouse gas emissions could have far-reaching and significant impacts on the energy industry, including negatively impacting the price of oil relative to other energy sources, reducing demand for hydrocarbons and other minerals or limiting drilling or mining in the areas in which we operate.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Item 1. “Business-Government Regulation” of this annual report for a more detailed description of our climate-change related risks.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shareholders.</w:t>
      </w:r>
    </w:p>
    <w:p>
      <w:pPr>
        <w:spacing w:after="0" w:line="154"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including Noralta, and realize these intended benefits. The success of the Noralta Acquisition depends, in large part, on our ability to realize the anticipated benefits, including operating synergies from combining our businesses, which were previously operated independently. An inability to realize expected strategic advantages as a result of the acquisition would negatively affect the anticipated benefits of the acquisition.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risks we could face in connection with acquisitions include: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retaining and integrating key employees of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retaining and attracting new customers of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retaining supply and distribution relationships key to the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administrative burden;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our sales and marketing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impairment resulting from the overpayment for an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integrating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tax and foreign exchange exposure;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operating a new line of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logistical problems common to large, expansive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pursue and protect patents covering acquired technology.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Additionally, an acquisition may bring us into businesses we have not previously conducted and expose us to additional business risks that are different from those we have previously experienced. For example, the size of our business is much larger following the completion of the Noralta Acquisition. Our future success depends, in part, upon our ability to manage this expanded business, which will pose substantial challenges for our management, including challenges related to the management and monitoring of new operations and associated increased costs and complexity. If we fail to manage any of these risks successfully, our business could be harmed. Our capitalization and results of operations may change significantly following an acquisition, and our shareholders may not have the opportunity to evaluate the economic, financial and other relevant information that we will consider in evaluating future acquisitions.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Amended Credit Agreement contains operating and financial restrictions that may restrict our business and financing activities</w:t>
      </w:r>
    </w:p>
    <w:p>
      <w:pPr>
        <w:spacing w:after="0" w:line="237"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Our Amended Credit Agreement contains, and any future indebtedness we incur may contain, a number of restrictive covenants that will impose significant operating and financial restrictions on us. The Amended Credit Agreement contains customary affirmative and negative covenants that, among other things, limit or restrict (i) subsidiary indebtedness, liens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fundamental changes; (ii) asset sales; (iii) acquisitions of margin stock; (iv) specified acquisitions; (v) certain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Agreement) to consolidated interest expense, of at least 3.0 to 1.0 and our maximum leverage ratio, defined as the ratio of total debt to consolidated EBITDA, of no greater than 4.50 to 1.0 (as of December 31, 2018).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permitted level of the maximum leverage ratio changes over time, as illustrated in the table below.</w:t>
      </w:r>
    </w:p>
    <w:p>
      <w:pPr>
        <w:spacing w:after="0" w:line="154" w:lineRule="exact"/>
        <w:rPr>
          <w:sz w:val="20"/>
          <w:szCs w:val="20"/>
          <w:color w:val="auto"/>
        </w:rPr>
      </w:pPr>
    </w:p>
    <w:tbl>
      <w:tblPr>
        <w:tblLayout w:type="fixed"/>
        <w:tblInd w:w="2800" w:type="dxa"/>
        <w:tblCellMar>
          <w:top w:w="0" w:type="dxa"/>
          <w:left w:w="0" w:type="dxa"/>
          <w:bottom w:w="0" w:type="dxa"/>
          <w:right w:w="0" w:type="dxa"/>
        </w:tblCellMar>
      </w:tblPr>
      <w:tr>
        <w:trPr>
          <w:trHeight w:val="207"/>
        </w:trPr>
        <w:tc>
          <w:tcPr>
            <w:tcW w:w="3660" w:type="dxa"/>
            <w:vAlign w:val="bottom"/>
            <w:gridSpan w:val="3"/>
          </w:tcPr>
          <w:p>
            <w:pPr>
              <w:ind w:left="1220"/>
              <w:spacing w:after="0"/>
              <w:rPr>
                <w:sz w:val="20"/>
                <w:szCs w:val="20"/>
                <w:color w:val="auto"/>
              </w:rPr>
            </w:pPr>
            <w:r>
              <w:rPr>
                <w:rFonts w:ascii="Arial" w:cs="Arial" w:eastAsia="Arial" w:hAnsi="Arial"/>
                <w:sz w:val="18"/>
                <w:szCs w:val="18"/>
                <w:b w:val="1"/>
                <w:bCs w:val="1"/>
                <w:color w:val="auto"/>
              </w:rPr>
              <w:t>Period Ended</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Maximum Leverage Ratio</w:t>
            </w:r>
          </w:p>
        </w:tc>
      </w:tr>
      <w:tr>
        <w:trPr>
          <w:trHeight w:val="48"/>
        </w:trPr>
        <w:tc>
          <w:tcPr>
            <w:tcW w:w="122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50"/>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4.50 : 1.00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March 31,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4.75 : 1.00</w:t>
            </w:r>
          </w:p>
        </w:tc>
        <w:tc>
          <w:tcPr>
            <w:tcW w:w="1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4.50 : 1.00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September 30,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4.00 : 1.00</w:t>
            </w:r>
          </w:p>
        </w:tc>
        <w:tc>
          <w:tcPr>
            <w:tcW w:w="1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31, 2019 &amp; thereafter</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 : 1.00</w:t>
            </w:r>
          </w:p>
        </w:tc>
        <w:tc>
          <w:tcPr>
            <w:tcW w:w="160" w:type="dxa"/>
            <w:vAlign w:val="bottom"/>
            <w:shd w:val="clear" w:color="auto" w:fill="CCEEFF"/>
          </w:tcPr>
          <w:p>
            <w:pPr>
              <w:spacing w:after="0"/>
              <w:rPr>
                <w:sz w:val="21"/>
                <w:szCs w:val="21"/>
                <w:color w:val="auto"/>
              </w:rPr>
            </w:pPr>
          </w:p>
        </w:tc>
      </w:tr>
      <w:tr>
        <w:trPr>
          <w:trHeight w:val="27"/>
        </w:trPr>
        <w:tc>
          <w:tcPr>
            <w:tcW w:w="1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Each of the factors considered in the calculations of these ratios are defined in the Amended Credit Agreement. EBITDA and consolidated interest, as defined, exclude goodwill and asset impairments, debt discount amortization and other non-cash charges.</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may be prevented from taking advantage of business opportunities that arise because of the limitations imposed on us by the restrictive covenants under the Amended Credit Agreement. The restrictions contained in the Amended Credit Agreement could:</w:t>
      </w:r>
    </w:p>
    <w:p>
      <w:pPr>
        <w:spacing w:after="0" w:line="17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 our ability to plan for, or react to, market conditions, to meet capital needs or otherwise to restrict our activities or business plan; and</w:t>
      </w:r>
    </w:p>
    <w:p>
      <w:pPr>
        <w:spacing w:after="0" w:line="236" w:lineRule="exact"/>
        <w:rPr>
          <w:rFonts w:ascii="Arial" w:cs="Arial" w:eastAsia="Arial" w:hAnsi="Arial"/>
          <w:sz w:val="17"/>
          <w:szCs w:val="17"/>
          <w:color w:val="auto"/>
        </w:rPr>
      </w:pPr>
    </w:p>
    <w:p>
      <w:pPr>
        <w:ind w:left="980" w:right="6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affect our ability to finance our operations, enter into acquisitions or to engage in other business activities that would be in our interest.</w:t>
      </w:r>
    </w:p>
    <w:p>
      <w:pPr>
        <w:spacing w:after="0" w:line="170"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Additionally, our ability to comply with some of the covenants, ratios or tests contained in the Amended Credit Agreement may be affected by events beyond our control and, as a result, we may be unable to meet these ratios and financial condition tests. These financial ratio restrictions and financial condition tests could limit our ability to obtain future financings, make needed capital expenditures, withstand a continued downturn in our business or a downturn in the economy in general or otherwise conduct necessary corporate activities. Declines in commodity prices, or a prolonged period of commodity prices at depressed levels, could eventually result in our failing to meet one or more of the financial covenants under the Amended Credit Agreement, which could require us to refinance or amend such obligations resulting in the payment of consent fees or higher interest rates, or require us to raise additional capital at an inopportune time or on terms not favorable to us.</w:t>
      </w:r>
    </w:p>
    <w:p>
      <w:pPr>
        <w:spacing w:after="0" w:line="178"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We may not be able to reduce our indebtedness to comply with these covenants. A failure to comply with these covenants, ratios or tests could result in an event of default. A default under the Amended Credit Agreement, if not cured or waived, could result in acceleration of all indebtedness outstanding thereunder. The accelerated debt would become immediately due and payable. If that should occur, we may be unable to pay all such debt or to borrow sufficient funds to refinance it. Even if new financing were then available, it may not be on terms that are acceptable to us. In addition, in the event of an event of default under the Amended Credit Agreement, the lenders could foreclose on the collateral securing the credit facility and require repayment of all borrowings outstanding. If the amounts outstanding under the credit facility or any of our other indebtedness were to be accelerated, our assets may not be sufficient to repay in full the money owed to the lenders or to our other debt holders. Moreover, any new indebtedness we incur may impose financial restrictions and other covenants on us that may be more restrictive than our existing debt agreements.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indebtedness could restrict our operations and make us more vulnerable to adverse economic conditions.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currently have a substantial amount of indebtedness. As of December 31, 2018, we had approximately $247.9 million outstanding under the term loan portion of the Amended Credit Agreement, $131.3 million outstanding under the revolving portion of the Amended Credit Agreement, $3.4 million of outstanding letters of credit and capacity to borrow an additional $90.3 million under the revolving portion of the Amended Credit Agreement. As of December 31, 2018, $14.5 million of our borrowing capacity under the Amended Credit Agreement could not be utilized in order to maintain compliance with the maximum leverage ratio financial covenant in the Amended Credit Agreement. Borrowings outstanding under the Amended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Credit Agreement mature in November 2020. If market or other economic conditions remain depressed or further deteriorate, our borrowing capacity may be further reduced.</w:t>
      </w:r>
    </w:p>
    <w:p>
      <w:pPr>
        <w:spacing w:after="0" w:line="170"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Our level of indebtedness may adversely affect our operations and limit our growth, and we may have difficulty making debt service payments on our indebtedness as such payments become due. Our level of indebtedness may affect our operations in several ways, including the following:</w:t>
      </w:r>
    </w:p>
    <w:p>
      <w:pPr>
        <w:spacing w:after="0" w:line="14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indebtedness may increase our vulnerability to general adverse economic and industry conditions;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covenants contained in the Amended Credit Agreement limit our ability to borrow funds, dispose of assets, pay dividends and make certain investments;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debt covenants also affect our flexibility in planning for, and reacting to, changes in the economy and in its industry; and</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indebtedness could impair our ability to obtain additional financing in the future for working capital, capital expenditures, acquisitions or other general corporate purposes.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ability to service our debt, including repaying outstanding borrowings under our Amended Credit Agreement at maturity,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have adequate insurance for potential liabilities and insurance may not cover certain liabilities, including litigation.</w:t>
      </w:r>
    </w:p>
    <w:p>
      <w:pPr>
        <w:spacing w:after="0" w:line="225"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the insurance policies of Oil States International, Inc. (Oil States) for occurrences prior to the completion of our spin-off from Oil States in May 2014 (the Spin-Off). The specifications and insured limits under those policies, however, may be insufficient for such claims. We also face the following other risks related to our insurance coverage:</w:t>
      </w:r>
    </w:p>
    <w:p>
      <w:pPr>
        <w:spacing w:after="0" w:line="16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continue to obtain insurance on commercially reasonable terms;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counterparties to our insurance contracts may pose credit risks;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incur losses from interruption of our business that exceed our insurance coverage.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operations may suffer due to increased industry-wide capacity of certain types of assets.</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demand for and/or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18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 addition, we significantly increased our capacity in the Canadian oil sands region, including as a result of the Noralta Acquisition, and in Australia over the past several years based on our previous expectations for customer demand for accommodations in these areas. However, due to the sustained low commodity prices throughout 2016 and 2017 and into</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2018, customer demand for accommodations in those areas has decreased significantly, and we have experienced a corresponding significant decrease in our occupancy and profitability. Should our customers build their own facilities to meet their accommodations needs or our competitors likewise increase their available accommodations, or activity in the oil sands or natural resources regions declines further, demand and/or pricing for our accommodations could further decrease, negatively impacting our profitability.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operate in a highly competitive industry, and if we fail to compete effectively, our business will suffer.</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workforce accommodation and hospitality industry in which we operate is highly competitive. To be successful, we must provide hospitality services that meet the specific needs of our customers at competitive prices. The principal competitive factors in the markets in which we operate are service quality and availability, price, technical knowledge and experience and reputation for safety. We compete with international and regional competitors, several of which are significantly larger than us. These competitors offer similar services in the geographic regions in which we operate. Many oil and gas and mining companies in our core markets own their own accommodations facilities, while others outsource all or part of their accommodations requirements. As a result of competition, we may be unable to continue to provide our present services, to provide such services at historical operating margins or to acquire additional business opportunities, which could have a material adverse effect on our business, financial condition, results of operations and cash flows. Reduced levels of activity in the workforce accommodation industry can intensify competition and result in lower revenue to us.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of key members of our management could adversely affect our business.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and customer labor problems could adversely affect us.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As of December 31, 2018, we were party to collective bargaining agreements covering approximately 1,100 employees in Canada and 140 employees in Australia. Efforts have been made from time to time to unionize other portions of our workforce.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 Additional unionization efforts and new collective bargaining agreements also could materially increase our costs, reduce our revenues or limit our flexibility. Collective bargaining agreements in our Canadian operations have individual expiration dates, extending in some cases to 2023. One enterprise bargaining agreement exists in our Australian operation covering certain employees working at our villages in Queensland and New South Wales. This agreement was renewed in 2017 through 2019.</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Failure to maintain positive relationships with the indigenous people in the areas where we operate could adversely affect our business.</w:t>
      </w:r>
    </w:p>
    <w:p>
      <w:pPr>
        <w:spacing w:after="0" w:line="23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component of our business strategy is based on developing and maintaining positive relationships with the indigenous people and communities in the areas where we operate. These relationships are important to our operations and customers who desire to work on traditional aboriginal lands. The inability to develop and maintain relationships and to be in compliance with local requirements could have an adverse effect on our business, results of operations or financial condition.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enforcement of civil liabilities against Civeo may be more difficult.</w:t>
      </w:r>
    </w:p>
    <w:p>
      <w:pPr>
        <w:spacing w:after="0" w:line="225"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Civeo is a British Columbia company and a substantial portion of its assets are located outside the U.S. As a result, investors could experience more difficulty enforcing judgments obtained against us in U.S. courts than would be the case for U.S. judgments obtained against a U.S. company. In addition, some claims may be more difficult to bring against Civeo in Canadian courts than it would be to bring similar claims against a U.S. company in a U.S. court.</w:t>
      </w:r>
    </w:p>
    <w:p>
      <w:pPr>
        <w:spacing w:after="0" w:line="14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We may increase our debt or issue equity in the future, which could affect our financial condition, may decrease our profitability or could dilute our shareholders.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may increase our debt or issue equity in the future, subject to restrictions in our debt agreements and our ability to access the capital markets. If our cash flow from operations is less than we anticipate, or if our cash requirements are more than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expect, we may require more financing. However, debt or equity financing may not be available to us on terms acceptable to us, if at all. As a result of our failure to timely file an Exchange Act report, we are currently ineligible to use a registration statement on Form S-3 to register the offer and sale of securities, which could increase the expense of accessing the capital markets. Assuming we continue to timely file our required Exchange Act reports, the earliest we would regain the ability to use Form S-3 is June 1, 2019. If we incur additional debt or raise equity through the issuance of our preferred shares, the terms of the debt or our preferred shares issued may give the holders rights, preferences and privileges senior to those of holders of our common shares,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could be negatively impacted by security threats, including cybersecurity threats and other disruptions.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face various security threats, including cybersecurity threats to gain unauthorized access to sensitive information or to render data or systems unusable; threats to the safety of our employees; threats to the security of our facilities and infrastructure or third-party facilities and infrastructure; and threats from terrorist acts. In the past, we experienced a data security breach resulting from unauthorized access to our systems, which to date has not had a material impact on our operations; however, there is no assurance that such impacts will not be material in the future.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losses of sensitive information, critical infrastructure, personnel or capabilities essential to our operations and could have a material adverse effect on our reputation, financial position, results of operations or cash flows. Cybersecurity attacks in particular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Structure Following our Redomestication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various Canadian and other taxes.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effective tax rates (including our Canadian tax rate) are dependent on a variety of factors, many of which are beyond our ability to control, such as changes in the rate of economic growth in Canada, the financial performance of our business in various jurisdictions, currency exchange rate fluctuations (especially as between Canadian and U.S. dollars), and significant changes in trade, monetary or fiscal policies of Canada, including changes in interest rates, withholding taxes, tax treaties and federal and provincial tax rates generally. The impact of these factors, individually and in the aggregate, is difficult to predict, in part because the occurrence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w:t>
      </w:r>
    </w:p>
    <w:p>
      <w:pPr>
        <w:spacing w:after="0" w:line="17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 xml:space="preserve">Canada’s tax rules under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(the Canadian Tax Act) allow for favorable tax treatment insofar as the repatriation of certain dividends from foreign affiliates. These tax rules are complicated and could change over time. Any such changes could have a material impact on our overall tax rate.</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Canada has also introduced tax rules governing “foreign affiliate dumping” in the Canadian Tax Act that can have adverse tax consequences for Canadian corporations that are controlled by non-Canadian corporations in respect of non-Canadian business activities and investments. These rules would have a negative impact on us to the extent that we became controlled by a non-Canadian resident corporation.</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The Canada Revenue Agency (CRA) may disagree with our conclusions on tax treatment and the CRA has not provided (and we have not requested) a ruling on the Canadian tax aspects of our redomestication.</w:t>
      </w:r>
    </w:p>
    <w:p>
      <w:pPr>
        <w:spacing w:after="0" w:line="170"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We completed our redomestication from Delaware to British Columbia, Canada in 2015 (the Redomicile Transaction). We do not believe that the Redomicile Transaction resulted in any material Canadian federal income tax liability to us; however, the CRA did not provide (and we did not request) a ruling on the Canadian tax aspects of the Redomicile Transaction, and there can be no assurance that the CRA will agree with our interpretation of the tax aspects of the Redomicile Transaction or any related matters associated therewith. If the CRA were to disagree with our views about the tax implications of the Redomicile Transaction, it could take the position that material Canadian federal income tax liabilities or amounts on account thereof 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payable by us as a result of the Redomicile Transaction, in which case, we expect that we would contest such assessment. To contest such assessment, we would be required to remit cash equal to half of the amount in dispute, or provide security acceptable to the CRA, to prevent the CRA from seeking enforcement actions pending the dispute of such assessment. If we were unsuccessful in disputing the assessment, the implications could be materially adverse to us. The CRA has not provided (and we have not requested) a ruling on the Canadian tax aspects of the Redomicile Transaction. There can be no assurance that the CRA will agree with our interpretation of the tax aspects of the Redomicile Transaction or any related matters associated therewith.</w:t>
      </w:r>
    </w:p>
    <w:p>
      <w:pPr>
        <w:spacing w:after="0" w:line="15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b w:val="1"/>
          <w:bCs w:val="1"/>
          <w:i w:val="1"/>
          <w:iCs w:val="1"/>
          <w:color w:val="auto"/>
        </w:rPr>
        <w:t>The Internal Revenue Service (IRS) may not agree with the conclusion that we should be treated as a foreign corporation for U.S. federal tax purposes, and no ruling has been sought from the IRS.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For U.S. federal income tax purposes, a corporation generally is considered a tax resident in the jurisdiction of its organization or incorporation. Because we are a British Columbia incorporated entity following the Redomicile Transaction, we generally will be classified as a foreign corporation (and, therefore, a non-U.S. tax resident) under U.S. federal income tax law, and we believe that we are properly classified as a foreign corporation (that is a non-U.S. tax resident) for purposes of U.S. federal income tax law. Even so, the IRS may assert that we should be treated as a U.S. corporation (and, therefore, a U.S. tax resident) for U.S. federal income tax purposes pursuant to Section 7874 of the Internal Revenue Code. If it were determined that we should be taxed as a U.S. corporation for U.S. federal income tax purposes, we could be liable for substantial additional U.S. federal income taxes.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Future potential changes to U.S. tax laws could result in Civeo being treated as a U.S. corporation for U.S. federal income tax purposes.</w:t>
      </w:r>
    </w:p>
    <w:p>
      <w:pPr>
        <w:spacing w:after="0" w:line="23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Although, as noted above, we believe that we are treated as a foreign corporation for U.S. federal income tax purposes, changes to Section 7874 of the Internal Revenue Code or the U.S. Treasury regulations promulgated thereunder or official interpretations thereof, could adversely affect Civeo’s status as a foreign corporation for U.S. federal income tax purposes. For example, members of Congress from time to time have proposed changes to the Internal Revenue Code, and the U.S. Treasury has taken and may continue to take regulatory action, in connection with so-called inversion transactions. The timing and substance of any such change in law or regulatory action is uncertain. Any such change of law or regulatory action could adversely impact the treatment of Civeo as a foreign corporation for U.S. federal income tax purposes and could adversely impact its tax position and financial position and results in a material manner. The precise scope and application of any legislative or regulatory proposals will not be clear until they are actually issued, and, accordingly, until such legislation or regulations are issued and fully understood, we cannot be certain as to their potential impact. Any such changes could apply retroactively to a date prior to the date of the Redomicile Transaction. If Civeo were to be treated as a U.S. corporation for U.S. federal income tax purposes, it could be subject to substantially greater U.S. federal income tax liability.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remain subject to changes in tax law (in various jurisdictions) and other factors that could impact our effective tax rate.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tax laws of Canada, Australia and other jurisdictions where we operate could change in the future, and such changes could cause a material change in our effective corporate tax rate. As a result, our actual effective tax rate may be materially different from our expectation. Our provision for income taxes will be based on certain estimates and assumptions made by management in consultation with our tax and other advisors. Our consolidated income tax rate will be affected by the amount of net income earned in Canada and our other operating jurisdictions, the availability of benefits under tax treaties, and the rates of taxes payable in respect of that income. We will enter into many transactions and arrangements in the ordinary course of business in respect of which the tax treatment is not entirely certain. We will therefore make estimates and judgments based on our knowledge and understanding of applicable tax laws and tax treaties, and the application of those tax laws and tax treaties to our business, in determining our consolidated tax provision. The final outcome of any audits by taxation authorities may differ from the estimates and assumptions we may use in determining our consolidated tax provisions and accruals. This could result in a material adverse effect on our consolidated income tax provision, financial condition and the net income for the period in which such determinations are made.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tax position may be adversely affected by changes in tax law relating to multinational corporations, or increased scrutiny by tax authorities.</w:t>
      </w:r>
    </w:p>
    <w:p>
      <w:pPr>
        <w:spacing w:after="0" w:line="24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U.S. Congress, government agencies in non-U.S. jurisdictions where we and our affiliates do business, and the Organization for Economic Co-operation and Development have recently focused on issues related to the taxation of multinational corporations. One example is found in the area of “base erosion and profit shifting”, where profits are claimed to be earned for tax purposes in low-tax jurisdictions, or payments are made between affiliates from a jurisdiction with high tax</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rates to a jurisdiction with lower tax rates. As a result, the tax laws in the U.S. and other countries in which we and our affiliates do business could change on a prospective or retroactive basis, and any such changes could materially adversely affect us.</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Moreover, U.S. and international tax authorities may carefully scrutinize companies that have redomiciled, such as our company, which may lead such authorities to assert that we owe additional taxes.</w:t>
      </w:r>
    </w:p>
    <w:p>
      <w:pPr>
        <w:spacing w:after="0" w:line="1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December 22, 2017, the Tax Cuts and Jobs Act of 2017 (U.S. Tax Reform) was signed into law, making significant changes to the U.S. Internal Revenue Code. Changes include, but are not limited to, a corporate tax rate decrease from 35% to 21% effective for tax years beginning after December 31, 2017, the transition of U.S. international taxation from a worldwide tax system to a quasi-territorial system, and a one-time transition tax on the mandatory deemed repatriation of cumulative foreign earnings as of December 31, 2017. Although many aspects of this legislation have been clarified since the law was enacted, some aspects of the new legislation remain unclear and may not be clarified for some time. It is possible that the U.S. Tax Reform, or interpretations under it, could have an adverse effect on us, and such effect could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Spin-Off from Oil States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tax sharing agreement with Oil States may require us to indemnify Oil States for significant tax liabilities.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the Spin-Off, we entered into a tax sharing agreement.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obtained with respect to the Spin-Off.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could have significant tax liabilities for periods during which our subsidiaries and operations were those of Oil States.</w:t>
      </w:r>
    </w:p>
    <w:p>
      <w:pPr>
        <w:spacing w:after="0" w:line="225" w:lineRule="exact"/>
        <w:rPr>
          <w:sz w:val="20"/>
          <w:szCs w:val="20"/>
          <w:color w:val="auto"/>
        </w:rPr>
      </w:pPr>
    </w:p>
    <w:p>
      <w:pPr>
        <w:ind w:right="200" w:firstLine="324"/>
        <w:spacing w:after="0" w:line="269" w:lineRule="auto"/>
        <w:rPr>
          <w:sz w:val="20"/>
          <w:szCs w:val="20"/>
          <w:color w:val="auto"/>
        </w:rPr>
      </w:pPr>
      <w:r>
        <w:rPr>
          <w:rFonts w:ascii="Arial" w:cs="Arial" w:eastAsia="Arial" w:hAnsi="Arial"/>
          <w:sz w:val="17"/>
          <w:szCs w:val="17"/>
          <w:color w:val="auto"/>
        </w:rPr>
        <w:t>For any tax periods (or portion thereof) in which Oil States owned at least 80% of the total voting power and value of Civeo US’s common stock, our U.S. subsidiaries will be included in Oil States’ consolidated group for U.S. federal income tax purposes. In addition, one or more of our U.S. subsidiaries may be included in the combined, consolidated or unitary tax returns of Oil States or one or more of its subsidiaries for U.S. state or local income tax purposes. In addition, by virtue of Oil States’ controlling ownership and the tax sharing agreement, Oil States will effectively control all of our U.S. tax decisions in connection with any consolidated, combined or unitary income tax returns in which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w:t>
      </w:r>
    </w:p>
    <w:p>
      <w:pPr>
        <w:spacing w:after="0" w:line="18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one or more of our U.S. subsidiaries could be liable for the shortfall with respect to periods in which such subsidiary was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1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Oil States received a private letter ruling from the IRS and an opinion of its outside counsel regarding certain aspects of the Spin-Off transaction. The private letter ruling and the opinion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If the Spin-Off is determined to be taxable for U.S. federal income tax purposes for any reason, Oil States and/or its stockholders could incur significant income tax liabilities, and we could incur significant liabilities.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Third parties may seek to hold us responsible for liabilities of Oil States that we did not assume in our agreements.</w:t>
      </w:r>
    </w:p>
    <w:p>
      <w:pPr>
        <w:spacing w:after="0" w:line="22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Third parties may seek to hold us responsible for retained liabilities of Oil States. Under our agreements with Oil States, Oil States agreed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181" w:lineRule="exact"/>
        <w:rPr>
          <w:sz w:val="20"/>
          <w:szCs w:val="20"/>
          <w:color w:val="auto"/>
        </w:rPr>
      </w:pPr>
    </w:p>
    <w:p>
      <w:pPr>
        <w:ind w:right="1060" w:firstLine="324"/>
        <w:spacing w:after="0" w:line="277" w:lineRule="auto"/>
        <w:rPr>
          <w:sz w:val="20"/>
          <w:szCs w:val="20"/>
          <w:color w:val="auto"/>
        </w:rPr>
      </w:pPr>
      <w:r>
        <w:rPr>
          <w:rFonts w:ascii="Arial" w:cs="Arial" w:eastAsia="Arial" w:hAnsi="Arial"/>
          <w:sz w:val="18"/>
          <w:szCs w:val="18"/>
          <w:b w:val="1"/>
          <w:bCs w:val="1"/>
          <w:i w:val="1"/>
          <w:iCs w:val="1"/>
          <w:color w:val="auto"/>
        </w:rPr>
        <w:t>The Spin-Off may have exposed us to potential liabilities arising out of state and federal fraudulent conveyance laws and legal dividend requirements.</w:t>
      </w:r>
    </w:p>
    <w:p>
      <w:pPr>
        <w:spacing w:after="0" w:line="170"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shares of our common stock or taking other action as part of the Spin-Off, or that we or any of our subsidiaries did not receive fair consideration or reasonably equivalent value for incurring indebtedness, including the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1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shares of our common stock.</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Under the separation and distribution agreement, Oil States is and we are responsible for the debts, liabilities and other obligations related to the business or businesses which Oil States and we, respectively, own and operate following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cannot meet the NYSE continued listing requirements, the NYSE may delist our common shares.</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Our common shares are currently listed on the NYSE, and the continued listing of our common shares is subject to our compliance with a number of listing standards. If we fail to maintain compliance with these continued listing standards, our common shares may be delisted. A delisting of our common shares could negatively impact us by, among other things:</w:t>
      </w:r>
    </w:p>
    <w:p>
      <w:pPr>
        <w:spacing w:after="0" w:line="18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the liquidity and market price of our common shares;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the number of investors, including institutional investors, willing to hold or acquire our common shares, which could negatively impact our ability to raise equity;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decreasing the amount of news and analyst coverage of us;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ability to issue additional securities, obtain additional financing or pursue strategic restructuring, refinancing or other transactions;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impacting our reputation and, as a consequence, our ability to attract new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and trading volume of our common shares may be volatile.</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market price of our common shares has historically experienced and may continue to experience volatility. For example, during 2017, the market price of our common shares ranged from a low of $1.57 per share to a high of $3.73 per share, and during 2018, the market price of our common shares ranged from a low of $1.12 per share to a high of $4.64 per share. From January 1, 2019 to February 22, 2019, the market price of our common shares has ranged between a low of $1.39 per share to a high of $2.72 per share. The market price of our common shares may be influenced by many factors, some of which are beyond our control, including those described above and the following:</w:t>
      </w:r>
    </w:p>
    <w:p>
      <w:pPr>
        <w:spacing w:after="0" w:line="17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analysts and our inability to meet those financial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quarterly operating results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related to our business and our industry, including those discussed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conditions or trends in our industry, markets 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common shares or other securities by us, members of our management team or our existing shareholders;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common shares relative to other investment alternatives.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These broad market and industry factors may materially reduce the market price of our common shares, regardless of our operating performance. In addition, price volatility may be greater if the public float and trading volume of our common shares is 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position, cash flows, results of operations and share price could be materially adversely affected if</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commodity prices do not improve or decline further. In addition, in recent years the stock market has experienced substantial price and volume fluctuations. This volatility has had a significant effect on the market prices of securities issued by many companies for reasons potentially unrelated to their operating performance. Our share price may experience substantial volatility due to uncertainty regarding commodity prices. These market fluctuations, regardless of the cause, may materially and adversely affect our share price, regardless of our operating results.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rights of holders of our common shares are subordinate to the rights of the holders of our preferred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holders of the preferred shares issued in the Noralta Acquisition have rights and preferences superior to those of the holders of our common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rights include, among others:</w:t>
      </w:r>
    </w:p>
    <w:p>
      <w:pPr>
        <w:spacing w:after="0" w:line="21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to receive a liquidation preference prior to any distribution of our assets to the holders of our common shares;</w:t>
      </w:r>
    </w:p>
    <w:p>
      <w:pPr>
        <w:spacing w:after="0" w:line="23" w:lineRule="exact"/>
        <w:rPr>
          <w:rFonts w:ascii="Arial" w:cs="Arial" w:eastAsia="Arial" w:hAnsi="Arial"/>
          <w:sz w:val="18"/>
          <w:szCs w:val="18"/>
          <w:color w:val="auto"/>
        </w:rPr>
      </w:pPr>
    </w:p>
    <w:p>
      <w:pPr>
        <w:ind w:left="980" w:right="420" w:hanging="324"/>
        <w:spacing w:after="0" w:line="261"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to receive a 2% annual dividend, paid quarterly in cash or, at our option, by increasing the shares’ liquidation preference, or any combination thereof; and</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125" w:right="3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2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right to convert the preferred shares into common shares after two years from the closing of the Noralta Acquisition at an initial conversion price of US$3.30 per common share, which may not be the fair market value of such shares at the time of conversion.</w:t>
      </w:r>
    </w:p>
    <w:p>
      <w:pPr>
        <w:spacing w:after="0" w:line="147"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common shares or if our operating results do not meet their expectations, our share price could decline.</w:t>
      </w:r>
    </w:p>
    <w:p>
      <w:pPr>
        <w:spacing w:after="0" w:line="14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trading market for our common shares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share price or trading volume to decline.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cannot assure you that we will pay dividends in the future, and our indebtedness could limit our ability to pay dividends on our common shares.</w:t>
      </w:r>
    </w:p>
    <w:p>
      <w:pPr>
        <w:spacing w:after="0" w:line="26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currently do not pay dividends.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shares is limited by covenants in the Amended Credit Agreement. Future agreements may also limit our ability to pay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See “Management’s Discussion and Analysis of Financial Condition and Results of Operations” in Item 7 of this annual report. There can be no assurance that we will pay a dividend in the future.</w:t>
      </w:r>
    </w:p>
    <w:p>
      <w:pPr>
        <w:spacing w:after="0" w:line="17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b w:val="1"/>
          <w:bCs w:val="1"/>
          <w:i w:val="1"/>
          <w:iCs w:val="1"/>
          <w:color w:val="auto"/>
        </w:rPr>
        <w:t>Provisions contained in our articles and applicable Canadian and British Columbia laws could discourage a take-over attempt, which may reduce or eliminate the likelihood of a change of control transaction and, therefore, the ability of our shareholders to sell their shares for a premium.</w:t>
      </w:r>
    </w:p>
    <w:p>
      <w:pPr>
        <w:spacing w:after="0" w:line="1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Provisions contained in our articles provide for a classified board of directors, limitations on the removal of directors, limitations on shareholder proposals at meetings of shareholders and limitations on shareholder action by written consent, which could make it more difficult for a third party to acquire control of us. Our articles, subject to the corporate law of British Columbia, also authorize our board of directors to issue series of preferred shares without shareholder approval. If our board of directors elects to issue preferred shares, it could increase the difficulty for a third party to acquire us, which may reduce or eliminate our shareholders’ ability to sell their common shares at a premium. In addition, in Canada, we may become subject to applicable securities laws, including National Instrument 62-104 </w:t>
      </w:r>
      <w:r>
        <w:rPr>
          <w:rFonts w:ascii="Arial" w:cs="Arial" w:eastAsia="Arial" w:hAnsi="Arial"/>
          <w:sz w:val="18"/>
          <w:szCs w:val="18"/>
          <w:i w:val="1"/>
          <w:iCs w:val="1"/>
          <w:color w:val="auto"/>
        </w:rPr>
        <w:t>Take-Over Bids and Issuer Bids</w:t>
      </w:r>
      <w:r>
        <w:rPr>
          <w:rFonts w:ascii="Arial" w:cs="Arial" w:eastAsia="Arial" w:hAnsi="Arial"/>
          <w:sz w:val="18"/>
          <w:szCs w:val="18"/>
          <w:color w:val="auto"/>
        </w:rPr>
        <w:t xml:space="preserve"> of the Canadian Securities Administrators, which provide a heightened threshold for shareholder acceptance of third-party acquisition offers and could discourage take-over attempts that could result in a premium over the market price for our common shares.</w:t>
      </w:r>
    </w:p>
    <w:p>
      <w:pPr>
        <w:spacing w:after="0" w:line="192" w:lineRule="exact"/>
        <w:rPr>
          <w:sz w:val="20"/>
          <w:szCs w:val="20"/>
          <w:color w:val="auto"/>
        </w:rPr>
      </w:pPr>
    </w:p>
    <w:p>
      <w:pPr>
        <w:ind w:right="560" w:firstLine="324"/>
        <w:spacing w:after="0" w:line="286" w:lineRule="auto"/>
        <w:rPr>
          <w:sz w:val="20"/>
          <w:szCs w:val="20"/>
          <w:color w:val="auto"/>
        </w:rPr>
      </w:pPr>
      <w:r>
        <w:rPr>
          <w:rFonts w:ascii="Arial" w:cs="Arial" w:eastAsia="Arial" w:hAnsi="Arial"/>
          <w:sz w:val="17"/>
          <w:szCs w:val="17"/>
          <w:color w:val="auto"/>
        </w:rPr>
        <w:t>As a British Columbia company, we may be subject to additional Canadian laws and regulations. The application of additional Canadian laws and regulations could make it more difficult for third parties to acquire control of us. For example, such laws and regulations may, depending on the circumstances, result in regulatory reviews of and may require regulatory approval for any proposed take-over attempts.</w:t>
      </w:r>
    </w:p>
    <w:p>
      <w:pPr>
        <w:spacing w:after="0" w:line="16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Any of the foregoing could prevent or delay a change of control and may deprive or limit strategic opportunities for our shareholders to sell their common shares and/or affect the market price of our common shares.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shareholders.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Publicly traded companies have increasingly become subject to campaigns by investors seeking to increase shareholder value by advocating corporate actions such as financial restructuring, increased borrowing, special dividends, share repurchases or even sales of assets or the entire company. It is possible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in British Columbia, Canada which in some cases have a different effect on shareholders than the corporate laws in Delaware, United States.</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There are material differences between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(BCBCA) as compared to the Delaware General Corporation Law (DGCL). For example, some of these material differences include the following: (a) for material corporate transactions (such as amalgamations, arrangements, the sale of all or substantially all of our undertaking, and other extraordinary corporate transactions) the BCBCA, subject to the provisions of our Articles, generally requires two-thirds majority vote by shareholders, whereas DGCL generally only requires a majority vote of shareholders for similar material corporate transactions; and (b) under the BCBCA a holder of 5% or more of our common shares can requisition a general meeting of shareholders for the purpose of transacting any business that may be transacted at a general meeting, whereas the DGCL does not give this right.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following table presents information about our principal properties and facilities as of December 31, 2018. Except as indicated below, we own all of the properties or facilities listed below. Each of the properties is encumbered by our secured credit facilities. See Item 7, “Management’s Discussion and Analysis of Financial Condition and Results of Operations” and Note 12 – Debt to the notes to consolidated financial statements included in Item 8 of this annual report for additional information concerning our credit facilities. For a discussion about how each of our business segments utilizes its respective properties, please see Item 1, “Business” of this annual report.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530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1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839"/>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20" w:type="dxa"/>
            <w:vAlign w:val="bottom"/>
          </w:tcPr>
          <w:p>
            <w:pPr>
              <w:spacing w:after="0"/>
              <w:rPr>
                <w:sz w:val="24"/>
                <w:szCs w:val="24"/>
                <w:color w:val="auto"/>
              </w:rPr>
            </w:pPr>
          </w:p>
        </w:tc>
        <w:tc>
          <w:tcPr>
            <w:tcW w:w="218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Approximate</w:t>
            </w:r>
          </w:p>
        </w:tc>
        <w:tc>
          <w:tcPr>
            <w:tcW w:w="384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180" w:type="dxa"/>
            <w:vAlign w:val="bottom"/>
          </w:tcPr>
          <w:p>
            <w:pPr>
              <w:jc w:val="center"/>
              <w:ind w:left="510"/>
              <w:spacing w:after="0"/>
              <w:rPr>
                <w:sz w:val="20"/>
                <w:szCs w:val="20"/>
                <w:color w:val="auto"/>
              </w:rPr>
            </w:pPr>
            <w:r>
              <w:rPr>
                <w:rFonts w:ascii="Arial" w:cs="Arial" w:eastAsia="Arial" w:hAnsi="Arial"/>
                <w:sz w:val="18"/>
                <w:szCs w:val="18"/>
                <w:b w:val="1"/>
                <w:bCs w:val="1"/>
                <w:color w:val="auto"/>
                <w:w w:val="88"/>
              </w:rPr>
              <w:t>Square</w:t>
            </w:r>
          </w:p>
        </w:tc>
        <w:tc>
          <w:tcPr>
            <w:tcW w:w="384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ind w:left="1340"/>
              <w:spacing w:after="0"/>
              <w:rPr>
                <w:sz w:val="20"/>
                <w:szCs w:val="20"/>
                <w:color w:val="auto"/>
              </w:rPr>
            </w:pPr>
            <w:r>
              <w:rPr>
                <w:rFonts w:ascii="Arial" w:cs="Arial" w:eastAsia="Arial" w:hAnsi="Arial"/>
                <w:sz w:val="18"/>
                <w:szCs w:val="18"/>
                <w:b w:val="1"/>
                <w:bCs w:val="1"/>
                <w:color w:val="auto"/>
              </w:rPr>
              <w:t>Location</w:t>
            </w:r>
          </w:p>
        </w:tc>
        <w:tc>
          <w:tcPr>
            <w:tcW w:w="2180" w:type="dxa"/>
            <w:vAlign w:val="bottom"/>
          </w:tcPr>
          <w:p>
            <w:pPr>
              <w:jc w:val="center"/>
              <w:ind w:left="530"/>
              <w:spacing w:after="0"/>
              <w:rPr>
                <w:sz w:val="20"/>
                <w:szCs w:val="20"/>
                <w:color w:val="auto"/>
              </w:rPr>
            </w:pPr>
            <w:r>
              <w:rPr>
                <w:rFonts w:ascii="Arial" w:cs="Arial" w:eastAsia="Arial" w:hAnsi="Arial"/>
                <w:sz w:val="18"/>
                <w:szCs w:val="18"/>
                <w:b w:val="1"/>
                <w:bCs w:val="1"/>
                <w:color w:val="auto"/>
                <w:w w:val="87"/>
              </w:rPr>
              <w:t>Footage/Acreage</w:t>
            </w:r>
          </w:p>
        </w:tc>
        <w:tc>
          <w:tcPr>
            <w:tcW w:w="3840" w:type="dxa"/>
            <w:vAlign w:val="bottom"/>
          </w:tcPr>
          <w:p>
            <w:pPr>
              <w:ind w:left="15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2"/>
              </w:rPr>
              <w:t>Canada:</w:t>
            </w:r>
          </w:p>
        </w:tc>
        <w:tc>
          <w:tcPr>
            <w:tcW w:w="4540" w:type="dxa"/>
            <w:vAlign w:val="bottom"/>
            <w:tcBorders>
              <w:bottom w:val="single" w:sz="8" w:color="CCEEFF"/>
            </w:tcBorders>
            <w:gridSpan w:val="4"/>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Fort McMurray, Alberta (leased land)</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5"/>
              </w:rPr>
              <w:t>240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Wapasu Creek and Henday Lodges</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Fort McMurray, Alberta (leased land)</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5"/>
              </w:rPr>
              <w:t>138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Fort McMurray Village</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Fort McMurray, Alberta (leased land)</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5"/>
              </w:rPr>
              <w:t>135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Conklin Lodge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Fort McMurray, Alberta (leased land)</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5"/>
              </w:rPr>
              <w:t>128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Beaver River and Athabasca Lodges</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Fort McMurray, Alberta (leased land)</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78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McClelland Lake Lodge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Fort McMurray, Alberta (leased land and lodges)</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58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Hudson and Borealis Lodges</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Fort McMurray, Alberta (leased land)</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51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Greywolf Lodge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Kitimat, British Columbia</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48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Sitka Lodge</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Fort McMurray, Alberta (leased land)</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43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Mariana Lake Lodge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Acheson, Alberta (lease)</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40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Office and warehouse</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Edmonton, Alberta</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33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Manufacturing facility</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Grimshaw, Alberta (lease)</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20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Equipment yard</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Fort McMurray, Alberta (leased land)</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18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Anzac Lodge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Edmonton, Alberta (lease)</w:t>
            </w:r>
          </w:p>
        </w:tc>
        <w:tc>
          <w:tcPr>
            <w:tcW w:w="21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8"/>
              </w:rPr>
              <w:t>86,376 sq. feet</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Office and warehouse</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Calgary, Alberta (lease)</w:t>
            </w:r>
          </w:p>
        </w:tc>
        <w:tc>
          <w:tcPr>
            <w:tcW w:w="2180" w:type="dxa"/>
            <w:vAlign w:val="bottom"/>
          </w:tcPr>
          <w:p>
            <w:pPr>
              <w:jc w:val="center"/>
              <w:ind w:left="510"/>
              <w:spacing w:after="0"/>
              <w:rPr>
                <w:sz w:val="20"/>
                <w:szCs w:val="20"/>
                <w:color w:val="auto"/>
              </w:rPr>
            </w:pPr>
            <w:r>
              <w:rPr>
                <w:rFonts w:ascii="Arial" w:cs="Arial" w:eastAsia="Arial" w:hAnsi="Arial"/>
                <w:sz w:val="18"/>
                <w:szCs w:val="18"/>
                <w:color w:val="auto"/>
                <w:w w:val="89"/>
              </w:rPr>
              <w:t>7,000 sq. feet</w:t>
            </w:r>
          </w:p>
        </w:tc>
        <w:tc>
          <w:tcPr>
            <w:tcW w:w="3840" w:type="dxa"/>
            <w:vAlign w:val="bottom"/>
          </w:tcPr>
          <w:p>
            <w:pPr>
              <w:ind w:left="140"/>
              <w:spacing w:after="0"/>
              <w:rPr>
                <w:sz w:val="20"/>
                <w:szCs w:val="20"/>
                <w:color w:val="auto"/>
              </w:rPr>
            </w:pPr>
            <w:r>
              <w:rPr>
                <w:rFonts w:ascii="Arial" w:cs="Arial" w:eastAsia="Arial" w:hAnsi="Arial"/>
                <w:sz w:val="18"/>
                <w:szCs w:val="18"/>
                <w:color w:val="auto"/>
              </w:rPr>
              <w:t>Office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Australia:</w:t>
            </w:r>
          </w:p>
        </w:tc>
        <w:tc>
          <w:tcPr>
            <w:tcW w:w="4420" w:type="dxa"/>
            <w:vAlign w:val="bottom"/>
            <w:tcBorders>
              <w:bottom w:val="single" w:sz="8" w:color="CCEEFF"/>
            </w:tcBorders>
            <w:gridSpan w:val="3"/>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Coppabella, Queensland, Australia</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5"/>
              </w:rPr>
              <w:t>192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Coppabella Village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Calliope, Queensland, Australia</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5"/>
              </w:rPr>
              <w:t>124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Calliope Village</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Narrabri, New South Wales, Australia</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82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Narrabri Village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Boggabri, New South Wales, Australia</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52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Boggabri Village</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Dysart, Queensland, Australia</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50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Dysart Village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Middlemount, Queensland, Australia</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37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Middlemount Village</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Karratha, Western Australia, Australia (own and lease)</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34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Karratha Village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Kambalda, Western Australia, Australia</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27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Kambalda Village</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Nebo, Queensland, Australia</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26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Nebo Village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Moranbah, Queensland, Australia</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17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Moranbah Village</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Sydney, New South Wales, Australia (lease)</w:t>
            </w:r>
          </w:p>
        </w:tc>
        <w:tc>
          <w:tcPr>
            <w:tcW w:w="2180" w:type="dxa"/>
            <w:vAlign w:val="bottom"/>
          </w:tcPr>
          <w:p>
            <w:pPr>
              <w:jc w:val="center"/>
              <w:ind w:left="510"/>
              <w:spacing w:after="0"/>
              <w:rPr>
                <w:sz w:val="20"/>
                <w:szCs w:val="20"/>
                <w:color w:val="auto"/>
              </w:rPr>
            </w:pPr>
            <w:r>
              <w:rPr>
                <w:rFonts w:ascii="Arial" w:cs="Arial" w:eastAsia="Arial" w:hAnsi="Arial"/>
                <w:sz w:val="18"/>
                <w:szCs w:val="18"/>
                <w:color w:val="auto"/>
                <w:w w:val="88"/>
              </w:rPr>
              <w:t>11,518 sq. feet</w:t>
            </w:r>
          </w:p>
        </w:tc>
        <w:tc>
          <w:tcPr>
            <w:tcW w:w="3840" w:type="dxa"/>
            <w:vAlign w:val="bottom"/>
          </w:tcPr>
          <w:p>
            <w:pPr>
              <w:ind w:left="140"/>
              <w:spacing w:after="0"/>
              <w:rPr>
                <w:sz w:val="20"/>
                <w:szCs w:val="20"/>
                <w:color w:val="auto"/>
              </w:rPr>
            </w:pPr>
            <w:r>
              <w:rPr>
                <w:rFonts w:ascii="Arial" w:cs="Arial" w:eastAsia="Arial" w:hAnsi="Arial"/>
                <w:sz w:val="18"/>
                <w:szCs w:val="18"/>
                <w:color w:val="auto"/>
              </w:rPr>
              <w:t>Office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Brisbane, Queensland, Australia (lease)</w:t>
            </w:r>
          </w:p>
        </w:tc>
        <w:tc>
          <w:tcPr>
            <w:tcW w:w="21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9"/>
              </w:rPr>
              <w:t>5,543 sq. feet</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Office</w:t>
            </w:r>
          </w:p>
        </w:tc>
      </w:tr>
      <w:tr>
        <w:trPr>
          <w:trHeight w:val="203"/>
        </w:trPr>
        <w:tc>
          <w:tcPr>
            <w:tcW w:w="180" w:type="dxa"/>
            <w:vAlign w:val="bottom"/>
          </w:tcPr>
          <w:p>
            <w:pPr>
              <w:spacing w:after="0"/>
              <w:rPr>
                <w:sz w:val="17"/>
                <w:szCs w:val="17"/>
                <w:color w:val="auto"/>
              </w:rPr>
            </w:pPr>
          </w:p>
        </w:tc>
        <w:tc>
          <w:tcPr>
            <w:tcW w:w="5120" w:type="dxa"/>
            <w:vAlign w:val="bottom"/>
            <w:gridSpan w:val="5"/>
          </w:tcPr>
          <w:p>
            <w:pPr>
              <w:spacing w:after="0" w:line="202" w:lineRule="exact"/>
              <w:rPr>
                <w:sz w:val="20"/>
                <w:szCs w:val="20"/>
                <w:color w:val="auto"/>
              </w:rPr>
            </w:pPr>
            <w:r>
              <w:rPr>
                <w:rFonts w:ascii="Arial" w:cs="Arial" w:eastAsia="Arial" w:hAnsi="Arial"/>
                <w:sz w:val="18"/>
                <w:szCs w:val="18"/>
                <w:color w:val="auto"/>
              </w:rPr>
              <w:t>United States:</w:t>
            </w:r>
          </w:p>
        </w:tc>
        <w:tc>
          <w:tcPr>
            <w:tcW w:w="21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48"/>
        </w:trPr>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84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Houston, Texas (lease)</w:t>
            </w:r>
          </w:p>
        </w:tc>
        <w:tc>
          <w:tcPr>
            <w:tcW w:w="21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9"/>
              </w:rPr>
              <w:t>8,900 sq. feet</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Principal executive offices</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Sulphur, Louisiana</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44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Acadian Acres Lodge and yard</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Killdeer, North Dakota</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39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Killdeer Lodge</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Pecos, Texas (lease)</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35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West Permian Lodge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Dickinson, North Dakota (lease)</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26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Vernal, Utah (lease)</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21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Casper, Wyoming (lease)</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14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Accommodations facility and yard</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Yukon, Oklahoma (lease)</w:t>
            </w:r>
          </w:p>
        </w:tc>
        <w:tc>
          <w:tcPr>
            <w:tcW w:w="2180" w:type="dxa"/>
            <w:vAlign w:val="bottom"/>
          </w:tcPr>
          <w:p>
            <w:pPr>
              <w:jc w:val="center"/>
              <w:ind w:left="530"/>
              <w:spacing w:after="0"/>
              <w:rPr>
                <w:sz w:val="20"/>
                <w:szCs w:val="20"/>
                <w:color w:val="auto"/>
              </w:rPr>
            </w:pPr>
            <w:r>
              <w:rPr>
                <w:rFonts w:ascii="Arial" w:cs="Arial" w:eastAsia="Arial" w:hAnsi="Arial"/>
                <w:sz w:val="18"/>
                <w:szCs w:val="18"/>
                <w:color w:val="auto"/>
                <w:w w:val="86"/>
              </w:rPr>
              <w:t>12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Belle Chasse, Louisiana</w:t>
            </w:r>
          </w:p>
        </w:tc>
        <w:tc>
          <w:tcPr>
            <w:tcW w:w="218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10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Manufacturing facility and yard</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Big Piney, Wyoming (lease)</w:t>
            </w:r>
          </w:p>
        </w:tc>
        <w:tc>
          <w:tcPr>
            <w:tcW w:w="2180" w:type="dxa"/>
            <w:vAlign w:val="bottom"/>
          </w:tcPr>
          <w:p>
            <w:pPr>
              <w:jc w:val="center"/>
              <w:ind w:left="510"/>
              <w:spacing w:after="0"/>
              <w:rPr>
                <w:sz w:val="20"/>
                <w:szCs w:val="20"/>
                <w:color w:val="auto"/>
              </w:rPr>
            </w:pPr>
            <w:r>
              <w:rPr>
                <w:rFonts w:ascii="Arial" w:cs="Arial" w:eastAsia="Arial" w:hAnsi="Arial"/>
                <w:sz w:val="18"/>
                <w:szCs w:val="18"/>
                <w:color w:val="auto"/>
                <w:w w:val="84"/>
              </w:rPr>
              <w:t>7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LaSalle, Colorado (lease)</w:t>
            </w:r>
          </w:p>
        </w:tc>
        <w:tc>
          <w:tcPr>
            <w:tcW w:w="21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4"/>
              </w:rPr>
              <w:t>6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Pecos, Texas (lease)</w:t>
            </w:r>
          </w:p>
        </w:tc>
        <w:tc>
          <w:tcPr>
            <w:tcW w:w="2180" w:type="dxa"/>
            <w:vAlign w:val="bottom"/>
          </w:tcPr>
          <w:p>
            <w:pPr>
              <w:jc w:val="center"/>
              <w:ind w:left="510"/>
              <w:spacing w:after="0"/>
              <w:rPr>
                <w:sz w:val="20"/>
                <w:szCs w:val="20"/>
                <w:color w:val="auto"/>
              </w:rPr>
            </w:pPr>
            <w:r>
              <w:rPr>
                <w:rFonts w:ascii="Arial" w:cs="Arial" w:eastAsia="Arial" w:hAnsi="Arial"/>
                <w:sz w:val="18"/>
                <w:szCs w:val="18"/>
                <w:color w:val="auto"/>
                <w:w w:val="84"/>
              </w:rPr>
              <w:t>5 acres</w:t>
            </w:r>
          </w:p>
        </w:tc>
        <w:tc>
          <w:tcPr>
            <w:tcW w:w="3840" w:type="dxa"/>
            <w:vAlign w:val="bottom"/>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Wright, Wyoming (lease)</w:t>
            </w:r>
          </w:p>
        </w:tc>
        <w:tc>
          <w:tcPr>
            <w:tcW w:w="21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4"/>
              </w:rPr>
              <w:t>5 acres</w:t>
            </w: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43"/>
        </w:trPr>
        <w:tc>
          <w:tcPr>
            <w:tcW w:w="180" w:type="dxa"/>
            <w:vAlign w:val="bottom"/>
          </w:tcPr>
          <w:p>
            <w:pPr>
              <w:spacing w:after="0"/>
              <w:rPr>
                <w:sz w:val="21"/>
                <w:szCs w:val="21"/>
                <w:color w:val="auto"/>
              </w:rPr>
            </w:pPr>
          </w:p>
        </w:tc>
        <w:tc>
          <w:tcPr>
            <w:tcW w:w="5120" w:type="dxa"/>
            <w:vAlign w:val="bottom"/>
            <w:gridSpan w:val="5"/>
          </w:tcPr>
          <w:p>
            <w:pPr>
              <w:ind w:left="420"/>
              <w:spacing w:after="0"/>
              <w:rPr>
                <w:sz w:val="20"/>
                <w:szCs w:val="20"/>
                <w:color w:val="auto"/>
              </w:rPr>
            </w:pPr>
            <w:r>
              <w:rPr>
                <w:rFonts w:ascii="Arial" w:cs="Arial" w:eastAsia="Arial" w:hAnsi="Arial"/>
                <w:sz w:val="18"/>
                <w:szCs w:val="18"/>
                <w:color w:val="auto"/>
              </w:rPr>
              <w:t>Longmont, Colorado (lease)</w:t>
            </w:r>
          </w:p>
        </w:tc>
        <w:tc>
          <w:tcPr>
            <w:tcW w:w="2180" w:type="dxa"/>
            <w:vAlign w:val="bottom"/>
          </w:tcPr>
          <w:p>
            <w:pPr>
              <w:jc w:val="center"/>
              <w:ind w:left="510"/>
              <w:spacing w:after="0"/>
              <w:rPr>
                <w:sz w:val="20"/>
                <w:szCs w:val="20"/>
                <w:color w:val="auto"/>
              </w:rPr>
            </w:pPr>
            <w:r>
              <w:rPr>
                <w:rFonts w:ascii="Arial" w:cs="Arial" w:eastAsia="Arial" w:hAnsi="Arial"/>
                <w:sz w:val="18"/>
                <w:szCs w:val="18"/>
                <w:color w:val="auto"/>
                <w:w w:val="89"/>
              </w:rPr>
              <w:t>4,377 sq. feet</w:t>
            </w:r>
          </w:p>
        </w:tc>
        <w:tc>
          <w:tcPr>
            <w:tcW w:w="3840" w:type="dxa"/>
            <w:vAlign w:val="bottom"/>
          </w:tcPr>
          <w:p>
            <w:pPr>
              <w:ind w:left="140"/>
              <w:spacing w:after="0"/>
              <w:rPr>
                <w:sz w:val="20"/>
                <w:szCs w:val="20"/>
                <w:color w:val="auto"/>
              </w:rPr>
            </w:pPr>
            <w:r>
              <w:rPr>
                <w:rFonts w:ascii="Arial" w:cs="Arial" w:eastAsia="Arial" w:hAnsi="Arial"/>
                <w:sz w:val="18"/>
                <w:szCs w:val="18"/>
                <w:color w:val="auto"/>
              </w:rPr>
              <w:t>Office</w:t>
            </w:r>
          </w:p>
        </w:tc>
      </w:tr>
    </w:tbl>
    <w:p>
      <w:pPr>
        <w:spacing w:after="0" w:line="229"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color w:val="auto"/>
        </w:rPr>
        <w:t>We own various undeveloped properties in British Columbia. 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ectPr>
          <w:pgSz w:w="11900" w:h="16838" w:orient="portrait"/>
          <w:cols w:equalWidth="0" w:num="1">
            <w:col w:w="11400"/>
          </w:cols>
          <w:pgMar w:left="240" w:top="108"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108" w:right="2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59"/>
        <w:spacing w:after="0" w:line="342" w:lineRule="auto"/>
        <w:rPr>
          <w:sz w:val="20"/>
          <w:szCs w:val="20"/>
          <w:color w:val="auto"/>
        </w:rPr>
      </w:pPr>
      <w:r>
        <w:rPr>
          <w:rFonts w:ascii="Arial" w:cs="Arial" w:eastAsia="Arial" w:hAnsi="Arial"/>
          <w:sz w:val="16"/>
          <w:szCs w:val="16"/>
          <w:color w:val="auto"/>
        </w:rPr>
        <w:t>Leased land for our lodge properties in Canada refers to land leased from the Alberta government. We also lease land for our Karratha Village from the provincial government in Australia. Generally, our leases have an initial term of ten years and are scheduled to expire between 2020 and 2028.</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125" w:right="3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Shareholder Matters and Issuer Purchases of Equity Securities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Market for Our Common Shares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trade on the NYSE under the trading symbol “CVEO”.</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22, 2019, there were 21 holders of record of Civeo common shares.</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Dividend Information</w:t>
      </w:r>
    </w:p>
    <w:p>
      <w:pPr>
        <w:spacing w:after="0" w:line="229"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color w:val="auto"/>
        </w:rPr>
        <w:t>We do not currently pay any cash dividends on our common shares.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We can give no assurances that we will pay a dividend in the future.</w:t>
      </w:r>
    </w:p>
    <w:p>
      <w:pPr>
        <w:spacing w:after="0" w:line="171" w:lineRule="exact"/>
        <w:rPr>
          <w:sz w:val="20"/>
          <w:szCs w:val="20"/>
          <w:color w:val="auto"/>
        </w:rPr>
      </w:pPr>
    </w:p>
    <w:p>
      <w:pPr>
        <w:ind w:right="120" w:firstLine="459"/>
        <w:spacing w:after="0" w:line="255" w:lineRule="auto"/>
        <w:rPr>
          <w:sz w:val="20"/>
          <w:szCs w:val="20"/>
          <w:color w:val="auto"/>
        </w:rPr>
      </w:pPr>
      <w:r>
        <w:rPr>
          <w:rFonts w:ascii="Arial" w:cs="Arial" w:eastAsia="Arial" w:hAnsi="Arial"/>
          <w:sz w:val="18"/>
          <w:szCs w:val="18"/>
          <w:color w:val="auto"/>
        </w:rPr>
        <w:t>The preferred shares we issued in the Noralta Acquisition are entitled to receive a 2% annual dividend on the liquidation preference (initially $10,000 per share), subject to increase to up to 3% in certain circumstances, paid quarterly in cash or, at our option, by increasing the preferred shares’ liquidation preference, or any combination thereof. Quarterly dividends were paid in-kind on June 30, September 30, and December 31, 2018, thereby increasing the liquidation preference to $10,150 per share as of December 31, 2018. We currently expect to pay dividends on the preferred shares for the foreseeable future through an increase in liquidation preference rather than cash. For further information, see Note 12 – Preferred Shares to the notes to the consolidated financial statements included in Item 8 of this annual report.</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120" w:firstLine="459"/>
        <w:spacing w:after="0" w:line="308" w:lineRule="auto"/>
        <w:rPr>
          <w:sz w:val="20"/>
          <w:szCs w:val="20"/>
          <w:color w:val="auto"/>
        </w:rPr>
      </w:pPr>
      <w:r>
        <w:rPr>
          <w:rFonts w:ascii="Arial" w:cs="Arial" w:eastAsia="Arial" w:hAnsi="Arial"/>
          <w:sz w:val="17"/>
          <w:szCs w:val="17"/>
          <w:color w:val="auto"/>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spacing w:after="0" w:line="147" w:lineRule="exact"/>
        <w:rPr>
          <w:sz w:val="20"/>
          <w:szCs w:val="20"/>
          <w:color w:val="auto"/>
        </w:rPr>
      </w:pPr>
    </w:p>
    <w:p>
      <w:pPr>
        <w:ind w:right="180" w:firstLine="459"/>
        <w:spacing w:after="0" w:line="259" w:lineRule="auto"/>
        <w:rPr>
          <w:sz w:val="20"/>
          <w:szCs w:val="20"/>
          <w:color w:val="auto"/>
        </w:rPr>
      </w:pPr>
      <w:r>
        <w:rPr>
          <w:rFonts w:ascii="Arial" w:cs="Arial" w:eastAsia="Arial" w:hAnsi="Arial"/>
          <w:sz w:val="18"/>
          <w:szCs w:val="18"/>
          <w:color w:val="auto"/>
        </w:rPr>
        <w:t>The following performance graph and chart compare the cumulative total return to holders of our common shares with the cumulative total returns of the Standard &amp; Poor's 500 Stock Index, Philadelphia OSX and with that of our current and prior peer groups, for the period from June 2, 2014 to December 31, 2018. The graph and chart show the value, at the dates indicated, of $100 invested at June 2, 2014 and assume the reinvestment of all dividends, as applicable.</w:t>
      </w:r>
    </w:p>
    <w:p>
      <w:pPr>
        <w:spacing w:after="0" w:line="187"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color w:val="auto"/>
        </w:rPr>
        <w:t>In 2018, we revised our peer group to ensure the companies continue to provide appropriate comparability to us. Prior to the revision, our peer group consisted of Basic Energy Services, Inc., Black Diamond Group Limited, Carbo Ceramics, Inc., Choice Hotels International, Inc., Extended Stay America, Inc., Forum Energy Technologies, Inc., Horizon North Logistics Inc., Matrix Service Company, Newpark Resources, Inc., Oil States International, Inc., Precision Drilling Corporation and Tetra Tech, Inc. Our current peer group consists of Basic Energy Services, Inc., Black Diamond Group Limited, Exterran Corporation, Forum Energy Technologies, Inc., Horizon North Logistics Inc., Matrix Service Company, Newpark Resources, Inc., Oil States International, Inc., Parker Drilling Company, Pioneer Energy Service Corporation, Precision Drilling Corporation, Source Energy Services Ltd., Step Energy Services Ltd., Tetra Tech, Inc. and Unit Corporation.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169545</wp:posOffset>
            </wp:positionV>
            <wp:extent cx="5848985" cy="4665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466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6/2/14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12/31/14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12/31/15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12/31/16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12/31/17</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12/31/18</w:t>
            </w:r>
          </w:p>
        </w:tc>
      </w:tr>
      <w:tr>
        <w:trPr>
          <w:trHeight w:val="27"/>
        </w:trPr>
        <w:tc>
          <w:tcPr>
            <w:tcW w:w="3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Civeo Corporation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S&amp;P 500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108.31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109.81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122.94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149.78</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143.21</w:t>
            </w: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PHLX Oil Service Sector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61.86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34.99</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Prior Peer Group (1)</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51.49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64.91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64.87</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50.48</w:t>
            </w: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Peer Group (2)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46.27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29.47</w:t>
            </w:r>
          </w:p>
        </w:tc>
      </w:tr>
      <w:tr>
        <w:trPr>
          <w:trHeight w:val="27"/>
        </w:trPr>
        <w:tc>
          <w:tcPr>
            <w:tcW w:w="3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The performance graph above is furnished and not filed for purposes of the Securities Act and the Exchange Act. The performance graph is not soliciting material subject to Regulation 14A.</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80"/>
          </w:cols>
          <w:pgMar w:left="240" w:top="125" w:right="8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Repurchases of Equity Securities by Registrant or its Affiliates in the Fourth Quarter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purchases of our common shares during the three months ended December 31, 2018.</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5"/>
              </w:rPr>
              <w:t>Maximum number of</w:t>
            </w:r>
          </w:p>
        </w:tc>
      </w:tr>
      <w:tr>
        <w:trPr>
          <w:trHeight w:val="203"/>
        </w:trPr>
        <w:tc>
          <w:tcPr>
            <w:tcW w:w="3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shares that may yet be</w:t>
            </w:r>
          </w:p>
        </w:tc>
      </w:tr>
      <w:tr>
        <w:trPr>
          <w:trHeight w:val="203"/>
        </w:trPr>
        <w:tc>
          <w:tcPr>
            <w:tcW w:w="3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280" w:type="dxa"/>
            <w:vAlign w:val="bottom"/>
          </w:tcPr>
          <w:p>
            <w:pPr>
              <w:spacing w:after="0"/>
              <w:rPr>
                <w:sz w:val="17"/>
                <w:szCs w:val="17"/>
                <w:color w:val="auto"/>
              </w:rPr>
            </w:pPr>
          </w:p>
        </w:tc>
        <w:tc>
          <w:tcPr>
            <w:tcW w:w="1840" w:type="dxa"/>
            <w:vAlign w:val="bottom"/>
          </w:tcPr>
          <w:p>
            <w:pPr>
              <w:ind w:left="160"/>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under the</w:t>
            </w:r>
          </w:p>
        </w:tc>
      </w:tr>
      <w:tr>
        <w:trPr>
          <w:trHeight w:val="210"/>
        </w:trPr>
        <w:tc>
          <w:tcPr>
            <w:tcW w:w="3240" w:type="dxa"/>
            <w:vAlign w:val="bottom"/>
          </w:tcPr>
          <w:p>
            <w:pPr>
              <w:ind w:left="1660"/>
              <w:spacing w:after="0"/>
              <w:rPr>
                <w:sz w:val="20"/>
                <w:szCs w:val="20"/>
                <w:color w:val="auto"/>
              </w:rPr>
            </w:pPr>
            <w:r>
              <w:rPr>
                <w:rFonts w:ascii="Arial" w:cs="Arial" w:eastAsia="Arial" w:hAnsi="Arial"/>
                <w:sz w:val="16"/>
                <w:szCs w:val="16"/>
                <w:b w:val="1"/>
                <w:bCs w:val="1"/>
                <w:color w:val="auto"/>
              </w:rPr>
              <w:t>Period</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Shares Purchased</w:t>
            </w:r>
          </w:p>
        </w:tc>
        <w:tc>
          <w:tcPr>
            <w:tcW w:w="280" w:type="dxa"/>
            <w:vAlign w:val="bottom"/>
          </w:tcPr>
          <w:p>
            <w:pPr>
              <w:spacing w:after="0"/>
              <w:rPr>
                <w:sz w:val="18"/>
                <w:szCs w:val="18"/>
                <w:color w:val="auto"/>
              </w:rPr>
            </w:pPr>
          </w:p>
        </w:tc>
        <w:tc>
          <w:tcPr>
            <w:tcW w:w="1840" w:type="dxa"/>
            <w:vAlign w:val="bottom"/>
          </w:tcPr>
          <w:p>
            <w:pPr>
              <w:ind w:left="480"/>
              <w:spacing w:after="0"/>
              <w:rPr>
                <w:sz w:val="20"/>
                <w:szCs w:val="20"/>
                <w:color w:val="auto"/>
              </w:rPr>
            </w:pPr>
            <w:r>
              <w:rPr>
                <w:rFonts w:ascii="Arial" w:cs="Arial" w:eastAsia="Arial" w:hAnsi="Arial"/>
                <w:sz w:val="16"/>
                <w:szCs w:val="16"/>
                <w:b w:val="1"/>
                <w:bCs w:val="1"/>
                <w:color w:val="auto"/>
              </w:rPr>
              <w:t>per Share</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 (3)</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w w:val="96"/>
              </w:rPr>
              <w:t>plans or programs (3)</w:t>
            </w:r>
          </w:p>
        </w:tc>
      </w:tr>
      <w:tr>
        <w:trPr>
          <w:trHeight w:val="33"/>
        </w:trPr>
        <w:tc>
          <w:tcPr>
            <w:tcW w:w="3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2018 - October 31, 2018</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3240" w:type="dxa"/>
            <w:vAlign w:val="bottom"/>
          </w:tcPr>
          <w:p>
            <w:pPr>
              <w:ind w:left="40"/>
              <w:spacing w:after="0"/>
              <w:rPr>
                <w:sz w:val="20"/>
                <w:szCs w:val="20"/>
                <w:color w:val="auto"/>
              </w:rPr>
            </w:pPr>
            <w:r>
              <w:rPr>
                <w:rFonts w:ascii="Arial" w:cs="Arial" w:eastAsia="Arial" w:hAnsi="Arial"/>
                <w:sz w:val="16"/>
                <w:szCs w:val="16"/>
                <w:color w:val="auto"/>
              </w:rPr>
              <w:t>November 1, 2018 - November 30, 2018</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102,919</w:t>
            </w:r>
          </w:p>
        </w:tc>
        <w:tc>
          <w:tcPr>
            <w:tcW w:w="280" w:type="dxa"/>
            <w:vAlign w:val="bottom"/>
          </w:tcPr>
          <w:p>
            <w:pPr>
              <w:jc w:val="right"/>
              <w:ind w:right="95"/>
              <w:spacing w:after="0"/>
              <w:rPr>
                <w:sz w:val="20"/>
                <w:szCs w:val="20"/>
                <w:color w:val="auto"/>
              </w:rPr>
            </w:pPr>
            <w:r>
              <w:rPr>
                <w:rFonts w:ascii="Arial" w:cs="Arial" w:eastAsia="Arial" w:hAnsi="Arial"/>
                <w:sz w:val="9"/>
                <w:szCs w:val="9"/>
                <w:color w:val="auto"/>
              </w:rPr>
              <w:t>(1)</w:t>
            </w:r>
          </w:p>
        </w:tc>
        <w:tc>
          <w:tcPr>
            <w:tcW w:w="1840" w:type="dxa"/>
            <w:vAlign w:val="bottom"/>
          </w:tcPr>
          <w:p>
            <w:pPr>
              <w:ind w:left="1180"/>
              <w:spacing w:after="0"/>
              <w:rPr>
                <w:sz w:val="20"/>
                <w:szCs w:val="20"/>
                <w:color w:val="auto"/>
              </w:rPr>
            </w:pPr>
            <w:r>
              <w:rPr>
                <w:rFonts w:ascii="Arial" w:cs="Arial" w:eastAsia="Arial" w:hAnsi="Arial"/>
                <w:sz w:val="16"/>
                <w:szCs w:val="16"/>
                <w:color w:val="auto"/>
              </w:rPr>
              <w:t xml:space="preserve">$1.94 </w:t>
            </w:r>
            <w:r>
              <w:rPr>
                <w:rFonts w:ascii="Arial" w:cs="Arial" w:eastAsia="Arial" w:hAnsi="Arial"/>
                <w:sz w:val="17"/>
                <w:szCs w:val="17"/>
                <w:color w:val="auto"/>
                <w:vertAlign w:val="superscript"/>
              </w:rPr>
              <w:t>(2)</w:t>
            </w:r>
          </w:p>
        </w:tc>
        <w:tc>
          <w:tcPr>
            <w:tcW w:w="1860" w:type="dxa"/>
            <w:vAlign w:val="bottom"/>
          </w:tcPr>
          <w:p>
            <w:pPr>
              <w:ind w:left="16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1, 2018 - December 31, 2018</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color w:val="auto"/>
              </w:rPr>
              <w:t>Total</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102,919</w:t>
            </w:r>
          </w:p>
        </w:tc>
        <w:tc>
          <w:tcPr>
            <w:tcW w:w="280" w:type="dxa"/>
            <w:vAlign w:val="bottom"/>
          </w:tcPr>
          <w:p>
            <w:pPr>
              <w:spacing w:after="0"/>
              <w:rPr>
                <w:sz w:val="20"/>
                <w:szCs w:val="20"/>
                <w:color w:val="auto"/>
              </w:rPr>
            </w:pPr>
          </w:p>
        </w:tc>
        <w:tc>
          <w:tcPr>
            <w:tcW w:w="1840" w:type="dxa"/>
            <w:vAlign w:val="bottom"/>
          </w:tcPr>
          <w:p>
            <w:pPr>
              <w:ind w:left="1180"/>
              <w:spacing w:after="0"/>
              <w:rPr>
                <w:sz w:val="20"/>
                <w:szCs w:val="20"/>
                <w:color w:val="auto"/>
              </w:rPr>
            </w:pPr>
            <w:r>
              <w:rPr>
                <w:rFonts w:ascii="Arial" w:cs="Arial" w:eastAsia="Arial" w:hAnsi="Arial"/>
                <w:sz w:val="16"/>
                <w:szCs w:val="16"/>
                <w:color w:val="auto"/>
              </w:rPr>
              <w:t>$1.94</w:t>
            </w:r>
          </w:p>
        </w:tc>
        <w:tc>
          <w:tcPr>
            <w:tcW w:w="1860" w:type="dxa"/>
            <w:vAlign w:val="bottom"/>
          </w:tcPr>
          <w:p>
            <w:pPr>
              <w:ind w:left="16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42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15" w:lineRule="exact"/>
        <w:rPr>
          <w:sz w:val="20"/>
          <w:szCs w:val="20"/>
          <w:color w:val="auto"/>
        </w:rPr>
      </w:pPr>
    </w:p>
    <w:p>
      <w:pPr>
        <w:ind w:left="340" w:right="280" w:hanging="332"/>
        <w:spacing w:after="0" w:line="25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shares surrendered to us by participants in our 2014 Equity Participation Plan to settle the participants' personal tax liabilities that resulted from the lapsing of restriction on shares awarded to the participants under the plan.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price paid per share was based on the closing price of our common shares on November 28, 2018, the dates the restrictions lapsed on such shares.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did not have at any time during the quarter ended December 31, 2018, and currently do not have, a share repurchase program in place.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following tables present the selected historical consolidated financial information of Civeo and combined financial information of the accommodations business. The term “accommodations business” refers to Oil States International Inc.’s (Oil States) historical accommodations segment reflected in its historical combined financial statements discussed herein. The accommodations business was spun off from Oil States on May 30, 2014. All financial information presented after our spin-off from Oil States represents the consolidated results of operation and financial position of Civeo. Accordingly,</w:t>
      </w:r>
    </w:p>
    <w:p>
      <w:pPr>
        <w:spacing w:after="0" w:line="154" w:lineRule="exact"/>
        <w:rPr>
          <w:sz w:val="20"/>
          <w:szCs w:val="20"/>
          <w:color w:val="auto"/>
        </w:rPr>
      </w:pPr>
    </w:p>
    <w:p>
      <w:pPr>
        <w:ind w:left="980" w:hanging="324"/>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consolidated statement of operations data for the years ended December 31, 2018, 2017, 2016 and 2015 consists entirely of the consolidated results of Civeo. Our consolidated statement of operations data for the year ended December 31, 2014 consists of (i) the combined results of the Oil States accommodations business for the five months ended May 30, 2014 and (ii) the consolidated results of Civeo for the seven months ended December 31, 2014.</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consolidated balance sheet data at December 31, 2018, 2017, 2016, 2015 and 2014 consists entirely of the consolidated balances of Civeo.</w:t>
      </w:r>
    </w:p>
    <w:p>
      <w:pPr>
        <w:spacing w:after="0" w:line="248" w:lineRule="exact"/>
        <w:rPr>
          <w:sz w:val="20"/>
          <w:szCs w:val="20"/>
          <w:color w:val="auto"/>
        </w:rPr>
      </w:pPr>
    </w:p>
    <w:p>
      <w:pPr>
        <w:ind w:right="60" w:firstLine="459"/>
        <w:spacing w:after="0" w:line="259" w:lineRule="auto"/>
        <w:rPr>
          <w:sz w:val="20"/>
          <w:szCs w:val="20"/>
          <w:color w:val="auto"/>
        </w:rPr>
      </w:pPr>
      <w:r>
        <w:rPr>
          <w:rFonts w:ascii="Arial" w:cs="Arial" w:eastAsia="Arial" w:hAnsi="Arial"/>
          <w:sz w:val="18"/>
          <w:szCs w:val="18"/>
          <w:color w:val="auto"/>
        </w:rPr>
        <w:t>The balance sheet data as of December 31, 2018 and 2017 and the statement of operations data for each of the years ended December 31, 2018, 2017 and 2016 are derived from our audited financial statements included in Item 8 of this annual report. The balance sheet data as of December 31, 2016, 2015 and 2014 and statement of operations data for the years ended December 31, 2015 and 2014 are derived from our audited financial statements not included in this annual report.</w:t>
      </w:r>
    </w:p>
    <w:p>
      <w:pPr>
        <w:spacing w:after="0" w:line="187"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The historical financial information presented below should be read in conjunction with our consolidated financial statements and accompanying notes in Item 8 and “Management’s Discussion and Analysis of Financial Condition and Results of Operations” in Item 7 of this annual report. The financial information may not be indicative of our future performance and, for periods prior to December 31, 2014, does not necessarily reflect what the financial position and results of operations would have been had we operated as a separate, stand-alone entity during those periods, including changes that occurred in our operations as a result of our spin-off from Oil States.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right"/>
        <w:ind w:right="2080"/>
        <w:spacing w:after="0"/>
        <w:rPr>
          <w:sz w:val="20"/>
          <w:szCs w:val="20"/>
          <w:color w:val="auto"/>
        </w:rPr>
      </w:pPr>
      <w:r>
        <w:rPr>
          <w:rFonts w:ascii="Arial" w:cs="Arial" w:eastAsia="Arial" w:hAnsi="Arial"/>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34290</wp:posOffset>
            </wp:positionV>
            <wp:extent cx="4271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8"/>
          <w:szCs w:val="18"/>
          <w:color w:val="auto"/>
        </w:rPr>
        <w: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loss</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Net loss attributable to Civeo or the Accommodations Business of Oil States International, Inc., as applicable</w:t>
      </w:r>
    </w:p>
    <w:p>
      <w:pPr>
        <w:spacing w:after="0" w:line="8" w:lineRule="exact"/>
        <w:rPr>
          <w:sz w:val="20"/>
          <w:szCs w:val="20"/>
          <w:color w:val="auto"/>
        </w:rPr>
      </w:pPr>
    </w:p>
    <w:p>
      <w:pPr>
        <w:ind w:left="40" w:right="100"/>
        <w:spacing w:after="0" w:line="264" w:lineRule="auto"/>
        <w:rPr>
          <w:sz w:val="20"/>
          <w:szCs w:val="20"/>
          <w:color w:val="auto"/>
        </w:rPr>
      </w:pPr>
      <w:r>
        <w:rPr>
          <w:rFonts w:ascii="Arial" w:cs="Arial" w:eastAsia="Arial" w:hAnsi="Arial"/>
          <w:sz w:val="18"/>
          <w:szCs w:val="18"/>
          <w:color w:val="auto"/>
        </w:rPr>
        <w:t xml:space="preserve">Diluted loss per share attributable to Civeo or the Accommodations Business of Oil States International, Inc., as applicable </w:t>
      </w: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Sheet Data:</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Civeo shareholders’ equity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dividends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1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4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89"/>
              </w:rPr>
              <w:t>(In thousands, except per share data)</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4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466,692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382,276</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397,230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517,963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942,891</w:t>
            </w:r>
          </w:p>
        </w:tc>
      </w:tr>
      <w:tr>
        <w:trPr>
          <w:trHeight w:val="270"/>
        </w:trPr>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(88,055)</w:t>
            </w: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(97,971)</w:t>
            </w:r>
          </w:p>
        </w:tc>
        <w:tc>
          <w:tcPr>
            <w:tcW w:w="42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(95,760)</w:t>
            </w: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(145,003)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(142,891)</w:t>
            </w:r>
          </w:p>
        </w:tc>
      </w:tr>
      <w:tr>
        <w:trPr>
          <w:trHeight w:val="486"/>
        </w:trPr>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(131,832)</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(105,713)</w:t>
            </w:r>
          </w:p>
        </w:tc>
        <w:tc>
          <w:tcPr>
            <w:tcW w:w="42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(96,388)</w:t>
            </w:r>
          </w:p>
        </w:tc>
        <w:tc>
          <w:tcPr>
            <w:tcW w:w="2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(131,759)</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(189,043)</w:t>
            </w:r>
          </w:p>
        </w:tc>
      </w:tr>
      <w:tr>
        <w:trPr>
          <w:trHeight w:val="702"/>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(0.82)</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(0.90)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621"/>
        </w:trPr>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As of December 31,</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1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4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89"/>
              </w:rPr>
              <w:t>(In thousands, except per share data)</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4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1,001,677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853,912</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910,446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1,066,529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1,829,161</w:t>
            </w:r>
          </w:p>
        </w:tc>
      </w:tr>
      <w:tr>
        <w:trPr>
          <w:trHeight w:val="270"/>
        </w:trPr>
        <w:tc>
          <w:tcPr>
            <w:tcW w:w="28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342,908</w:t>
            </w: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277,990</w:t>
            </w:r>
          </w:p>
        </w:tc>
        <w:tc>
          <w:tcPr>
            <w:tcW w:w="42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337,800</w:t>
            </w:r>
          </w:p>
        </w:tc>
        <w:tc>
          <w:tcPr>
            <w:tcW w:w="2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379,416</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755,625</w:t>
            </w:r>
          </w:p>
        </w:tc>
      </w:tr>
      <w:tr>
        <w:trPr>
          <w:trHeight w:val="270"/>
        </w:trPr>
        <w:tc>
          <w:tcPr>
            <w:tcW w:w="28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535,424</w:t>
            </w: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476,250</w:t>
            </w:r>
          </w:p>
        </w:tc>
        <w:tc>
          <w:tcPr>
            <w:tcW w:w="42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475,467</w:t>
            </w:r>
          </w:p>
        </w:tc>
        <w:tc>
          <w:tcPr>
            <w:tcW w:w="2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563,245</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858,001</w:t>
            </w:r>
          </w:p>
        </w:tc>
      </w:tr>
      <w:tr>
        <w:trPr>
          <w:trHeight w:val="270"/>
        </w:trPr>
        <w:tc>
          <w:tcPr>
            <w:tcW w:w="28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-2863850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-2520950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-2040255</wp:posOffset>
            </wp:positionV>
            <wp:extent cx="724662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-839470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-496570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-153670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100"/>
            <w:col w:w="6720"/>
          </w:cols>
          <w:pgMar w:left="240" w:top="125" w:right="239" w:bottom="1440" w:gutter="0" w:footer="0" w:header="0"/>
          <w:type w:val="continuous"/>
        </w:sectPr>
      </w:pPr>
    </w:p>
    <w:p>
      <w:pPr>
        <w:spacing w:after="0" w:line="29" w:lineRule="exact"/>
        <w:rPr>
          <w:sz w:val="20"/>
          <w:szCs w:val="20"/>
          <w:color w:val="auto"/>
        </w:rPr>
      </w:pPr>
    </w:p>
    <w:p>
      <w:pPr>
        <w:ind w:left="460" w:right="120" w:hanging="330"/>
        <w:spacing w:after="0" w:line="30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May 30, 2014, 106,538,044 shares of our common stock were distributed to Oil States stockholders in connection with the spin-off. For comparative purposes, and to provide a more meaningful calculation of weighted-average shares outstanding in our diluted net income (loss) per share calculation, we have assumed these shares were outstanding as of the beginning of 2014 in the calculation of weighted-average shares. In addition, we have assumed the dilutive securities outstanding at May 30, 2014 were outstanding for the period from January 1, 2014 through May 30, 2014.</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Please read “Cautionary Statement Regarding Forward Looking Statements.” Our actual results may differ materially from those currently anticipated and expressed in such forward-looking statements as a result of numerous factors, including the known material factors set forth in Item 1A. “Risk Factors” of this annual report. You should read the following discussion and analysis together with our consolidated financial statements and the notes to those statements in Item 8 of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group logistics. We also offer development activities for workforce accommodation facilities, including site selection, permitting, engineering and design, manufacturing management and site construction, along with providing hospitality services once the facility is constructed. We operate in some of the world’s most active oil, coal and iron ore producing regions, and our customers include major and independent oil companies, mining companies and oilfield and mining service companies. We operate in three principal reportable business segments – Canada, Australia and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Noralta Acquisition</w:t>
      </w:r>
    </w:p>
    <w:p>
      <w:pPr>
        <w:spacing w:after="0" w:line="225" w:lineRule="exact"/>
        <w:rPr>
          <w:sz w:val="20"/>
          <w:szCs w:val="20"/>
          <w:color w:val="auto"/>
        </w:rPr>
      </w:pPr>
    </w:p>
    <w:p>
      <w:pPr>
        <w:jc w:val="both"/>
        <w:ind w:firstLine="459"/>
        <w:spacing w:after="0" w:line="273" w:lineRule="auto"/>
        <w:rPr>
          <w:sz w:val="20"/>
          <w:szCs w:val="20"/>
          <w:color w:val="auto"/>
        </w:rPr>
      </w:pPr>
      <w:r>
        <w:rPr>
          <w:rFonts w:ascii="Arial" w:cs="Arial" w:eastAsia="Arial" w:hAnsi="Arial"/>
          <w:sz w:val="17"/>
          <w:szCs w:val="17"/>
          <w:color w:val="auto"/>
        </w:rPr>
        <w:t>On April 2, 2018, we completed our previously announced acquisition of Noralta Lodge Ltd. (Noralta), which we refer to herein as the Noralta Acquisition. The consideration for the acquisition totaled (i) C$207.7 million (or approximately US$161.1 million) in cash, subject to customary post-closing adjustments for working capital, indebtedness and transaction expenses; (ii) 32.8 million of our common shares, and (iii) 9,679 shares of our Class A Series 1 Preferred Shares with an initial liquidation preference of US$96.79 million and initially convertible into 29.3 million of our common shares. We funded the cash consideration with cash on hand and borrowings under the Amended Credit Agreement. Please see Note 7 – Acquisitions to the notes to the consolidated financial statements included in Item 8 of this annual report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60" w:firstLine="459"/>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right="40" w:firstLine="459"/>
        <w:spacing w:after="0" w:line="291" w:lineRule="auto"/>
        <w:rPr>
          <w:sz w:val="20"/>
          <w:szCs w:val="20"/>
          <w:color w:val="auto"/>
        </w:rPr>
      </w:pPr>
      <w:r>
        <w:rPr>
          <w:rFonts w:ascii="Arial" w:cs="Arial" w:eastAsia="Arial" w:hAnsi="Arial"/>
          <w:sz w:val="16"/>
          <w:szCs w:val="16"/>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global commodity supply/demand dynamics and estimates of resource production. As a result, demand for our hospitality services is largely sensitive to expected commodity prices, principally related to crude oil and met coal.</w:t>
      </w:r>
    </w:p>
    <w:p>
      <w:pPr>
        <w:spacing w:after="0" w:line="167" w:lineRule="exact"/>
        <w:rPr>
          <w:sz w:val="20"/>
          <w:szCs w:val="20"/>
          <w:color w:val="auto"/>
        </w:rPr>
      </w:pPr>
    </w:p>
    <w:p>
      <w:pPr>
        <w:ind w:right="80" w:firstLine="459"/>
        <w:spacing w:after="0" w:line="257" w:lineRule="auto"/>
        <w:rPr>
          <w:sz w:val="20"/>
          <w:szCs w:val="20"/>
          <w:color w:val="auto"/>
        </w:rPr>
      </w:pPr>
      <w:r>
        <w:rPr>
          <w:rFonts w:ascii="Arial" w:cs="Arial" w:eastAsia="Arial" w:hAnsi="Arial"/>
          <w:sz w:val="18"/>
          <w:szCs w:val="18"/>
          <w:color w:val="auto"/>
        </w:rPr>
        <w:t>In Canada, WCS crude is the benchmark price for our oil sands customers. Pricing for WCS is driven by several factors, including the underlying price for WTI crude, the availability of transportation infrastructure and recent actions by the Alberta provincial government to limit production in the oil sands.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188" w:lineRule="exact"/>
        <w:rPr>
          <w:sz w:val="20"/>
          <w:szCs w:val="20"/>
          <w:color w:val="auto"/>
        </w:rPr>
      </w:pPr>
    </w:p>
    <w:p>
      <w:pPr>
        <w:ind w:right="160" w:firstLine="459"/>
        <w:spacing w:after="0" w:line="277" w:lineRule="auto"/>
        <w:rPr>
          <w:sz w:val="20"/>
          <w:szCs w:val="20"/>
          <w:color w:val="auto"/>
        </w:rPr>
      </w:pPr>
      <w:r>
        <w:rPr>
          <w:rFonts w:ascii="Arial" w:cs="Arial" w:eastAsia="Arial" w:hAnsi="Arial"/>
          <w:sz w:val="18"/>
          <w:szCs w:val="18"/>
          <w:color w:val="auto"/>
        </w:rPr>
        <w:t>During the first quarter of 2016, global oil prices dropped to their lowest levels in over ten years due to concerns over global oil demand, global crude inventory levels, worldwide economic growth and price cutting by major oil producing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countries, such as Saudi Arabia. Increasing global supply, including increased U.S. shale oil production, also negatively impacted pricing. Although prices began to increase in 2016 and continued to increase through the third quarter of 2018, oil prices decreased again during the fourth quarter of 2018.</w:t>
      </w:r>
    </w:p>
    <w:p>
      <w:pPr>
        <w:spacing w:after="0" w:line="124" w:lineRule="exact"/>
        <w:rPr>
          <w:sz w:val="20"/>
          <w:szCs w:val="20"/>
          <w:color w:val="auto"/>
        </w:rPr>
      </w:pPr>
    </w:p>
    <w:p>
      <w:pPr>
        <w:ind w:right="100" w:firstLine="459"/>
        <w:spacing w:after="0" w:line="254" w:lineRule="auto"/>
        <w:rPr>
          <w:sz w:val="20"/>
          <w:szCs w:val="20"/>
          <w:color w:val="auto"/>
        </w:rPr>
      </w:pPr>
      <w:r>
        <w:rPr>
          <w:rFonts w:ascii="Arial" w:cs="Arial" w:eastAsia="Arial" w:hAnsi="Arial"/>
          <w:sz w:val="18"/>
          <w:szCs w:val="18"/>
          <w:color w:val="auto"/>
        </w:rPr>
        <w:t>With falling WTI oil prices, WCS also fell. WCS prices in the fourth quarter of 2018 averaged $25.66 per barrel compared to a low of $20.26 in the first quarter of 2016 and a high of $49.93 in the second quarter of 2018. The WCS Differential increased from $26.00 per barrel at the end of the fourth quarter of 2017 to $34.90 at the end of the third quarter 2018. The increase during the first three quarters of 2018 was due to lack of infrastructure, including pipeline and crude-to-rail capacity, to transport oil away from the Canadian oil sands. These bottlenecks caused a significant build up in Canadian oil inventories, which reached record highs in August 2018. On December 2, 2018, the Government of Alberta announced it would mandate temporary curtailments of the Province’s oil production. This curtailment resulted in a narrowing WCS Differential in December 2018, which ended the year at $15.75 per barrel, that has continued into the first quarter of 2019. As of February 22, 2019, the WTI price was $57.11 and the WCS price was $44.26, resulting in a WCS Differential of $12.85.</w:t>
      </w:r>
    </w:p>
    <w:p>
      <w:pPr>
        <w:spacing w:after="0" w:line="192" w:lineRule="exact"/>
        <w:rPr>
          <w:sz w:val="20"/>
          <w:szCs w:val="20"/>
          <w:color w:val="auto"/>
        </w:rPr>
      </w:pPr>
    </w:p>
    <w:p>
      <w:pPr>
        <w:ind w:firstLine="459"/>
        <w:spacing w:after="0" w:line="253" w:lineRule="auto"/>
        <w:rPr>
          <w:sz w:val="20"/>
          <w:szCs w:val="20"/>
          <w:color w:val="auto"/>
        </w:rPr>
      </w:pPr>
      <w:r>
        <w:rPr>
          <w:rFonts w:ascii="Arial" w:cs="Arial" w:eastAsia="Arial" w:hAnsi="Arial"/>
          <w:sz w:val="18"/>
          <w:szCs w:val="18"/>
          <w:color w:val="auto"/>
        </w:rPr>
        <w:t>There remains a risk that prices for Canadian oil sands crude oil related products could deteriorate for an extended period of time, and the discount between WCS crude prices and WTI crude prices could continue to widen. The depressed price levels through the first quarter of 2016 negatively impacted exploration, development, maintenance and production spending and activity by Canadian operators and, therefore, demand for our hospitality services. Although we have seen an increase in oil prices since late 2016 and throughout 2017 and 2018, we are not expecting significant improvement in customer activity in the near-term, partially due to the volatility in the WCS Differential discussed above. The current outlook for expansionary projects in Canada is primarily related to proposed pipeline and in-situ oil sands projects. However, continued uncertainty and commodity price volatility and regulatory complications could cause our Canadian oil sands and pipeline customers to delay expansionary and maintenance spending and defer additional investments in their oil sands assets. Additionally, if oil prices continue to decline, the resulting impact could negatively affect the value of our long-lived assets, including goodwill.</w:t>
      </w:r>
    </w:p>
    <w:p>
      <w:pPr>
        <w:spacing w:after="0" w:line="197" w:lineRule="exact"/>
        <w:rPr>
          <w:sz w:val="20"/>
          <w:szCs w:val="20"/>
          <w:color w:val="auto"/>
        </w:rPr>
      </w:pPr>
    </w:p>
    <w:p>
      <w:pPr>
        <w:ind w:right="100" w:firstLine="459"/>
        <w:spacing w:after="0" w:line="257" w:lineRule="auto"/>
        <w:rPr>
          <w:sz w:val="20"/>
          <w:szCs w:val="20"/>
          <w:color w:val="auto"/>
        </w:rPr>
      </w:pPr>
      <w:r>
        <w:rPr>
          <w:rFonts w:ascii="Arial" w:cs="Arial" w:eastAsia="Arial" w:hAnsi="Arial"/>
          <w:sz w:val="18"/>
          <w:szCs w:val="18"/>
          <w:color w:val="auto"/>
        </w:rPr>
        <w:t>Our Sitka Lodge, within our Canadian business, supports the British Columbia LNG market and related pipeline projects. From a macroeconomic standpoint, global LNG imports set a record in 2018, reaching 308 million tonnes per annum, up from 284 million tonnes per annum in 2017,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88" w:lineRule="exact"/>
        <w:rPr>
          <w:sz w:val="20"/>
          <w:szCs w:val="20"/>
          <w:color w:val="auto"/>
        </w:rPr>
      </w:pPr>
    </w:p>
    <w:p>
      <w:pPr>
        <w:ind w:right="260" w:firstLine="459"/>
        <w:spacing w:after="0" w:line="255" w:lineRule="auto"/>
        <w:rPr>
          <w:sz w:val="20"/>
          <w:szCs w:val="20"/>
          <w:color w:val="auto"/>
        </w:rPr>
      </w:pPr>
      <w:r>
        <w:rPr>
          <w:rFonts w:ascii="Arial" w:cs="Arial" w:eastAsia="Arial" w:hAnsi="Arial"/>
          <w:sz w:val="18"/>
          <w:szCs w:val="18"/>
          <w:color w:val="auto"/>
        </w:rPr>
        <w:t>Currently, Western Canada does not have any operational LNG export facilities. However, on October 1, 2018, LNG Canada (LNGC), a large LNG export project proposed by a joint venture between Shell Canada Energy, an affiliate of Royal Dutch Shell plc (40 percent), and affiliates of PETRONAS, through its wholly-owned entity, North Montney LNG Limited Partnership (25 percent), PetroChina (15 percent), Korea Gas Corporation (5 percent) and Mitsubishi Corporation (15 percent), announced that a positive final investment decision (FID) had been reached on the proposed Kitimat liquefaction and export facility in Kitimat, British Columbia (Kitimat LNG Facility). With the project moving forward, British Columbia LNG activity and related pipeline projects could become a material driver of future activity for our Sitka Lodge, as well as for our mobile fleet assets, which are well suited for the related pipeline construction activity.</w:t>
      </w:r>
    </w:p>
    <w:p>
      <w:pPr>
        <w:spacing w:after="0" w:line="189" w:lineRule="exact"/>
        <w:rPr>
          <w:sz w:val="20"/>
          <w:szCs w:val="20"/>
          <w:color w:val="auto"/>
        </w:rPr>
      </w:pPr>
    </w:p>
    <w:p>
      <w:pPr>
        <w:ind w:right="60" w:firstLine="459"/>
        <w:spacing w:after="0" w:line="254" w:lineRule="auto"/>
        <w:rPr>
          <w:sz w:val="20"/>
          <w:szCs w:val="20"/>
          <w:color w:val="auto"/>
        </w:rPr>
      </w:pPr>
      <w:r>
        <w:rPr>
          <w:rFonts w:ascii="Arial" w:cs="Arial" w:eastAsia="Arial" w:hAnsi="Arial"/>
          <w:sz w:val="18"/>
          <w:szCs w:val="18"/>
          <w:color w:val="auto"/>
        </w:rPr>
        <w:t>Our U.S. business supports oil shale drilling and completion activity and is primarily tied to WTI oil prices in the U.S. shale formations in West Texas, the Bakken, the mid Continent, and the Rockies. With the recovery in oil prices through the third quarter of 2018, coupled with ample capital availability for U.S. E&amp;P companies, oil shale drilling and completion activity in the U.S. has significantly increased over the past year. The U.S. oil rig count has increased from its low of 316 rigs in May 2016 to 1,083 oil and gas rigs active at the end of 2018. Further, this activity in the U.S. increased oil production from an average of 9.3 million barrels per day in 2017 to an average of 10.8 million barrels per day in 2018. While WTI oil prices fell in the fourth quarter of 2018, there has not been a reduction in the U.S. rig count. As of February 22, 2019, there were 853 active oil rigs in the U.S. (as measured by Bakerhughes.com). U.S. oil shale drilling and completion activity will continue to be dependent on sustained higher WTI oil prices, pipeline capacity and sufficient capital to support E&amp;P drilling and completion plans.</w:t>
      </w:r>
    </w:p>
    <w:p>
      <w:pPr>
        <w:spacing w:after="0" w:line="192" w:lineRule="exact"/>
        <w:rPr>
          <w:sz w:val="20"/>
          <w:szCs w:val="20"/>
          <w:color w:val="auto"/>
        </w:rPr>
      </w:pPr>
    </w:p>
    <w:p>
      <w:pPr>
        <w:ind w:right="20" w:firstLine="459"/>
        <w:spacing w:after="0" w:line="276" w:lineRule="auto"/>
        <w:rPr>
          <w:sz w:val="20"/>
          <w:szCs w:val="20"/>
          <w:color w:val="auto"/>
        </w:rPr>
      </w:pPr>
      <w:r>
        <w:rPr>
          <w:rFonts w:ascii="Arial" w:cs="Arial" w:eastAsia="Arial" w:hAnsi="Arial"/>
          <w:sz w:val="17"/>
          <w:szCs w:val="17"/>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4.5% during 2018 compared to 2017. As of February 22, 2019, met coal spot prices were $210.05 per metric tonne. Current met coal pricing levels have not led our customers to approve many significant new projects. We expect that customers will look for a period of sustained higher prices before the volume of new projects being approved increases. Long-term demand for steel is expected to be driven by increased steel consumption per capita in developing</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economies, such as China and India, whose current consumption per capita is a fraction of developed countries. Our customers continue to actively implement cost, productivity and efficiency measures to further drive down their cost base.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Recent WTI crude, WCS crude and met coal pricing trends are as follows:</w:t>
      </w:r>
    </w:p>
    <w:p>
      <w:pPr>
        <w:spacing w:after="0" w:line="383"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WTI</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WCS</w:t>
            </w: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Hard</w:t>
            </w:r>
          </w:p>
        </w:tc>
      </w:tr>
      <w:tr>
        <w:trPr>
          <w:trHeight w:val="232"/>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Crude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Crude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Coking Coal (Met</w:t>
            </w:r>
          </w:p>
        </w:tc>
      </w:tr>
      <w:tr>
        <w:trPr>
          <w:trHeight w:val="234"/>
        </w:trPr>
        <w:tc>
          <w:tcPr>
            <w:tcW w:w="6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Coal)</w:t>
            </w:r>
          </w:p>
        </w:tc>
      </w:tr>
      <w:tr>
        <w:trPr>
          <w:trHeight w:val="270"/>
        </w:trPr>
        <w:tc>
          <w:tcPr>
            <w:tcW w:w="6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ended</w:t>
            </w:r>
          </w:p>
        </w:tc>
        <w:tc>
          <w:tcPr>
            <w:tcW w:w="260" w:type="dxa"/>
            <w:vAlign w:val="bottom"/>
          </w:tcPr>
          <w:p>
            <w:pPr>
              <w:spacing w:after="0"/>
              <w:rPr>
                <w:sz w:val="23"/>
                <w:szCs w:val="23"/>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(per bbl)</w:t>
            </w:r>
          </w:p>
        </w:tc>
        <w:tc>
          <w:tcPr>
            <w:tcW w:w="26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(per bbl)</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(per tonne)</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First Quarter through 2/22/2019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221.00</w:t>
            </w:r>
          </w:p>
        </w:tc>
      </w:tr>
      <w:tr>
        <w:trPr>
          <w:trHeight w:val="243"/>
        </w:trPr>
        <w:tc>
          <w:tcPr>
            <w:tcW w:w="6640" w:type="dxa"/>
            <w:vAlign w:val="bottom"/>
          </w:tcPr>
          <w:p>
            <w:pPr>
              <w:jc w:val="center"/>
              <w:spacing w:after="0"/>
              <w:rPr>
                <w:sz w:val="20"/>
                <w:szCs w:val="20"/>
                <w:color w:val="auto"/>
              </w:rPr>
            </w:pPr>
            <w:r>
              <w:rPr>
                <w:rFonts w:ascii="Arial" w:cs="Arial" w:eastAsia="Arial" w:hAnsi="Arial"/>
                <w:sz w:val="18"/>
                <w:szCs w:val="18"/>
                <w:color w:val="auto"/>
                <w:w w:val="90"/>
              </w:rPr>
              <w:t>12/31/2018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187.00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9/30/2018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196.00</w:t>
            </w:r>
          </w:p>
        </w:tc>
      </w:tr>
      <w:tr>
        <w:trPr>
          <w:trHeight w:val="243"/>
        </w:trPr>
        <w:tc>
          <w:tcPr>
            <w:tcW w:w="6640" w:type="dxa"/>
            <w:vAlign w:val="bottom"/>
          </w:tcPr>
          <w:p>
            <w:pPr>
              <w:jc w:val="center"/>
              <w:spacing w:after="0"/>
              <w:rPr>
                <w:sz w:val="20"/>
                <w:szCs w:val="20"/>
                <w:color w:val="auto"/>
              </w:rPr>
            </w:pPr>
            <w:r>
              <w:rPr>
                <w:rFonts w:ascii="Arial" w:cs="Arial" w:eastAsia="Arial" w:hAnsi="Arial"/>
                <w:sz w:val="18"/>
                <w:szCs w:val="18"/>
                <w:color w:val="auto"/>
                <w:w w:val="89"/>
              </w:rPr>
              <w:t>6/30/2018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196.00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3/31/2018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235.00</w:t>
            </w:r>
          </w:p>
        </w:tc>
      </w:tr>
      <w:tr>
        <w:trPr>
          <w:trHeight w:val="243"/>
        </w:trPr>
        <w:tc>
          <w:tcPr>
            <w:tcW w:w="6640" w:type="dxa"/>
            <w:vAlign w:val="bottom"/>
          </w:tcPr>
          <w:p>
            <w:pPr>
              <w:jc w:val="center"/>
              <w:spacing w:after="0"/>
              <w:rPr>
                <w:sz w:val="20"/>
                <w:szCs w:val="20"/>
                <w:color w:val="auto"/>
              </w:rPr>
            </w:pPr>
            <w:r>
              <w:rPr>
                <w:rFonts w:ascii="Arial" w:cs="Arial" w:eastAsia="Arial" w:hAnsi="Arial"/>
                <w:sz w:val="18"/>
                <w:szCs w:val="18"/>
                <w:color w:val="auto"/>
                <w:w w:val="90"/>
              </w:rPr>
              <w:t>12/31/2017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192.00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9/30/2017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170.00</w:t>
            </w:r>
          </w:p>
        </w:tc>
      </w:tr>
      <w:tr>
        <w:trPr>
          <w:trHeight w:val="243"/>
        </w:trPr>
        <w:tc>
          <w:tcPr>
            <w:tcW w:w="6640" w:type="dxa"/>
            <w:vAlign w:val="bottom"/>
          </w:tcPr>
          <w:p>
            <w:pPr>
              <w:jc w:val="center"/>
              <w:spacing w:after="0"/>
              <w:rPr>
                <w:sz w:val="20"/>
                <w:szCs w:val="20"/>
                <w:color w:val="auto"/>
              </w:rPr>
            </w:pPr>
            <w:r>
              <w:rPr>
                <w:rFonts w:ascii="Arial" w:cs="Arial" w:eastAsia="Arial" w:hAnsi="Arial"/>
                <w:sz w:val="18"/>
                <w:szCs w:val="18"/>
                <w:color w:val="auto"/>
                <w:w w:val="89"/>
              </w:rPr>
              <w:t>6/30/2017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193.50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3/31/2017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285.00</w:t>
            </w:r>
          </w:p>
        </w:tc>
      </w:tr>
      <w:tr>
        <w:trPr>
          <w:trHeight w:val="243"/>
        </w:trPr>
        <w:tc>
          <w:tcPr>
            <w:tcW w:w="6640" w:type="dxa"/>
            <w:vAlign w:val="bottom"/>
          </w:tcPr>
          <w:p>
            <w:pPr>
              <w:jc w:val="center"/>
              <w:spacing w:after="0"/>
              <w:rPr>
                <w:sz w:val="20"/>
                <w:szCs w:val="20"/>
                <w:color w:val="auto"/>
              </w:rPr>
            </w:pPr>
            <w:r>
              <w:rPr>
                <w:rFonts w:ascii="Arial" w:cs="Arial" w:eastAsia="Arial" w:hAnsi="Arial"/>
                <w:sz w:val="18"/>
                <w:szCs w:val="18"/>
                <w:color w:val="auto"/>
                <w:w w:val="90"/>
              </w:rPr>
              <w:t>12/31/2016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9/30/2016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w:t>
            </w:r>
          </w:p>
        </w:tc>
      </w:tr>
      <w:tr>
        <w:trPr>
          <w:trHeight w:val="243"/>
        </w:trPr>
        <w:tc>
          <w:tcPr>
            <w:tcW w:w="6640" w:type="dxa"/>
            <w:vAlign w:val="bottom"/>
          </w:tcPr>
          <w:p>
            <w:pPr>
              <w:jc w:val="center"/>
              <w:spacing w:after="0"/>
              <w:rPr>
                <w:sz w:val="20"/>
                <w:szCs w:val="20"/>
                <w:color w:val="auto"/>
              </w:rPr>
            </w:pPr>
            <w:r>
              <w:rPr>
                <w:rFonts w:ascii="Arial" w:cs="Arial" w:eastAsia="Arial" w:hAnsi="Arial"/>
                <w:sz w:val="18"/>
                <w:szCs w:val="18"/>
                <w:color w:val="auto"/>
                <w:w w:val="89"/>
              </w:rPr>
              <w:t>6/30/2016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84.00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3/31/2016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81.00</w:t>
            </w:r>
          </w:p>
        </w:tc>
      </w:tr>
      <w:tr>
        <w:trPr>
          <w:trHeight w:val="243"/>
        </w:trPr>
        <w:tc>
          <w:tcPr>
            <w:tcW w:w="6640" w:type="dxa"/>
            <w:vAlign w:val="bottom"/>
          </w:tcPr>
          <w:p>
            <w:pPr>
              <w:jc w:val="center"/>
              <w:spacing w:after="0"/>
              <w:rPr>
                <w:sz w:val="20"/>
                <w:szCs w:val="20"/>
                <w:color w:val="auto"/>
              </w:rPr>
            </w:pPr>
            <w:r>
              <w:rPr>
                <w:rFonts w:ascii="Arial" w:cs="Arial" w:eastAsia="Arial" w:hAnsi="Arial"/>
                <w:sz w:val="18"/>
                <w:szCs w:val="18"/>
                <w:color w:val="auto"/>
                <w:w w:val="90"/>
              </w:rPr>
              <w:t>12/31/2015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89.00</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ind w:left="840" w:right="40" w:hanging="332"/>
        <w:spacing w:after="0" w:line="261"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and WCS crude prices and Seaborne hard coking coal contract prices are from Bloomberg.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459"/>
        <w:spacing w:after="0" w:line="342" w:lineRule="auto"/>
        <w:rPr>
          <w:sz w:val="20"/>
          <w:szCs w:val="20"/>
          <w:color w:val="auto"/>
        </w:rPr>
      </w:pPr>
      <w:r>
        <w:rPr>
          <w:rFonts w:ascii="Arial" w:cs="Arial" w:eastAsia="Arial" w:hAnsi="Arial"/>
          <w:sz w:val="16"/>
          <w:szCs w:val="16"/>
          <w:color w:val="auto"/>
        </w:rPr>
        <w:t>As noted above, demand for our hospitality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80" w:firstLine="459"/>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natural resource companies who are developing and producing oil sands and met coal resources and, to a lesser extent, other hydrocarbon and mineral resources. More than 80% of our revenue is generated by our lodges and villages.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193" w:lineRule="exact"/>
        <w:rPr>
          <w:sz w:val="20"/>
          <w:szCs w:val="20"/>
          <w:color w:val="auto"/>
        </w:rPr>
      </w:pPr>
    </w:p>
    <w:p>
      <w:pPr>
        <w:ind w:right="220" w:firstLine="459"/>
        <w:spacing w:after="0" w:line="34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24"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During the period of low crude oil prices that extended through the first quarter of 2016, many of our customers in Canada curtailed their operations and spending, and most major oil sands mining operators began reducing their costs and limiting capital spending, thereby limiting the demand for hospitality services of the kind we provide.</w:t>
      </w:r>
    </w:p>
    <w:p>
      <w:pPr>
        <w:spacing w:after="0" w:line="181" w:lineRule="exact"/>
        <w:rPr>
          <w:sz w:val="20"/>
          <w:szCs w:val="20"/>
          <w:color w:val="auto"/>
        </w:rPr>
      </w:pPr>
    </w:p>
    <w:p>
      <w:pPr>
        <w:ind w:right="140" w:firstLine="459"/>
        <w:spacing w:after="0" w:line="273" w:lineRule="auto"/>
        <w:rPr>
          <w:sz w:val="20"/>
          <w:szCs w:val="20"/>
          <w:color w:val="auto"/>
        </w:rPr>
      </w:pPr>
      <w:r>
        <w:rPr>
          <w:rFonts w:ascii="Arial" w:cs="Arial" w:eastAsia="Arial" w:hAnsi="Arial"/>
          <w:sz w:val="17"/>
          <w:szCs w:val="17"/>
          <w:color w:val="auto"/>
        </w:rPr>
        <w:t>In the last several years, however, several catalysts have emerged that we believe could have favorable intermediate to long-term implications for our core end markets. Since the announcement by OPEC in late November 2016 to cut production quotas and the subsequent rise in spot oil prices and future oil price expectations, certain operators with steam-assisted gravity drainage operations in the Canadian oil sands increased capital spending in 2017. Despite construction at the Fort Hill Energy LP project ending in early 2018, Canadian oil sands capital spending in 2018 has been relatively flat, in the aggregate. OPEC announced additional production cuts in late 2018 in an effort to further support global oil prices. Also on December 2, 2018, the Government of Alberta announced it would mandate temporary curtailments of the province’s oil production, which has</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helped increase WCS prices. Recent regulatory approvals of several major pipeline projects have the potential to both drive incremental demand for mobile accommodations assets and to improve take-away capacity for Canadian oil sands producers over the longer term. However, these projects have been delayed due to the lack of agreement between the Canadian federal government, which supports the pipeline projects, and the British Columbia provincial government. The Canadian federal government recently acquired Kinder Morgan’s Trans Mountain Pipeline, emphasizing their support for this particular project. Additionally, we believe that the Keystone XL pipeline in the U.S., if constructed, would be a positive catalyst for Canadian oil sands producers, as it would bolster confidence in future take-away capacity from the region to U.S. Gulf Coast refineries.</w:t>
      </w:r>
    </w:p>
    <w:p>
      <w:pPr>
        <w:spacing w:after="0" w:line="178" w:lineRule="exact"/>
        <w:rPr>
          <w:sz w:val="20"/>
          <w:szCs w:val="20"/>
          <w:color w:val="auto"/>
        </w:rPr>
      </w:pPr>
    </w:p>
    <w:p>
      <w:pPr>
        <w:ind w:right="20" w:firstLine="459"/>
        <w:spacing w:after="0" w:line="264" w:lineRule="auto"/>
        <w:rPr>
          <w:sz w:val="20"/>
          <w:szCs w:val="20"/>
          <w:color w:val="auto"/>
        </w:rPr>
      </w:pPr>
      <w:r>
        <w:rPr>
          <w:rFonts w:ascii="Arial" w:cs="Arial" w:eastAsia="Arial" w:hAnsi="Arial"/>
          <w:sz w:val="18"/>
          <w:szCs w:val="18"/>
          <w:color w:val="auto"/>
        </w:rPr>
        <w:t>In Australia, approximately 80% of our rooms are located in the Bowen Basin and primarily serve met coal mines in that region, where our customers continue to implement operational efficiency measures, in order to drive down their cost base. We believe prices are currently at a level that may contribute to increased activity over the long term if our customers view these price levels as sustainable.</w:t>
      </w:r>
    </w:p>
    <w:p>
      <w:pPr>
        <w:spacing w:after="0" w:line="181" w:lineRule="exact"/>
        <w:rPr>
          <w:sz w:val="20"/>
          <w:szCs w:val="20"/>
          <w:color w:val="auto"/>
        </w:rPr>
      </w:pPr>
    </w:p>
    <w:p>
      <w:pPr>
        <w:ind w:right="240" w:firstLine="459"/>
        <w:spacing w:after="0" w:line="259" w:lineRule="auto"/>
        <w:rPr>
          <w:sz w:val="20"/>
          <w:szCs w:val="20"/>
          <w:color w:val="auto"/>
        </w:rPr>
      </w:pPr>
      <w:r>
        <w:rPr>
          <w:rFonts w:ascii="Arial" w:cs="Arial" w:eastAsia="Arial" w:hAnsi="Arial"/>
          <w:sz w:val="18"/>
          <w:szCs w:val="18"/>
          <w:color w:val="auto"/>
        </w:rPr>
        <w:t>While we believe that these macroeconomic developments are positive for our customers and for the underlying demand for our hospitality services, we do not expect an immediate improvement in our business. Accordingly, we plan to continue focusing on enhancing the quality of our operations, maintaining financial discipline, proactively managing our business as market conditions continue to evolve and integrating the recently acquired Noralta assets into our business.</w:t>
      </w:r>
    </w:p>
    <w:p>
      <w:pPr>
        <w:spacing w:after="0" w:line="187"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color w:val="auto"/>
        </w:rPr>
        <w:t>We began the expansion of our room count in Kitimat, British Columbia during the second half of 2015 to support potential LNG projects on the west coast of British Columbia. We were awarded a contract with LNGC for the provision of open lodge rooms and associated services that ran through October 2017. To support this contract, we developed a new accommodations facility, Sitka Lodge, which includes private washrooms, recreational facilities and other amenities. This lodge currently has 646 rooms, with the potential to expand to serve future accommodations demand in the region.</w:t>
      </w:r>
    </w:p>
    <w:p>
      <w:pPr>
        <w:spacing w:after="0" w:line="171" w:lineRule="exact"/>
        <w:rPr>
          <w:sz w:val="20"/>
          <w:szCs w:val="20"/>
          <w:color w:val="auto"/>
        </w:rPr>
      </w:pPr>
    </w:p>
    <w:p>
      <w:pPr>
        <w:ind w:firstLine="459"/>
        <w:spacing w:after="0" w:line="287" w:lineRule="auto"/>
        <w:rPr>
          <w:sz w:val="20"/>
          <w:szCs w:val="20"/>
          <w:color w:val="auto"/>
        </w:rPr>
      </w:pPr>
      <w:r>
        <w:rPr>
          <w:rFonts w:ascii="Arial" w:cs="Arial" w:eastAsia="Arial" w:hAnsi="Arial"/>
          <w:sz w:val="16"/>
          <w:szCs w:val="16"/>
          <w:color w:val="auto"/>
        </w:rPr>
        <w:t>As previously discussed, on October 1, 2018, LNGC's participants announced a positive FID on the Kitimat LNG Facility. With the project moving forward, British Columbia LNG activity and related pipeline projects could become a material driver of future activity for our Sitka Lodge, as well as for our mobile camp assets, which are well suited for the related pipeline construction activity. We previously announced contract awards totaling C$100 million in revenues to supply mobile accommodations for four locations along the CGL pipeline project in British Columbia, Canada. This pipeline would provide the natural gas for the Kitimat LNG Facility. We expect to deploy approximately C$10 million in capital, primarily in 2019, across all four locations. We expect to begin recognizing revenue from these contracts beginning in 2019. In addition, in the fourth quarter of 2018, we were awarded room commitments from LNGC, CGL and LNGC’s engineering, procurement and construction firm to provide rooms and services from Sitka Lodge. The award covers expected room needs over an initial 18 month time period with a minimum room commitment and options for extension of up to 36 months. We began recognizing revenue from this award beginning in November 2018. Expected revenues for the room commitments are estimated to be approximately C$70 million over the initial 18 months. The actual timing of when revenue is realized from the CGL pipeline and Sitka Lodge contracts could be impacted by any delays in the construction of the Kitimat LNG Facility. We expect to spend approximately C$15 million in capital to expand the Sitka Lodge to 1,100 rooms.</w:t>
      </w:r>
    </w:p>
    <w:p>
      <w:pPr>
        <w:spacing w:after="0" w:line="173" w:lineRule="exact"/>
        <w:rPr>
          <w:sz w:val="20"/>
          <w:szCs w:val="20"/>
          <w:color w:val="auto"/>
        </w:rPr>
      </w:pPr>
    </w:p>
    <w:p>
      <w:pPr>
        <w:ind w:right="200" w:firstLine="459"/>
        <w:spacing w:after="0" w:line="259" w:lineRule="auto"/>
        <w:rPr>
          <w:sz w:val="20"/>
          <w:szCs w:val="20"/>
          <w:color w:val="auto"/>
        </w:rPr>
      </w:pPr>
      <w:r>
        <w:rPr>
          <w:rFonts w:ascii="Arial" w:cs="Arial" w:eastAsia="Arial" w:hAnsi="Arial"/>
          <w:sz w:val="18"/>
          <w:szCs w:val="18"/>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are translated into U.S. dollars for U.S. GAAP financial reporting purposes. The following tables summarize the fluctuations in the exchange rates between the U.S. dollar and each of the Canadian dollar and the Australian dollar:</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6"/>
          </w:tcPr>
          <w:p>
            <w:pPr>
              <w:ind w:left="380"/>
              <w:spacing w:after="0"/>
              <w:rPr>
                <w:sz w:val="20"/>
                <w:szCs w:val="20"/>
                <w:color w:val="auto"/>
              </w:rPr>
            </w:pPr>
            <w:r>
              <w:rPr>
                <w:rFonts w:ascii="Arial" w:cs="Arial" w:eastAsia="Arial" w:hAnsi="Arial"/>
                <w:sz w:val="18"/>
                <w:szCs w:val="18"/>
                <w:b w:val="1"/>
                <w:bCs w:val="1"/>
                <w:color w:val="auto"/>
                <w:w w:val="96"/>
              </w:rPr>
              <w:t>Year Ended December 31,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
        </w:trPr>
        <w:tc>
          <w:tcPr>
            <w:tcW w:w="3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36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Average Canadian dollar to U.S. dollar</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Average Australian dollar to U.S. dollar</w:t>
            </w:r>
          </w:p>
        </w:tc>
        <w:tc>
          <w:tcPr>
            <w:tcW w:w="88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$0.75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1"/>
                <w:szCs w:val="21"/>
                <w:color w:val="auto"/>
              </w:rPr>
            </w:pPr>
          </w:p>
        </w:tc>
      </w:tr>
      <w:tr>
        <w:trPr>
          <w:trHeight w:val="621"/>
        </w:trPr>
        <w:tc>
          <w:tcPr>
            <w:tcW w:w="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6"/>
          </w:tcPr>
          <w:p>
            <w:pPr>
              <w:ind w:left="24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2018</w:t>
            </w:r>
          </w:p>
        </w:tc>
        <w:tc>
          <w:tcPr>
            <w:tcW w:w="14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Change</w:t>
            </w:r>
          </w:p>
        </w:tc>
        <w:tc>
          <w:tcPr>
            <w:tcW w:w="1680" w:type="dxa"/>
            <w:vAlign w:val="bottom"/>
            <w:gridSpan w:val="4"/>
          </w:tcPr>
          <w:p>
            <w:pPr>
              <w:ind w:left="240"/>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36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60" w:type="dxa"/>
            <w:vAlign w:val="bottom"/>
          </w:tcPr>
          <w:p>
            <w:pPr>
              <w:spacing w:after="0"/>
              <w:rPr>
                <w:sz w:val="2"/>
                <w:szCs w:val="2"/>
                <w:color w:val="auto"/>
              </w:rPr>
            </w:pPr>
          </w:p>
        </w:tc>
      </w:tr>
      <w:tr>
        <w:trPr>
          <w:trHeight w:val="244"/>
        </w:trPr>
        <w:tc>
          <w:tcPr>
            <w:tcW w:w="36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Canadian dollar to U.S. dollar</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210"/>
              <w:spacing w:after="0"/>
              <w:rPr>
                <w:sz w:val="20"/>
                <w:szCs w:val="20"/>
                <w:color w:val="auto"/>
              </w:rPr>
            </w:pPr>
            <w:r>
              <w:rPr>
                <w:rFonts w:ascii="Arial" w:cs="Arial" w:eastAsia="Arial" w:hAnsi="Arial"/>
                <w:sz w:val="18"/>
                <w:szCs w:val="18"/>
                <w:color w:val="auto"/>
                <w:w w:val="93"/>
              </w:rPr>
              <w:t>(0.07)</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Australian dollar to U.S. dollar</w:t>
            </w:r>
          </w:p>
        </w:tc>
        <w:tc>
          <w:tcPr>
            <w:tcW w:w="880" w:type="dxa"/>
            <w:vAlign w:val="bottom"/>
          </w:tcPr>
          <w:p>
            <w:pPr>
              <w:jc w:val="right"/>
              <w:spacing w:after="0"/>
              <w:rPr>
                <w:sz w:val="20"/>
                <w:szCs w:val="20"/>
                <w:color w:val="auto"/>
              </w:rPr>
            </w:pPr>
            <w:r>
              <w:rPr>
                <w:rFonts w:ascii="Arial" w:cs="Arial" w:eastAsia="Arial" w:hAnsi="Arial"/>
                <w:sz w:val="18"/>
                <w:szCs w:val="18"/>
                <w:color w:val="auto"/>
              </w:rPr>
              <w:t>$0.70</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$0.78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center"/>
              <w:ind w:right="210"/>
              <w:spacing w:after="0"/>
              <w:rPr>
                <w:sz w:val="20"/>
                <w:szCs w:val="20"/>
                <w:color w:val="auto"/>
              </w:rPr>
            </w:pPr>
            <w:r>
              <w:rPr>
                <w:rFonts w:ascii="Arial" w:cs="Arial" w:eastAsia="Arial" w:hAnsi="Arial"/>
                <w:sz w:val="18"/>
                <w:szCs w:val="18"/>
                <w:color w:val="auto"/>
                <w:w w:val="93"/>
              </w:rPr>
              <w:t>(0.08)</w:t>
            </w:r>
          </w:p>
        </w:tc>
        <w:tc>
          <w:tcPr>
            <w:tcW w:w="180" w:type="dxa"/>
            <w:vAlign w:val="bottom"/>
          </w:tcPr>
          <w:p>
            <w:pPr>
              <w:spacing w:after="0"/>
              <w:rPr>
                <w:sz w:val="21"/>
                <w:szCs w:val="21"/>
                <w:color w:val="auto"/>
              </w:rPr>
            </w:pPr>
          </w:p>
        </w:tc>
        <w:tc>
          <w:tcPr>
            <w:tcW w:w="1320" w:type="dxa"/>
            <w:vAlign w:val="bottom"/>
            <w:gridSpan w:val="3"/>
          </w:tcPr>
          <w:p>
            <w:pPr>
              <w:jc w:val="right"/>
              <w:ind w:right="29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1"/>
                <w:szCs w:val="21"/>
                <w:color w:val="auto"/>
              </w:rPr>
            </w:pPr>
          </w:p>
        </w:tc>
      </w:tr>
    </w:tbl>
    <w:p>
      <w:pPr>
        <w:spacing w:after="0" w:line="229" w:lineRule="exact"/>
        <w:rPr>
          <w:sz w:val="20"/>
          <w:szCs w:val="20"/>
          <w:color w:val="auto"/>
        </w:rPr>
      </w:pPr>
    </w:p>
    <w:p>
      <w:pPr>
        <w:ind w:right="200" w:firstLine="459"/>
        <w:spacing w:after="0" w:line="277" w:lineRule="auto"/>
        <w:rPr>
          <w:sz w:val="20"/>
          <w:szCs w:val="20"/>
          <w:color w:val="auto"/>
        </w:rPr>
      </w:pPr>
      <w:r>
        <w:rPr>
          <w:rFonts w:ascii="Arial" w:cs="Arial" w:eastAsia="Arial" w:hAnsi="Arial"/>
          <w:sz w:val="18"/>
          <w:szCs w:val="18"/>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59"/>
        <w:spacing w:after="0" w:line="259" w:lineRule="auto"/>
        <w:rPr>
          <w:sz w:val="20"/>
          <w:szCs w:val="20"/>
          <w:color w:val="auto"/>
        </w:rPr>
      </w:pPr>
      <w:r>
        <w:rPr>
          <w:rFonts w:ascii="Arial" w:cs="Arial" w:eastAsia="Arial" w:hAnsi="Arial"/>
          <w:sz w:val="18"/>
          <w:szCs w:val="18"/>
          <w:color w:val="auto"/>
        </w:rPr>
        <w:t>We continue to monitor the global economy, the demand for crude oil and met coal and the resultant impact on the capital spending plans of our customers in order to plan our business activities. We currently expect that our 2019 capital expenditures, exclusive of any business acquisitions, will total approximately $40.0 million to $45.0 million, compared to 2018 capital expenditures of $17.1 million. Please see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further discussion of 2019 and 2018 capital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135"/>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years ended December 31, 2018 and 2017 is based on a comparison with the corresponding period of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Year Ended December 31, 2018 Compared to Year Ended December 31,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Year Ended</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8"/>
        </w:trPr>
        <w:tc>
          <w:tcPr>
            <w:tcW w:w="50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312"/>
        </w:trPr>
        <w:tc>
          <w:tcPr>
            <w:tcW w:w="5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tcPr>
          <w:p>
            <w:pPr>
              <w:ind w:left="40"/>
              <w:spacing w:after="0"/>
              <w:rPr>
                <w:sz w:val="20"/>
                <w:szCs w:val="20"/>
                <w:color w:val="auto"/>
              </w:rPr>
            </w:pPr>
            <w:r>
              <w:rPr>
                <w:rFonts w:ascii="Arial" w:cs="Arial" w:eastAsia="Arial" w:hAnsi="Arial"/>
                <w:sz w:val="14"/>
                <w:szCs w:val="14"/>
                <w:color w:val="auto"/>
              </w:rPr>
              <w:t>Revenues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296,012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245,595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50,417</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119,238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111,221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8,017</w:t>
            </w: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51,442</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25,460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25,982</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4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466,692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382,276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84,416</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and expenses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Cost of sales and services</w:t>
            </w: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225,225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171,677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53,548</w:t>
            </w: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61,068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55,722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5,346</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United States</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44,089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29,859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14,230</w:t>
            </w:r>
          </w:p>
        </w:tc>
      </w:tr>
      <w:tr>
        <w:trPr>
          <w:trHeight w:val="250"/>
        </w:trPr>
        <w:tc>
          <w:tcPr>
            <w:tcW w:w="5040" w:type="dxa"/>
            <w:vAlign w:val="bottom"/>
          </w:tcPr>
          <w:p>
            <w:pPr>
              <w:ind w:left="500"/>
              <w:spacing w:after="0"/>
              <w:rPr>
                <w:sz w:val="20"/>
                <w:szCs w:val="20"/>
                <w:color w:val="auto"/>
              </w:rPr>
            </w:pPr>
            <w:r>
              <w:rPr>
                <w:rFonts w:ascii="Arial" w:cs="Arial" w:eastAsia="Arial" w:hAnsi="Arial"/>
                <w:sz w:val="14"/>
                <w:szCs w:val="14"/>
                <w:color w:val="auto"/>
              </w:rPr>
              <w:t>Total cost of sales and services</w:t>
            </w:r>
          </w:p>
        </w:tc>
        <w:tc>
          <w:tcPr>
            <w:tcW w:w="4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330,382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257,258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73,124</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69,068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5,637</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125,846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126,443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(597)</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w:t>
            </w: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 expense</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r>
      <w:tr>
        <w:trPr>
          <w:trHeight w:val="25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costs and expenses</w:t>
            </w: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554,747</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480,247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74,500</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(88,055)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(97,971)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9,916</w:t>
            </w:r>
          </w:p>
        </w:tc>
      </w:tr>
      <w:tr>
        <w:trPr>
          <w:trHeight w:val="276"/>
        </w:trPr>
        <w:tc>
          <w:tcPr>
            <w:tcW w:w="5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Interest expense and income, net</w:t>
            </w: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(26,780)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(22,081)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(4,699)</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1,623</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Loss before income taxes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(113,212)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(118,744)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5,532</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31,365</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13,490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17,875</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Net loss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(81,847)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(105,254)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23,407</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396</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Corporation</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(82,243)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(105,713)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23,470</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attributable to preferred shares</w:t>
            </w: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49,589</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49,589</w:t>
            </w:r>
          </w:p>
        </w:tc>
      </w:tr>
      <w:tr>
        <w:trPr>
          <w:trHeight w:val="243"/>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common shareholders</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(131,832)</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(105,713)</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(26,119)</w:t>
            </w:r>
          </w:p>
        </w:tc>
      </w:tr>
      <w:tr>
        <w:trPr>
          <w:trHeight w:val="20"/>
        </w:trPr>
        <w:tc>
          <w:tcPr>
            <w:tcW w:w="5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00" w:firstLine="459"/>
        <w:spacing w:after="0" w:line="297" w:lineRule="auto"/>
        <w:rPr>
          <w:sz w:val="20"/>
          <w:szCs w:val="20"/>
          <w:color w:val="auto"/>
        </w:rPr>
      </w:pPr>
      <w:r>
        <w:rPr>
          <w:rFonts w:ascii="Arial" w:cs="Arial" w:eastAsia="Arial" w:hAnsi="Arial"/>
          <w:sz w:val="16"/>
          <w:szCs w:val="16"/>
          <w:color w:val="auto"/>
        </w:rPr>
        <w:t>We reported net loss attributable to Civeo for the year ended December 31, 2018 of $131.8 million, or $0.84 per diluted share. As further discussed below, net loss included (i) a $28.7 million pre-tax loss ($20.9 million after-tax, or $0.13 per diluted share) resulting from the impairment of fixed assets included in Impairment expense, (ii) costs totaling $9.1 million ($8.0 million after-tax, or $0.05 per diluted share) incurred in connection with the Noralta Acquisition, and are included in Costs of sales and services ($1.0 million), Selling, general and administrative (SG&amp;A) expense ($7.2 million) and Other income ($0.9 million) below, and (iii) $49.6 million of dividends attributable to the preferred shares issued in the Noralta Acquisition.</w:t>
      </w:r>
    </w:p>
    <w:p>
      <w:pPr>
        <w:spacing w:after="0" w:line="158" w:lineRule="exact"/>
        <w:rPr>
          <w:sz w:val="20"/>
          <w:szCs w:val="20"/>
          <w:color w:val="auto"/>
        </w:rPr>
      </w:pPr>
    </w:p>
    <w:p>
      <w:pPr>
        <w:ind w:right="300" w:firstLine="459"/>
        <w:spacing w:after="0" w:line="259" w:lineRule="auto"/>
        <w:rPr>
          <w:sz w:val="20"/>
          <w:szCs w:val="20"/>
          <w:color w:val="auto"/>
        </w:rPr>
      </w:pPr>
      <w:r>
        <w:rPr>
          <w:rFonts w:ascii="Arial" w:cs="Arial" w:eastAsia="Arial" w:hAnsi="Arial"/>
          <w:sz w:val="18"/>
          <w:szCs w:val="18"/>
          <w:color w:val="auto"/>
        </w:rPr>
        <w:t>We reported net loss attributable to Civeo for the year ended December 31, 2017 of $105.7 million, or $0.82 per diluted share. As further discussed below, net loss included (i) a $31.6 million pre-tax loss ($23.1 million after-tax, or $0.18 per diluted share) resulting from the impairment of fixed assets included in Impairment expense below; and (ii) a $2.3 million pre-tax loss ($2.2 million after-tax, or $0.02 per diluted share) from costs incurred in connection with the Noralta Acquisition, included in SG&amp;A expense below.</w:t>
      </w:r>
    </w:p>
    <w:p>
      <w:pPr>
        <w:sectPr>
          <w:pgSz w:w="11900" w:h="16838" w:orient="portrait"/>
          <w:cols w:equalWidth="0" w:num="1">
            <w:col w:w="11360"/>
          </w:cols>
          <w:pgMar w:left="240" w:top="125" w:right="299" w:bottom="1440" w:gutter="0" w:footer="0" w:header="0"/>
        </w:sect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60"/>
          </w:cols>
          <w:pgMar w:left="240" w:top="125" w:right="29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59"/>
        <w:spacing w:after="0" w:line="281"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increased $84.4 million, or 22%, in 2018 compared to 2017. This increase was largely driven by increases in Canada</w:t>
      </w:r>
      <w:r>
        <w:rPr>
          <w:rFonts w:ascii="Arial" w:cs="Arial" w:eastAsia="Arial" w:hAnsi="Arial"/>
          <w:sz w:val="17"/>
          <w:szCs w:val="17"/>
          <w:b w:val="1"/>
          <w:bCs w:val="1"/>
          <w:color w:val="auto"/>
        </w:rPr>
        <w:t xml:space="preserve"> </w:t>
      </w:r>
      <w:r>
        <w:rPr>
          <w:rFonts w:ascii="Arial" w:cs="Arial" w:eastAsia="Arial" w:hAnsi="Arial"/>
          <w:sz w:val="17"/>
          <w:szCs w:val="17"/>
          <w:color w:val="auto"/>
        </w:rPr>
        <w:t>due to the Noralta Acquisition in the second quarter of 2018 and increased mobile facility rental revenue in 2018 compared to 2017. Additionally, higher activity levels in certain markets in Australia and the U.S. contributed to increased revenues, partially offset by a weaker Australian dollar relative to the U.S. dollar in 2018 compared to 2017. Please see the discussion of segment results of operations below for further information.</w:t>
      </w:r>
    </w:p>
    <w:p>
      <w:pPr>
        <w:spacing w:after="0" w:line="165" w:lineRule="exact"/>
        <w:rPr>
          <w:sz w:val="20"/>
          <w:szCs w:val="20"/>
          <w:color w:val="auto"/>
        </w:rPr>
      </w:pPr>
    </w:p>
    <w:p>
      <w:pPr>
        <w:ind w:right="80" w:firstLine="459"/>
        <w:spacing w:after="0" w:line="303" w:lineRule="auto"/>
        <w:rPr>
          <w:sz w:val="20"/>
          <w:szCs w:val="20"/>
          <w:color w:val="auto"/>
        </w:rPr>
      </w:pPr>
      <w:r>
        <w:rPr>
          <w:rFonts w:ascii="Arial" w:cs="Arial" w:eastAsia="Arial" w:hAnsi="Arial"/>
          <w:sz w:val="16"/>
          <w:szCs w:val="16"/>
          <w:b w:val="1"/>
          <w:bCs w:val="1"/>
          <w:color w:val="auto"/>
        </w:rPr>
        <w:t xml:space="preserve">Cost of Sales and Services. </w:t>
      </w:r>
      <w:r>
        <w:rPr>
          <w:rFonts w:ascii="Arial" w:cs="Arial" w:eastAsia="Arial" w:hAnsi="Arial"/>
          <w:sz w:val="16"/>
          <w:szCs w:val="16"/>
          <w:color w:val="auto"/>
        </w:rPr>
        <w:t>Our consolidated cost of sales increased $73.1 million, or 28%, in 2018 compared to 2017, primarily due to increases in</w:t>
      </w:r>
      <w:r>
        <w:rPr>
          <w:rFonts w:ascii="Arial" w:cs="Arial" w:eastAsia="Arial" w:hAnsi="Arial"/>
          <w:sz w:val="16"/>
          <w:szCs w:val="16"/>
          <w:b w:val="1"/>
          <w:bCs w:val="1"/>
          <w:color w:val="auto"/>
        </w:rPr>
        <w:t xml:space="preserve"> </w:t>
      </w:r>
      <w:r>
        <w:rPr>
          <w:rFonts w:ascii="Arial" w:cs="Arial" w:eastAsia="Arial" w:hAnsi="Arial"/>
          <w:sz w:val="16"/>
          <w:szCs w:val="16"/>
          <w:color w:val="auto"/>
        </w:rPr>
        <w:t>Canada due to the Noralta Acquisition in the second quarter of 2018 and increased mobile facility rental activity; in Australia due to higher occupancy levels in certain markets; and the U.S. due to higher activity levels. Additionally, a weaker Australian dollar relative to the U.S. dollar in 2018 compared to 2017 contributed to decreased cost of sales and services. Please see the discussion of segment results of operations below for further information.</w:t>
      </w:r>
    </w:p>
    <w:p>
      <w:pPr>
        <w:spacing w:after="0" w:line="151" w:lineRule="exact"/>
        <w:rPr>
          <w:sz w:val="20"/>
          <w:szCs w:val="20"/>
          <w:color w:val="auto"/>
        </w:rPr>
      </w:pPr>
    </w:p>
    <w:p>
      <w:pPr>
        <w:ind w:right="400" w:firstLine="459"/>
        <w:spacing w:after="0" w:line="26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increased $5.6 million, or 9%, in 2018 compared to 2017. This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costs incurred in connection with the Noralta Acquisition and higher personnel costs primarily associated with increased compensation. These items were partially offset by lower incentive compensation costs.</w:t>
      </w:r>
    </w:p>
    <w:p>
      <w:pPr>
        <w:spacing w:after="0" w:line="176" w:lineRule="exact"/>
        <w:rPr>
          <w:sz w:val="20"/>
          <w:szCs w:val="20"/>
          <w:color w:val="auto"/>
        </w:rPr>
      </w:pPr>
    </w:p>
    <w:p>
      <w:pPr>
        <w:ind w:right="20" w:firstLine="459"/>
        <w:spacing w:after="0" w:line="261"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$0.6 million, or 0%, in 2018 compared to 2017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reduced depreciation expense resulting from impairments recorded in 2017 and certain assets becoming fully depreciated during 2017, partially offset by additional property, plant and equipment acquired through recent acquisitions as well as incremental intangible amortization expense related to our acquisitions.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Impairment Expense. </w:t>
      </w:r>
      <w:r>
        <w:rPr>
          <w:rFonts w:ascii="Arial" w:cs="Arial" w:eastAsia="Arial" w:hAnsi="Arial"/>
          <w:sz w:val="16"/>
          <w:szCs w:val="16"/>
          <w:color w:val="auto"/>
        </w:rPr>
        <w:t>We recorded pre-tax impairment expense of $28.7 million in 2018 associated with long-lived assets in our Canadian segment.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Impairment expense of $31.6 million in 2017 consisted of:</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Pre-tax impairment losses of $27.2 million related to certain lodge assets in the southern oil sands in our Canadian segment;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Pre-tax impairment losses of $4.4 million related to leasehold improvements and undeveloped land positions in our Canadian segment.</w:t>
      </w:r>
    </w:p>
    <w:p>
      <w:pPr>
        <w:spacing w:after="0" w:line="183" w:lineRule="exact"/>
        <w:rPr>
          <w:sz w:val="20"/>
          <w:szCs w:val="20"/>
          <w:color w:val="auto"/>
        </w:rPr>
      </w:pPr>
    </w:p>
    <w:p>
      <w:pPr>
        <w:ind w:right="620" w:firstLine="459"/>
        <w:spacing w:after="0" w:line="277" w:lineRule="auto"/>
        <w:rPr>
          <w:sz w:val="20"/>
          <w:szCs w:val="20"/>
          <w:color w:val="auto"/>
        </w:rPr>
      </w:pPr>
      <w:r>
        <w:rPr>
          <w:rFonts w:ascii="Arial" w:cs="Arial" w:eastAsia="Arial" w:hAnsi="Arial"/>
          <w:sz w:val="18"/>
          <w:szCs w:val="18"/>
          <w:color w:val="auto"/>
        </w:rPr>
        <w:t>Please see Note 4 - Impairment Charges to the notes to the consolidated financial statements included in Item 8 of this annual report for further discussion.</w:t>
      </w:r>
    </w:p>
    <w:p>
      <w:pPr>
        <w:spacing w:after="0" w:line="166" w:lineRule="exact"/>
        <w:rPr>
          <w:sz w:val="20"/>
          <w:szCs w:val="20"/>
          <w:color w:val="auto"/>
        </w:rPr>
      </w:pPr>
    </w:p>
    <w:p>
      <w:pPr>
        <w:ind w:right="200" w:firstLine="459"/>
        <w:spacing w:after="0" w:line="313" w:lineRule="auto"/>
        <w:rPr>
          <w:sz w:val="20"/>
          <w:szCs w:val="20"/>
          <w:color w:val="auto"/>
        </w:rPr>
      </w:pPr>
      <w:r>
        <w:rPr>
          <w:rFonts w:ascii="Arial" w:cs="Arial" w:eastAsia="Arial" w:hAnsi="Arial"/>
          <w:sz w:val="17"/>
          <w:szCs w:val="17"/>
          <w:b w:val="1"/>
          <w:bCs w:val="1"/>
          <w:color w:val="auto"/>
        </w:rPr>
        <w:t xml:space="preserve">Operating Loss. </w:t>
      </w:r>
      <w:r>
        <w:rPr>
          <w:rFonts w:ascii="Arial" w:cs="Arial" w:eastAsia="Arial" w:hAnsi="Arial"/>
          <w:sz w:val="17"/>
          <w:szCs w:val="17"/>
          <w:color w:val="auto"/>
        </w:rPr>
        <w:t>Consolidated operating loss decreased $9.9 million, or 10%, in 2018 compared to 2017 primarily due to increased activity levels in</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Australian and U.S. markets, partially offset by higher SG&amp;A expense and lower margins in Canada in the 2018 period.</w:t>
      </w:r>
    </w:p>
    <w:p>
      <w:pPr>
        <w:spacing w:after="0" w:line="138" w:lineRule="exact"/>
        <w:rPr>
          <w:sz w:val="20"/>
          <w:szCs w:val="20"/>
          <w:color w:val="auto"/>
        </w:rPr>
      </w:pPr>
    </w:p>
    <w:p>
      <w:pPr>
        <w:ind w:right="300" w:firstLine="459"/>
        <w:spacing w:after="0" w:line="282"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increased by $4.7 million, or 21% in 2018 compared to 2017 primarily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higher revolving credit facility borrowings to fund the Noralta Acquisition.</w:t>
      </w:r>
    </w:p>
    <w:p>
      <w:pPr>
        <w:spacing w:after="0" w:line="162" w:lineRule="exact"/>
        <w:rPr>
          <w:sz w:val="20"/>
          <w:szCs w:val="20"/>
          <w:color w:val="auto"/>
        </w:rPr>
      </w:pPr>
    </w:p>
    <w:p>
      <w:pPr>
        <w:ind w:right="260" w:firstLine="459"/>
        <w:spacing w:after="0" w:line="298" w:lineRule="auto"/>
        <w:rPr>
          <w:sz w:val="20"/>
          <w:szCs w:val="20"/>
          <w:color w:val="auto"/>
        </w:rPr>
      </w:pPr>
      <w:r>
        <w:rPr>
          <w:rFonts w:ascii="Arial" w:cs="Arial" w:eastAsia="Arial" w:hAnsi="Arial"/>
          <w:sz w:val="16"/>
          <w:szCs w:val="16"/>
          <w:b w:val="1"/>
          <w:bCs w:val="1"/>
          <w:color w:val="auto"/>
        </w:rPr>
        <w:t xml:space="preserve">Income Tax Benefit. </w:t>
      </w:r>
      <w:r>
        <w:rPr>
          <w:rFonts w:ascii="Arial" w:cs="Arial" w:eastAsia="Arial" w:hAnsi="Arial"/>
          <w:sz w:val="16"/>
          <w:szCs w:val="16"/>
          <w:color w:val="auto"/>
        </w:rPr>
        <w:t>Our income tax benefit for the year ended December 31, 2018 totaled $31.4 million, or 27.7% of pretax loss, compared to a</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$13.5 million, or 11.4% of pretax loss, for the year ended December 31, 2017. Our effective tax rate for the year ended December 31, 2018 was higher than the Canadian statutory rate of 27%, primarily due to the release of a valuation allowance of $4.9 million against the net deferred tax assets in Canada due to Canada no longer being considered a loss jurisdiction. This was partially offset by pre-tax losses in Australia and the U.S. for which no tax benefit was recorded. As a result, a valuation allowance of $4.6 million was established against net deferred tax assets in the U.S. and Australia.</w:t>
      </w:r>
    </w:p>
    <w:p>
      <w:pPr>
        <w:spacing w:after="0" w:line="158" w:lineRule="exact"/>
        <w:rPr>
          <w:sz w:val="20"/>
          <w:szCs w:val="20"/>
          <w:color w:val="auto"/>
        </w:rPr>
      </w:pPr>
    </w:p>
    <w:p>
      <w:pPr>
        <w:jc w:val="both"/>
        <w:ind w:right="40" w:firstLine="459"/>
        <w:spacing w:after="0" w:line="286" w:lineRule="auto"/>
        <w:rPr>
          <w:sz w:val="20"/>
          <w:szCs w:val="20"/>
          <w:color w:val="auto"/>
        </w:rPr>
      </w:pPr>
      <w:r>
        <w:rPr>
          <w:rFonts w:ascii="Arial" w:cs="Arial" w:eastAsia="Arial" w:hAnsi="Arial"/>
          <w:sz w:val="17"/>
          <w:szCs w:val="17"/>
          <w:color w:val="auto"/>
        </w:rPr>
        <w:t>Our effective tax rate for the year ended December 31, 2017 was lower than the Canadian statutory rate of 27%, primarily due to losses in the U.S. and Australia for which no tax benefit was recorded. As a result, a valuation allowance of $13.2 million was established against net deferred tax assets in the U.S. and Australia. In addition, a valuation allowance of $5.9 million was established against the net deferred tax assets in Canada.</w:t>
      </w:r>
    </w:p>
    <w:p>
      <w:pPr>
        <w:spacing w:after="0" w:line="162" w:lineRule="exact"/>
        <w:rPr>
          <w:sz w:val="20"/>
          <w:szCs w:val="20"/>
          <w:color w:val="auto"/>
        </w:rPr>
      </w:pPr>
    </w:p>
    <w:p>
      <w:pPr>
        <w:jc w:val="both"/>
        <w:ind w:right="20" w:firstLine="459"/>
        <w:spacing w:after="0" w:line="282" w:lineRule="auto"/>
        <w:rPr>
          <w:sz w:val="20"/>
          <w:szCs w:val="20"/>
          <w:color w:val="auto"/>
        </w:rPr>
      </w:pPr>
      <w:r>
        <w:rPr>
          <w:rFonts w:ascii="Arial" w:cs="Arial" w:eastAsia="Arial" w:hAnsi="Arial"/>
          <w:sz w:val="18"/>
          <w:szCs w:val="18"/>
          <w:b w:val="1"/>
          <w:bCs w:val="1"/>
          <w:color w:val="auto"/>
        </w:rPr>
        <w:t xml:space="preserve">Dividends Attributable to Preferred Shares. </w:t>
      </w:r>
      <w:r>
        <w:rPr>
          <w:rFonts w:ascii="Arial" w:cs="Arial" w:eastAsia="Arial" w:hAnsi="Arial"/>
          <w:sz w:val="18"/>
          <w:szCs w:val="18"/>
          <w:color w:val="auto"/>
        </w:rPr>
        <w:t>We recorded dividends attributable to preferred shares of $49.6 million in the year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2018 primarily resulting from a beneficial conversion factor associated with the preferred shares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issued as part of the Noralta Acquisition. Please see Note 13 – Preferred Shares to the notes to the consolidated financial statements included in Item 8 of this annual report for further discussion.</w:t>
      </w:r>
    </w:p>
    <w:p>
      <w:pPr>
        <w:spacing w:after="0" w:line="166" w:lineRule="exact"/>
        <w:rPr>
          <w:sz w:val="20"/>
          <w:szCs w:val="20"/>
          <w:color w:val="auto"/>
        </w:rPr>
      </w:pPr>
    </w:p>
    <w:p>
      <w:pPr>
        <w:ind w:right="160" w:firstLine="459"/>
        <w:spacing w:after="0" w:line="261"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increased $78.1 million in 2018 compared to 2017 primarily as a result of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translation adjustments due to changes in the Canadian and Australian dollar exchange rates compared to the U.S. dollar. The Canadian dollar exchange rate compared to the U.S. dollar decreased 9% in 2018 compared to a 7% increase in 2017. The Australian dollar exchange rate compared to the U.S. dollar decreased 10% in 2018 compared to an 8% increase in 2017.</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125" w:right="3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2"/>
        </w:trPr>
        <w:tc>
          <w:tcPr>
            <w:tcW w:w="48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48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266,899</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228,062</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38,837</w:t>
            </w:r>
          </w:p>
        </w:tc>
      </w:tr>
      <w:tr>
        <w:trPr>
          <w:trHeight w:val="27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revenue (2)</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3,935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5,381</w:t>
            </w: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Food service and other services revenue (3)</w:t>
            </w:r>
          </w:p>
        </w:tc>
        <w:tc>
          <w:tcPr>
            <w:tcW w:w="10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15,601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11,891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3,710</w:t>
            </w:r>
          </w:p>
        </w:tc>
      </w:tr>
      <w:tr>
        <w:trPr>
          <w:trHeight w:val="270"/>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Manufacturing revenue (4)</w:t>
            </w:r>
          </w:p>
        </w:tc>
        <w:tc>
          <w:tcPr>
            <w:tcW w:w="10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4,196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1,707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2,489</w:t>
            </w:r>
          </w:p>
        </w:tc>
      </w:tr>
      <w:tr>
        <w:trPr>
          <w:trHeight w:val="250"/>
        </w:trPr>
        <w:tc>
          <w:tcPr>
            <w:tcW w:w="486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296,012</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245,595</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50,417</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Cost of sales and services ($ in thousands)</w:t>
            </w: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180,355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141,901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38,454</w:t>
            </w: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Mobile facility rental cost</w:t>
            </w:r>
          </w:p>
        </w:tc>
        <w:tc>
          <w:tcPr>
            <w:tcW w:w="10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9,985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4,200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5,785</w:t>
            </w:r>
          </w:p>
        </w:tc>
      </w:tr>
      <w:tr>
        <w:trPr>
          <w:trHeight w:val="27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9,229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5,527</w:t>
            </w: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Manufacturing cost</w:t>
            </w:r>
          </w:p>
        </w:tc>
        <w:tc>
          <w:tcPr>
            <w:tcW w:w="10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4,995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4,478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517</w:t>
            </w:r>
          </w:p>
        </w:tc>
      </w:tr>
      <w:tr>
        <w:trPr>
          <w:trHeight w:val="270"/>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0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15,134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11,869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3,265</w:t>
            </w:r>
          </w:p>
        </w:tc>
      </w:tr>
      <w:tr>
        <w:trPr>
          <w:trHeight w:val="250"/>
        </w:trPr>
        <w:tc>
          <w:tcPr>
            <w:tcW w:w="486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225,225</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171,677</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53,548</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Average daily rate for lodges (5)</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Total billed rooms for lodges (6)</w:t>
            </w:r>
          </w:p>
        </w:tc>
        <w:tc>
          <w:tcPr>
            <w:tcW w:w="10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w w:val="93"/>
              </w:rPr>
              <w:t>3,007,229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2,469,899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537,330</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58"/>
        </w:trPr>
        <w:tc>
          <w:tcPr>
            <w:tcW w:w="4860" w:type="dxa"/>
            <w:vAlign w:val="bottom"/>
          </w:tcPr>
          <w:p>
            <w:pPr>
              <w:ind w:left="40"/>
              <w:spacing w:after="0"/>
              <w:rPr>
                <w:sz w:val="20"/>
                <w:szCs w:val="20"/>
                <w:color w:val="auto"/>
              </w:rPr>
            </w:pPr>
            <w:r>
              <w:rPr>
                <w:rFonts w:ascii="Arial" w:cs="Arial" w:eastAsia="Arial" w:hAnsi="Arial"/>
                <w:sz w:val="14"/>
                <w:szCs w:val="14"/>
                <w:color w:val="auto"/>
              </w:rPr>
              <w:t>Average Canadian dollar to U.S. dollar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0.772</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0.771</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revenues related to food service, laundry and water and wastewater treatment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Our Canadian segment reported revenues in 2018 that were $50.4 million, or 21%, higher than 2017. The segment experienced a 17% increase in accommodation revenues, primarily due to the Noralta Acquisition in the second quarter of 2018. Additionally, increased mobile facility rental revenue was driven by increased pipeline related projects.</w:t>
      </w:r>
    </w:p>
    <w:p>
      <w:pPr>
        <w:spacing w:after="0" w:line="181" w:lineRule="exact"/>
        <w:rPr>
          <w:sz w:val="20"/>
          <w:szCs w:val="20"/>
          <w:color w:val="auto"/>
        </w:rPr>
      </w:pPr>
    </w:p>
    <w:p>
      <w:pPr>
        <w:ind w:right="120" w:firstLine="459"/>
        <w:spacing w:after="0" w:line="308" w:lineRule="auto"/>
        <w:rPr>
          <w:sz w:val="20"/>
          <w:szCs w:val="20"/>
          <w:color w:val="auto"/>
        </w:rPr>
      </w:pPr>
      <w:r>
        <w:rPr>
          <w:rFonts w:ascii="Arial" w:cs="Arial" w:eastAsia="Arial" w:hAnsi="Arial"/>
          <w:sz w:val="17"/>
          <w:szCs w:val="17"/>
          <w:color w:val="auto"/>
        </w:rPr>
        <w:t>Our Canadian segment cost of sales and services increased $53.5 million, or 31%, in 2018 compared to 2017. The increase was primarily due to the Noralta Acquisition in the second quarter of 2018, increased mobile facility rental activity and increased food services activity.</w:t>
      </w:r>
    </w:p>
    <w:p>
      <w:pPr>
        <w:spacing w:after="0" w:line="147"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Our Canadian segment gross margin as a percentage of revenues decreased from 30% in 2017 to 24% in 2018 primarily due to lower lodge rates and reduced occupancy percentage in certain lodges, impacting operating efficiencies at these lower levels. In addition, food service margins decreased due to lower rates in certain contract renewals.</w:t>
      </w: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125" w:right="4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Change</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117,896</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111,221</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6,675</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revenue (2)</w:t>
            </w:r>
          </w:p>
        </w:tc>
        <w:tc>
          <w:tcPr>
            <w:tcW w:w="1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1,342</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0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119,238</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111,221</w:t>
            </w:r>
          </w:p>
        </w:tc>
        <w:tc>
          <w:tcPr>
            <w:tcW w:w="120" w:type="dxa"/>
            <w:vAlign w:val="bottom"/>
          </w:tcPr>
          <w:p>
            <w:pPr>
              <w:spacing w:after="0"/>
              <w:rPr>
                <w:sz w:val="21"/>
                <w:szCs w:val="21"/>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8,017</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Cost of sales ($ in thousands)</w:t>
            </w:r>
          </w:p>
        </w:tc>
        <w:tc>
          <w:tcPr>
            <w:tcW w:w="1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57,366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53,406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3,960</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Food service and other services cost</w:t>
            </w:r>
          </w:p>
        </w:tc>
        <w:tc>
          <w:tcPr>
            <w:tcW w:w="110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1,150</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2,552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2,316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236</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61,068</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55,722</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5,346</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Average daily rate for villages (3)</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Total billed rooms for villages (4)</w:t>
            </w:r>
          </w:p>
        </w:tc>
        <w:tc>
          <w:tcPr>
            <w:tcW w:w="110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w w:val="93"/>
              </w:rPr>
              <w:t>1,512,030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1,385,087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126,943</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Australian dollar to U.S. dollar</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0.748</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0.767</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(0.019)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revenues related to food service and other services, including facilities management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jc w:val="both"/>
        <w:ind w:right="160" w:firstLine="459"/>
        <w:spacing w:after="0" w:line="276" w:lineRule="auto"/>
        <w:rPr>
          <w:sz w:val="20"/>
          <w:szCs w:val="20"/>
          <w:color w:val="auto"/>
        </w:rPr>
      </w:pPr>
      <w:r>
        <w:rPr>
          <w:rFonts w:ascii="Arial" w:cs="Arial" w:eastAsia="Arial" w:hAnsi="Arial"/>
          <w:sz w:val="17"/>
          <w:szCs w:val="17"/>
          <w:color w:val="auto"/>
        </w:rPr>
        <w:t>Our Australian segment reported revenues in 2018 that were $8.0 million, or 7%, higher than 2017. The weakening of the average exchange rates for Australian dollars relative to the U.S. dollar by 2% in 2018 compared to 2017 resulted in a $3.4 million year-over-year decrease in revenues. Excluding the impact of the weaker Australian exchange rates, the segment experienced a 10% increase in revenues in 2018 compared to 2017 due to increased activity at our villages in the Bowen Basin offset by reduced take-or-pay revenues on expired contracts compared to 2017. In addition, revenues in 2018 included new business revenue related to hospitality services provided for client-owned villages in the Bowen Basin.</w:t>
      </w:r>
    </w:p>
    <w:p>
      <w:pPr>
        <w:spacing w:after="0" w:line="173" w:lineRule="exact"/>
        <w:rPr>
          <w:sz w:val="20"/>
          <w:szCs w:val="20"/>
          <w:color w:val="auto"/>
        </w:rPr>
      </w:pPr>
    </w:p>
    <w:p>
      <w:pPr>
        <w:ind w:firstLine="459"/>
        <w:spacing w:after="0" w:line="308" w:lineRule="auto"/>
        <w:rPr>
          <w:sz w:val="20"/>
          <w:szCs w:val="20"/>
          <w:color w:val="auto"/>
        </w:rPr>
      </w:pPr>
      <w:r>
        <w:rPr>
          <w:rFonts w:ascii="Arial" w:cs="Arial" w:eastAsia="Arial" w:hAnsi="Arial"/>
          <w:sz w:val="17"/>
          <w:szCs w:val="17"/>
          <w:color w:val="auto"/>
        </w:rPr>
        <w:t>Our Australian segment cost of sales increased $5.3 million, or 10%, in 2018 compared to 2017. The increase was driven by higher occupancy levels at our villages in the Bowen Basin and additional costs related to hospitality services provided for client-owned villages in the Bowen Basin.</w:t>
      </w:r>
    </w:p>
    <w:p>
      <w:pPr>
        <w:spacing w:after="0" w:line="147" w:lineRule="exact"/>
        <w:rPr>
          <w:sz w:val="20"/>
          <w:szCs w:val="20"/>
          <w:color w:val="auto"/>
        </w:rPr>
      </w:pPr>
    </w:p>
    <w:p>
      <w:pPr>
        <w:ind w:right="140" w:firstLine="459"/>
        <w:spacing w:after="0" w:line="308" w:lineRule="auto"/>
        <w:rPr>
          <w:sz w:val="20"/>
          <w:szCs w:val="20"/>
          <w:color w:val="auto"/>
        </w:rPr>
      </w:pPr>
      <w:r>
        <w:rPr>
          <w:rFonts w:ascii="Arial" w:cs="Arial" w:eastAsia="Arial" w:hAnsi="Arial"/>
          <w:sz w:val="17"/>
          <w:szCs w:val="17"/>
          <w:color w:val="auto"/>
        </w:rPr>
        <w:t>Our Australian segment gross margin as a percentage of revenues decreased to 49% in 2018 from 50% in 2017. This was primarily driven by reduced take-or-pay revenues on expired contracts compared to 2017 and lower margin hospitality services provided to client-owned villages.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200" w:type="dxa"/>
            <w:vAlign w:val="bottom"/>
            <w:shd w:val="clear" w:color="auto" w:fill="CCEEFF"/>
          </w:tcPr>
          <w:p>
            <w:pPr>
              <w:jc w:val="right"/>
              <w:ind w:right="1025"/>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51,442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25,460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25,982</w:t>
            </w:r>
          </w:p>
        </w:tc>
      </w:tr>
      <w:tr>
        <w:trPr>
          <w:trHeight w:val="270"/>
        </w:trPr>
        <w:tc>
          <w:tcPr>
            <w:tcW w:w="4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 in thousands)</w:t>
            </w:r>
          </w:p>
        </w:tc>
        <w:tc>
          <w:tcPr>
            <w:tcW w:w="1200" w:type="dxa"/>
            <w:vAlign w:val="bottom"/>
            <w:shd w:val="clear" w:color="auto" w:fill="CCEEFF"/>
          </w:tcPr>
          <w:p>
            <w:pPr>
              <w:jc w:val="right"/>
              <w:ind w:right="1025"/>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44,089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29,859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14,230</w:t>
            </w:r>
          </w:p>
        </w:tc>
      </w:tr>
      <w:tr>
        <w:trPr>
          <w:trHeight w:val="270"/>
        </w:trPr>
        <w:tc>
          <w:tcPr>
            <w:tcW w:w="4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 as a % of revenues</w:t>
            </w:r>
          </w:p>
        </w:tc>
        <w:tc>
          <w:tcPr>
            <w:tcW w:w="1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r>
    </w:tbl>
    <w:p>
      <w:pPr>
        <w:spacing w:after="0" w:line="202" w:lineRule="exact"/>
        <w:rPr>
          <w:sz w:val="20"/>
          <w:szCs w:val="20"/>
          <w:color w:val="auto"/>
        </w:rPr>
      </w:pPr>
    </w:p>
    <w:p>
      <w:pPr>
        <w:ind w:right="480" w:firstLine="459"/>
        <w:spacing w:after="0" w:line="277" w:lineRule="auto"/>
        <w:rPr>
          <w:sz w:val="20"/>
          <w:szCs w:val="20"/>
          <w:color w:val="auto"/>
        </w:rPr>
      </w:pPr>
      <w:r>
        <w:rPr>
          <w:rFonts w:ascii="Arial" w:cs="Arial" w:eastAsia="Arial" w:hAnsi="Arial"/>
          <w:sz w:val="18"/>
          <w:szCs w:val="18"/>
          <w:color w:val="auto"/>
        </w:rPr>
        <w:t>Our U.S. segment reported revenues in 2018 that were $26.0 million, or 102%, higher than 2017. The increase was primarily due to greater U.S. drilling and completion activity in the Bakken, Rockies, the mid Continent and Texas markets</w:t>
      </w:r>
    </w:p>
    <w:p>
      <w:pPr>
        <w:sectPr>
          <w:pgSz w:w="11900" w:h="16838" w:orient="portrait"/>
          <w:cols w:equalWidth="0" w:num="1">
            <w:col w:w="11380"/>
          </w:cols>
          <w:pgMar w:left="240" w:top="125" w:right="279" w:bottom="144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40" w:top="125" w:right="27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benefiting our lodge and wellsite businesses, the acquisition of the Acadian Acres Lodge in February 2018 and higher revenues from our offshore business.</w:t>
      </w:r>
    </w:p>
    <w:p>
      <w:pPr>
        <w:spacing w:after="0" w:line="248" w:lineRule="exact"/>
        <w:rPr>
          <w:sz w:val="20"/>
          <w:szCs w:val="20"/>
          <w:color w:val="auto"/>
        </w:rPr>
      </w:pPr>
    </w:p>
    <w:p>
      <w:pPr>
        <w:jc w:val="both"/>
        <w:ind w:right="240" w:firstLine="459"/>
        <w:spacing w:after="0" w:line="264" w:lineRule="auto"/>
        <w:rPr>
          <w:sz w:val="20"/>
          <w:szCs w:val="20"/>
          <w:color w:val="auto"/>
        </w:rPr>
      </w:pPr>
      <w:r>
        <w:rPr>
          <w:rFonts w:ascii="Arial" w:cs="Arial" w:eastAsia="Arial" w:hAnsi="Arial"/>
          <w:sz w:val="18"/>
          <w:szCs w:val="18"/>
          <w:color w:val="auto"/>
        </w:rPr>
        <w:t>Our U.S. cost of sales increased $14.2 million, or 48%, in 2018 compared to 2017. The increase was driven by greater U.S. drilling and completion activity in the Bakken, Rockies, the mid Continent and Texas markets and greater activity in the offshore business and the acquisition of the Acadian Acres Lodge.</w:t>
      </w:r>
    </w:p>
    <w:p>
      <w:pPr>
        <w:spacing w:after="0" w:line="181"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color w:val="auto"/>
        </w:rPr>
        <w:t>Our U.S. segment gross margin as a percentage of revenues increased from (17)% in 2017 to 14% in 2018, primarily due to increased U.S. drilling and completion activity in the Bakken, Rockies, the mid Continent and Texas markets, as well as greater activity in the offshore business and the acquisition of the Acadian Acres Lodge.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Year Ended December 31, 2017 Compared to Year Ended December 31, 2016</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Year Ended</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3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Canada</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245,595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278,464</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(32,869)</w:t>
            </w:r>
          </w:p>
        </w:tc>
      </w:tr>
      <w:tr>
        <w:trPr>
          <w:trHeight w:val="3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Australia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4,406</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25,460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11,951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13,509</w:t>
            </w: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382,276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397,230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(14,954)</w:t>
            </w: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sales and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Canada</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171,677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190,878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(19,201)</w:t>
            </w:r>
          </w:p>
        </w:tc>
      </w:tr>
      <w:tr>
        <w:trPr>
          <w:trHeight w:val="3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Australia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4,034</w:t>
            </w: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United States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29,859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17,084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12,775</w:t>
            </w: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cost of sales and services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257,258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259,650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(2,392)</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63,431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55,297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8,134</w:t>
            </w:r>
          </w:p>
        </w:tc>
      </w:tr>
      <w:tr>
        <w:trPr>
          <w:trHeight w:val="3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(4,859)</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Impairment expense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31,604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46,129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(14,525)</w:t>
            </w:r>
          </w:p>
        </w:tc>
      </w:tr>
      <w:tr>
        <w:trPr>
          <w:trHeight w:val="3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operating expense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w:t>
            </w:r>
          </w:p>
        </w:tc>
      </w:tr>
      <w:tr>
        <w:trPr>
          <w:trHeight w:val="217"/>
        </w:trPr>
        <w:tc>
          <w:tcPr>
            <w:tcW w:w="6760" w:type="dxa"/>
            <w:vAlign w:val="bottom"/>
          </w:tcPr>
          <w:p>
            <w:pPr>
              <w:ind w:left="360"/>
              <w:spacing w:after="0"/>
              <w:rPr>
                <w:sz w:val="20"/>
                <w:szCs w:val="20"/>
                <w:color w:val="auto"/>
              </w:rPr>
            </w:pPr>
            <w:r>
              <w:rPr>
                <w:rFonts w:ascii="Arial" w:cs="Arial" w:eastAsia="Arial" w:hAnsi="Arial"/>
                <w:sz w:val="16"/>
                <w:szCs w:val="16"/>
                <w:color w:val="auto"/>
              </w:rPr>
              <w:t>Total costs and expenses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480,247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492,990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(12,743)</w:t>
            </w: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(2,211)</w:t>
            </w:r>
          </w:p>
        </w:tc>
      </w:tr>
      <w:tr>
        <w:trPr>
          <w:trHeight w:val="284"/>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and income,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w:t>
            </w: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(1,337)</w:t>
            </w: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(118,744)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(2,812)</w:t>
            </w: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13,490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20,105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(6,615)</w:t>
            </w: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(105,254)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(9,427)</w:t>
            </w: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Civeo</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(9,325)</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459"/>
        <w:spacing w:after="0" w:line="279" w:lineRule="auto"/>
        <w:rPr>
          <w:sz w:val="20"/>
          <w:szCs w:val="20"/>
          <w:color w:val="auto"/>
        </w:rPr>
      </w:pPr>
      <w:r>
        <w:rPr>
          <w:rFonts w:ascii="Arial" w:cs="Arial" w:eastAsia="Arial" w:hAnsi="Arial"/>
          <w:sz w:val="17"/>
          <w:szCs w:val="17"/>
          <w:color w:val="auto"/>
        </w:rPr>
        <w:t>We reported net loss attributable to Civeo for the year ended December 31, 2017 of $105.7 million, or $0.82 per diluted share. As further discussed below, net loss included (i) a $31.6 million pre-tax loss ($23.1 million after-tax, or $0.18 per diluted share) resulting from the impairment of fixed assets included in Impairment expense below; and (ii) a $2.3 million pre-tax loss ($2.2 million after-tax, or $0.02 per diluted share) from costs incurred in connection with the Noralta Acquisition, included in Selling, general and administrative (SG&amp;A) expense below.</w:t>
      </w:r>
    </w:p>
    <w:p>
      <w:pPr>
        <w:spacing w:after="0" w:line="171" w:lineRule="exact"/>
        <w:rPr>
          <w:sz w:val="20"/>
          <w:szCs w:val="20"/>
          <w:color w:val="auto"/>
        </w:rPr>
      </w:pPr>
    </w:p>
    <w:p>
      <w:pPr>
        <w:ind w:right="100" w:firstLine="459"/>
        <w:spacing w:after="0" w:line="259" w:lineRule="auto"/>
        <w:rPr>
          <w:sz w:val="20"/>
          <w:szCs w:val="20"/>
          <w:color w:val="auto"/>
        </w:rPr>
      </w:pPr>
      <w:r>
        <w:rPr>
          <w:rFonts w:ascii="Arial" w:cs="Arial" w:eastAsia="Arial" w:hAnsi="Arial"/>
          <w:sz w:val="18"/>
          <w:szCs w:val="18"/>
          <w:color w:val="auto"/>
        </w:rPr>
        <w:t>We reported net loss attributable to Civeo for the year ended December 31, 2016 of $96.4 million, or $0.90 per diluted share. As further discussed below, net loss included (i) a $46.1 million pre-tax loss ($35.9 million after-tax, or $0.34 per diluted share) resulting from the impairment of fixed assets, included in Impairment expense, and (ii) a $1.3 million pre-tax loss ($1.2 million after-tax, or $0.01 per diluted share) from costs incurred in connection with our redomiciliation to British Columbia, included in SG&amp;A expense below.</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0" w:firstLine="459"/>
        <w:spacing w:after="0" w:line="281"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decreased $15.0 million, or 4%, in 2017 compared to 2016. This decline was largely driven by decreases in Canada</w:t>
      </w:r>
      <w:r>
        <w:rPr>
          <w:rFonts w:ascii="Arial" w:cs="Arial" w:eastAsia="Arial" w:hAnsi="Arial"/>
          <w:sz w:val="17"/>
          <w:szCs w:val="17"/>
          <w:b w:val="1"/>
          <w:bCs w:val="1"/>
          <w:color w:val="auto"/>
        </w:rPr>
        <w:t xml:space="preserve"> </w:t>
      </w:r>
      <w:r>
        <w:rPr>
          <w:rFonts w:ascii="Arial" w:cs="Arial" w:eastAsia="Arial" w:hAnsi="Arial"/>
          <w:sz w:val="17"/>
          <w:szCs w:val="17"/>
          <w:color w:val="auto"/>
        </w:rPr>
        <w:t>due to lower rates and lower mobile camp and product activity, partially offset by increased occupancies at some of our lodges. This decrease was offset by increases in the U.S. due to increased activity levels and in Australia due to increased occupancy, as well as stronger Canadian and Australian dollars in 2017 compared to 2016. Please see the discussion of segment results of operations below for further information.</w:t>
      </w:r>
    </w:p>
    <w:p>
      <w:pPr>
        <w:spacing w:after="0" w:line="165" w:lineRule="exact"/>
        <w:rPr>
          <w:sz w:val="20"/>
          <w:szCs w:val="20"/>
          <w:color w:val="auto"/>
        </w:rPr>
      </w:pPr>
    </w:p>
    <w:p>
      <w:pPr>
        <w:ind w:right="60" w:firstLine="459"/>
        <w:spacing w:after="0" w:line="281"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decreased $2.4 million, or 1%, in 2017 compared to 2016, primarily due to decreases in</w:t>
      </w:r>
      <w:r>
        <w:rPr>
          <w:rFonts w:ascii="Arial" w:cs="Arial" w:eastAsia="Arial" w:hAnsi="Arial"/>
          <w:sz w:val="17"/>
          <w:szCs w:val="17"/>
          <w:b w:val="1"/>
          <w:bCs w:val="1"/>
          <w:color w:val="auto"/>
        </w:rPr>
        <w:t xml:space="preserve"> </w:t>
      </w:r>
      <w:r>
        <w:rPr>
          <w:rFonts w:ascii="Arial" w:cs="Arial" w:eastAsia="Arial" w:hAnsi="Arial"/>
          <w:sz w:val="17"/>
          <w:szCs w:val="17"/>
          <w:color w:val="auto"/>
        </w:rPr>
        <w:t>Canada due to lower mobile camp and product activity, as well as a focus on cost containment and operational efficiencies. This was partially offset by increases in the U.S. due to increased activity levels and in Australia due to increased occupancy, as well as stronger Canadian and Australian dollars in 2017 compared to 2016. Please see the discussion of segment results of operations below for further information.</w:t>
      </w:r>
    </w:p>
    <w:p>
      <w:pPr>
        <w:spacing w:after="0" w:line="165" w:lineRule="exact"/>
        <w:rPr>
          <w:sz w:val="20"/>
          <w:szCs w:val="20"/>
          <w:color w:val="auto"/>
        </w:rPr>
      </w:pPr>
    </w:p>
    <w:p>
      <w:pPr>
        <w:ind w:right="300" w:firstLine="459"/>
        <w:spacing w:after="0" w:line="298"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SG&amp;A expense increased $8.1 million, or 15%, in 2017 compared to 2016. This increase was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higher share based compensation expense associated with phantom share awards, higher incentive compensation costs and higher professional fees when compared to 2016. The increase in share based compensation was due to the increase in our share price during the period, which is used to remeasure the phantom share awards at each reporting date. The higher professional fees include $2.3 million related to the Noralta Acquisition. These items were partially offset by reduced compensation as a result of workforce reductions in 2016 and other administrative cost reductions.</w:t>
      </w:r>
    </w:p>
    <w:p>
      <w:pPr>
        <w:spacing w:after="0" w:line="154" w:lineRule="exact"/>
        <w:rPr>
          <w:sz w:val="20"/>
          <w:szCs w:val="20"/>
          <w:color w:val="auto"/>
        </w:rPr>
      </w:pPr>
    </w:p>
    <w:p>
      <w:pPr>
        <w:ind w:right="40" w:firstLine="459"/>
        <w:spacing w:after="0" w:line="266"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$4.9 million, or 4%, in 2017 compared to 2016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reduced depreciation expense resulting from impairments recorded in 2016, partially offset by increased depreciation expense associated with an enterprise information system placed in service in 2017.</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$31.6 million in 2017 consisted of:</w:t>
      </w:r>
    </w:p>
    <w:p>
      <w:pPr>
        <w:spacing w:after="0" w:line="229"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Pre-tax impairment losses of $27.2 million related to certain lodge assets in the southern oil sands in our Canadian segment; and</w:t>
      </w:r>
    </w:p>
    <w:p>
      <w:pPr>
        <w:spacing w:after="0" w:line="171" w:lineRule="exact"/>
        <w:rPr>
          <w:rFonts w:ascii="Arial" w:cs="Arial" w:eastAsia="Arial" w:hAnsi="Arial"/>
          <w:sz w:val="18"/>
          <w:szCs w:val="18"/>
          <w:color w:val="auto"/>
        </w:rPr>
      </w:pPr>
    </w:p>
    <w:p>
      <w:pPr>
        <w:ind w:left="460" w:right="700" w:firstLine="196"/>
        <w:spacing w:after="0" w:line="465" w:lineRule="auto"/>
        <w:tabs>
          <w:tab w:leader="none" w:pos="9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Pre-tax impairment losses of $4.4 million related to leasehold improvements and undeveloped land positions in our Canadian segment. Impairment expense of $46.1 million in 2016 consisted of:</w:t>
      </w:r>
    </w:p>
    <w:p>
      <w:pPr>
        <w:spacing w:after="0" w:line="8"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Pre-tax impairment losses of $37.7 million related to mobile camp assets and certain undeveloped land positions in the British Columbia LNG market in our Canadian segment;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Pre-tax impairment losses of $8.4 million related to the impairment of fixed assets in our U.S. segment.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Please see Note 4 - Impairment Charges to the notes to the consolidated financial statements in Item 8 of this annual report for further discussion.</w:t>
      </w:r>
    </w:p>
    <w:p>
      <w:pPr>
        <w:spacing w:after="0" w:line="233" w:lineRule="exact"/>
        <w:rPr>
          <w:sz w:val="20"/>
          <w:szCs w:val="20"/>
          <w:color w:val="auto"/>
        </w:rPr>
      </w:pPr>
    </w:p>
    <w:p>
      <w:pPr>
        <w:ind w:right="380" w:firstLine="459"/>
        <w:spacing w:after="0" w:line="266"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increased $2.2 million, or 2%, in 2017 compared to 2016 primarily due to lower contracted rates in</w:t>
      </w:r>
      <w:r>
        <w:rPr>
          <w:rFonts w:ascii="Arial" w:cs="Arial" w:eastAsia="Arial" w:hAnsi="Arial"/>
          <w:sz w:val="18"/>
          <w:szCs w:val="18"/>
          <w:b w:val="1"/>
          <w:bCs w:val="1"/>
          <w:color w:val="auto"/>
        </w:rPr>
        <w:t xml:space="preserve"> </w:t>
      </w:r>
      <w:r>
        <w:rPr>
          <w:rFonts w:ascii="Arial" w:cs="Arial" w:eastAsia="Arial" w:hAnsi="Arial"/>
          <w:sz w:val="18"/>
          <w:szCs w:val="18"/>
          <w:color w:val="auto"/>
        </w:rPr>
        <w:t>Canada and higher SG&amp;A expenses, partially offset by lower impairment expense and lower depreciation and amortization expense in 2017 compared to 2016.</w:t>
      </w:r>
    </w:p>
    <w:p>
      <w:pPr>
        <w:spacing w:after="0" w:line="176" w:lineRule="exact"/>
        <w:rPr>
          <w:sz w:val="20"/>
          <w:szCs w:val="20"/>
          <w:color w:val="auto"/>
        </w:rPr>
      </w:pPr>
    </w:p>
    <w:p>
      <w:pPr>
        <w:ind w:right="60" w:firstLine="459"/>
        <w:spacing w:after="0" w:line="261"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decreased by $0.7 million, or 3%, in 2017 compared to 2016 primarily due to lower</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outstanding under our revolving credit facilities in 2017 as compared to 2016, offset by increases from the 2017 write-off of $0.8 million of debt issuance costs associated with an amendment to our credit agreement (as compared to a $0.3 million write-off of debt issuance costs in the first quarter 2016) and higher interest rates on term loan and revolving credit facility borrowings.</w:t>
      </w:r>
    </w:p>
    <w:p>
      <w:pPr>
        <w:spacing w:after="0" w:line="180" w:lineRule="exact"/>
        <w:rPr>
          <w:sz w:val="20"/>
          <w:szCs w:val="20"/>
          <w:color w:val="auto"/>
        </w:rPr>
      </w:pPr>
    </w:p>
    <w:p>
      <w:pPr>
        <w:ind w:firstLine="459"/>
        <w:spacing w:after="0" w:line="258"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year ended December 31, 2017 totaled $13.5 million, or 11.4% of pretax loss,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$20.1 million, or 17.3% of pretax loss, for the year ended December 31, 2016. Our effective tax rate in 2017 was lower than the Canadian statutory rate of 27%, primarily due to losses in Australia and the U.S. for which no tax benefit was recorded. As a result, a valuation allowance of $13.2 million was established against net deferred tax assets in the U.S. and Australia. In addition, a valuation allowance of $5.9 million was established against net deferred tax assets in Canada.</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459"/>
        <w:spacing w:after="0" w:line="342" w:lineRule="auto"/>
        <w:rPr>
          <w:sz w:val="20"/>
          <w:szCs w:val="20"/>
          <w:color w:val="auto"/>
        </w:rPr>
      </w:pPr>
      <w:r>
        <w:rPr>
          <w:rFonts w:ascii="Arial" w:cs="Arial" w:eastAsia="Arial" w:hAnsi="Arial"/>
          <w:sz w:val="16"/>
          <w:szCs w:val="16"/>
          <w:color w:val="auto"/>
        </w:rPr>
        <w:t>Our effective tax rate in 2016 was lower than the Canadian statutory rate of 27%, primarily due to losses in Australia and the U.S. for which no tax benefit was recorded. As a result, a valuation allowance of $15.1 million was established against net deferred tax assets in the U.S. and Australia.</w:t>
      </w:r>
    </w:p>
    <w:p>
      <w:pPr>
        <w:spacing w:after="0" w:line="120" w:lineRule="exact"/>
        <w:rPr>
          <w:sz w:val="20"/>
          <w:szCs w:val="20"/>
          <w:color w:val="auto"/>
        </w:rPr>
      </w:pPr>
    </w:p>
    <w:p>
      <w:pPr>
        <w:ind w:firstLine="459"/>
        <w:spacing w:after="0" w:line="277" w:lineRule="auto"/>
        <w:rPr>
          <w:sz w:val="20"/>
          <w:szCs w:val="20"/>
          <w:color w:val="auto"/>
        </w:rPr>
      </w:pPr>
      <w:r>
        <w:rPr>
          <w:rFonts w:ascii="Arial" w:cs="Arial" w:eastAsia="Arial" w:hAnsi="Arial"/>
          <w:sz w:val="17"/>
          <w:szCs w:val="17"/>
          <w:b w:val="1"/>
          <w:bCs w:val="1"/>
          <w:color w:val="auto"/>
        </w:rPr>
        <w:t xml:space="preserve">Other Comprehensive Income (Loss). </w:t>
      </w:r>
      <w:r>
        <w:rPr>
          <w:rFonts w:ascii="Arial" w:cs="Arial" w:eastAsia="Arial" w:hAnsi="Arial"/>
          <w:sz w:val="17"/>
          <w:szCs w:val="17"/>
          <w:color w:val="auto"/>
        </w:rPr>
        <w:t>Other comprehensive income increased $31.6 million in 2017 compared to 2016 primarily as a result of</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currency translation adjustments due to changes in the Canadian and Australian dollar exchange rates compared to the U.S. dollar. The Canadian dollar exchange rate compared to the U.S. dollar increased 7% from December 31, 2016 to December 31, 2017 compared to a 3% increase from December 31, 2015 to December 31, 2016. The Australian dollar exchange rate compared to the U.S. dollar increased 8% from December 31, 2016 to December 31, 2017 compared to a 1% decrease from December 31, 2015 to December 31, 2016.</w:t>
      </w:r>
    </w:p>
    <w:p>
      <w:pPr>
        <w:spacing w:after="0" w:line="1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125" w:right="4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33"/>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 in thousands)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6620" w:type="dxa"/>
            <w:vAlign w:val="bottom"/>
          </w:tcPr>
          <w:p>
            <w:pPr>
              <w:ind w:left="180"/>
              <w:spacing w:after="0"/>
              <w:rPr>
                <w:sz w:val="20"/>
                <w:szCs w:val="20"/>
                <w:color w:val="auto"/>
              </w:rPr>
            </w:pPr>
            <w:r>
              <w:rPr>
                <w:rFonts w:ascii="Arial" w:cs="Arial" w:eastAsia="Arial" w:hAnsi="Arial"/>
                <w:sz w:val="16"/>
                <w:szCs w:val="16"/>
                <w:color w:val="auto"/>
              </w:rPr>
              <w:t>Accommodation revenue (1)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228,062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238,221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(10,159)</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Mobile facility rental revenue (2)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(5,282)</w:t>
            </w:r>
          </w:p>
        </w:tc>
      </w:tr>
      <w:tr>
        <w:trPr>
          <w:trHeight w:val="237"/>
        </w:trPr>
        <w:tc>
          <w:tcPr>
            <w:tcW w:w="6620" w:type="dxa"/>
            <w:vAlign w:val="bottom"/>
          </w:tcPr>
          <w:p>
            <w:pPr>
              <w:ind w:left="180"/>
              <w:spacing w:after="0"/>
              <w:rPr>
                <w:sz w:val="20"/>
                <w:szCs w:val="20"/>
                <w:color w:val="auto"/>
              </w:rPr>
            </w:pPr>
            <w:r>
              <w:rPr>
                <w:rFonts w:ascii="Arial" w:cs="Arial" w:eastAsia="Arial" w:hAnsi="Arial"/>
                <w:sz w:val="16"/>
                <w:szCs w:val="16"/>
                <w:color w:val="auto"/>
              </w:rPr>
              <w:t>Food service and other services revenue (3)</w:t>
            </w: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11,891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14,280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(2,389)</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Manufacturing revenue (4)</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(15,039)</w:t>
            </w:r>
          </w:p>
        </w:tc>
      </w:tr>
      <w:tr>
        <w:trPr>
          <w:trHeight w:val="217"/>
        </w:trPr>
        <w:tc>
          <w:tcPr>
            <w:tcW w:w="662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245,595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278,464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(32,869)</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6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Cost of sales and services ($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Accommodation cost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141,901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141,735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166</w:t>
            </w:r>
          </w:p>
        </w:tc>
      </w:tr>
      <w:tr>
        <w:trPr>
          <w:trHeight w:val="237"/>
        </w:trPr>
        <w:tc>
          <w:tcPr>
            <w:tcW w:w="6620" w:type="dxa"/>
            <w:vAlign w:val="bottom"/>
          </w:tcPr>
          <w:p>
            <w:pPr>
              <w:ind w:left="180"/>
              <w:spacing w:after="0"/>
              <w:rPr>
                <w:sz w:val="20"/>
                <w:szCs w:val="20"/>
                <w:color w:val="auto"/>
              </w:rPr>
            </w:pPr>
            <w:r>
              <w:rPr>
                <w:rFonts w:ascii="Arial" w:cs="Arial" w:eastAsia="Arial" w:hAnsi="Arial"/>
                <w:sz w:val="16"/>
                <w:szCs w:val="16"/>
                <w:color w:val="auto"/>
              </w:rPr>
              <w:t>Mobile facility rental cost</w:t>
            </w: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4,200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8,560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(4,360)</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Food service and other services cost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(1,986)</w:t>
            </w:r>
          </w:p>
        </w:tc>
      </w:tr>
      <w:tr>
        <w:trPr>
          <w:trHeight w:val="237"/>
        </w:trPr>
        <w:tc>
          <w:tcPr>
            <w:tcW w:w="6620" w:type="dxa"/>
            <w:vAlign w:val="bottom"/>
          </w:tcPr>
          <w:p>
            <w:pPr>
              <w:ind w:left="180"/>
              <w:spacing w:after="0"/>
              <w:rPr>
                <w:sz w:val="20"/>
                <w:szCs w:val="20"/>
                <w:color w:val="auto"/>
              </w:rPr>
            </w:pPr>
            <w:r>
              <w:rPr>
                <w:rFonts w:ascii="Arial" w:cs="Arial" w:eastAsia="Arial" w:hAnsi="Arial"/>
                <w:sz w:val="16"/>
                <w:szCs w:val="16"/>
                <w:color w:val="auto"/>
              </w:rPr>
              <w:t>Manufacturing cost</w:t>
            </w: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4,478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19,318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(14,840)</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Indirect other cost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1,819</w:t>
            </w:r>
          </w:p>
        </w:tc>
      </w:tr>
      <w:tr>
        <w:trPr>
          <w:trHeight w:val="217"/>
        </w:trPr>
        <w:tc>
          <w:tcPr>
            <w:tcW w:w="6620" w:type="dxa"/>
            <w:vAlign w:val="bottom"/>
          </w:tcPr>
          <w:p>
            <w:pPr>
              <w:ind w:left="280"/>
              <w:spacing w:after="0"/>
              <w:rPr>
                <w:sz w:val="20"/>
                <w:szCs w:val="20"/>
                <w:color w:val="auto"/>
              </w:rPr>
            </w:pPr>
            <w:r>
              <w:rPr>
                <w:rFonts w:ascii="Arial" w:cs="Arial" w:eastAsia="Arial" w:hAnsi="Arial"/>
                <w:sz w:val="16"/>
                <w:szCs w:val="16"/>
                <w:color w:val="auto"/>
              </w:rPr>
              <w:t>Total cost of sales and services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171,677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190,878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(19,201)</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6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Gross margin as a % of revenues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6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Average daily rate for lodges (5)</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6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Total billed rooms for lodges (6)</w:t>
            </w: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2,469,899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2,284,159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185,740</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6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Average Canadian dollar to U.S. dollar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0.771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0.755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0.016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429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revenues related to food service, laundry and water and wastewater treatment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right="40" w:firstLine="459"/>
        <w:spacing w:after="0" w:line="279" w:lineRule="auto"/>
        <w:rPr>
          <w:sz w:val="20"/>
          <w:szCs w:val="20"/>
          <w:color w:val="auto"/>
        </w:rPr>
      </w:pPr>
      <w:r>
        <w:rPr>
          <w:rFonts w:ascii="Arial" w:cs="Arial" w:eastAsia="Arial" w:hAnsi="Arial"/>
          <w:sz w:val="17"/>
          <w:szCs w:val="17"/>
          <w:color w:val="auto"/>
        </w:rPr>
        <w:t>Our Canadian segment revenues in 2017 were $32.9 million, or 12%, lower than 2016. The strengthening of the average exchange rates for the Canadian dollar relative to the U.S. dollar by 2% in 2017 compared to 2016 resulted in a $5.3 million year-over-year increase in revenues. In addition, excluding the impact of the stronger Canadian exchange rates, the segment experienced a 7% decline in lodge revenues, primarily due to lower rates, partially offset by increased occupancies at some of our lodges. Finally, mobile camp and product revenues declined due to overall lower activity levels.</w:t>
      </w:r>
    </w:p>
    <w:p>
      <w:pPr>
        <w:spacing w:after="0" w:line="171" w:lineRule="exact"/>
        <w:rPr>
          <w:sz w:val="20"/>
          <w:szCs w:val="20"/>
          <w:color w:val="auto"/>
        </w:rPr>
      </w:pPr>
    </w:p>
    <w:p>
      <w:pPr>
        <w:ind w:right="280" w:firstLine="459"/>
        <w:spacing w:after="0" w:line="277" w:lineRule="auto"/>
        <w:rPr>
          <w:sz w:val="20"/>
          <w:szCs w:val="20"/>
          <w:color w:val="auto"/>
        </w:rPr>
      </w:pPr>
      <w:r>
        <w:rPr>
          <w:rFonts w:ascii="Arial" w:cs="Arial" w:eastAsia="Arial" w:hAnsi="Arial"/>
          <w:sz w:val="18"/>
          <w:szCs w:val="18"/>
          <w:color w:val="auto"/>
        </w:rPr>
        <w:t>Our Canadian segment cost of sales and services decreased $19.2 million, or 10%, in 2017 compared to 2016, primarily due to the decline in mobile camp and product activity, as well as a focus on cost containment and operational efficiencies.</w:t>
      </w:r>
    </w:p>
    <w:p>
      <w:pPr>
        <w:spacing w:after="0" w:line="170" w:lineRule="exact"/>
        <w:rPr>
          <w:sz w:val="20"/>
          <w:szCs w:val="20"/>
          <w:color w:val="auto"/>
        </w:rPr>
      </w:pPr>
    </w:p>
    <w:p>
      <w:pPr>
        <w:ind w:right="300" w:firstLine="459"/>
        <w:spacing w:after="0" w:line="277" w:lineRule="auto"/>
        <w:rPr>
          <w:sz w:val="20"/>
          <w:szCs w:val="20"/>
          <w:color w:val="auto"/>
        </w:rPr>
      </w:pPr>
      <w:r>
        <w:rPr>
          <w:rFonts w:ascii="Arial" w:cs="Arial" w:eastAsia="Arial" w:hAnsi="Arial"/>
          <w:sz w:val="18"/>
          <w:szCs w:val="18"/>
          <w:color w:val="auto"/>
        </w:rPr>
        <w:t>Our Canadian segment gross margin as a percentage of revenues decreased from 31% in 2016 to 30% in 2017 primarily due to lower rates, partially offset by lower costs due to a focus on cost containment and operational efficiencies.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6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33"/>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 in thousands)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6620" w:type="dxa"/>
            <w:vAlign w:val="bottom"/>
          </w:tcPr>
          <w:p>
            <w:pPr>
              <w:ind w:left="180"/>
              <w:spacing w:after="0"/>
              <w:rPr>
                <w:sz w:val="20"/>
                <w:szCs w:val="20"/>
                <w:color w:val="auto"/>
              </w:rPr>
            </w:pPr>
            <w:r>
              <w:rPr>
                <w:rFonts w:ascii="Arial" w:cs="Arial" w:eastAsia="Arial" w:hAnsi="Arial"/>
                <w:sz w:val="16"/>
                <w:szCs w:val="16"/>
                <w:color w:val="auto"/>
              </w:rPr>
              <w:t>Accommodation revenue (1)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111,221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106,815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4,406</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Food service and other services revenue (2)</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17"/>
        </w:trPr>
        <w:tc>
          <w:tcPr>
            <w:tcW w:w="662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111,221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106,815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4,406</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6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Cost of sales ($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Accommodation cost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48,993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4,413</w:t>
            </w:r>
          </w:p>
        </w:tc>
      </w:tr>
      <w:tr>
        <w:trPr>
          <w:trHeight w:val="237"/>
        </w:trPr>
        <w:tc>
          <w:tcPr>
            <w:tcW w:w="6620" w:type="dxa"/>
            <w:vAlign w:val="bottom"/>
          </w:tcPr>
          <w:p>
            <w:pPr>
              <w:ind w:left="180"/>
              <w:spacing w:after="0"/>
              <w:rPr>
                <w:sz w:val="20"/>
                <w:szCs w:val="20"/>
                <w:color w:val="auto"/>
              </w:rPr>
            </w:pPr>
            <w:r>
              <w:rPr>
                <w:rFonts w:ascii="Arial" w:cs="Arial" w:eastAsia="Arial" w:hAnsi="Arial"/>
                <w:sz w:val="16"/>
                <w:szCs w:val="16"/>
                <w:color w:val="auto"/>
              </w:rPr>
              <w:t>Food service and other services cost</w:t>
            </w:r>
          </w:p>
        </w:tc>
        <w:tc>
          <w:tcPr>
            <w:tcW w:w="34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Indirect other cost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(379)</w:t>
            </w:r>
          </w:p>
        </w:tc>
      </w:tr>
      <w:tr>
        <w:trPr>
          <w:trHeight w:val="217"/>
        </w:trPr>
        <w:tc>
          <w:tcPr>
            <w:tcW w:w="6620" w:type="dxa"/>
            <w:vAlign w:val="bottom"/>
          </w:tcPr>
          <w:p>
            <w:pPr>
              <w:ind w:left="280"/>
              <w:spacing w:after="0"/>
              <w:rPr>
                <w:sz w:val="20"/>
                <w:szCs w:val="20"/>
                <w:color w:val="auto"/>
              </w:rPr>
            </w:pPr>
            <w:r>
              <w:rPr>
                <w:rFonts w:ascii="Arial" w:cs="Arial" w:eastAsia="Arial" w:hAnsi="Arial"/>
                <w:sz w:val="16"/>
                <w:szCs w:val="16"/>
                <w:color w:val="auto"/>
              </w:rPr>
              <w:t>Total cost of sales and services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55,722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51,688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4,034</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6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Gross margin as a % of revenues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6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Average daily rate for villages (3)</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4</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6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Billed rooms for villages (4)</w:t>
            </w: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1,385,087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1,395,770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(10,683)</w:t>
            </w:r>
          </w:p>
        </w:tc>
      </w:tr>
      <w:tr>
        <w:trPr>
          <w:trHeight w:val="3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6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Average Australian dollar to U.S. dollar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0.767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0.744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0.023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429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revenues related to food service and other services, including facilities management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color w:val="auto"/>
        </w:rPr>
        <w:t>Our Australian segment revenues in 2017 were $4.4 million, or 4%, higher than 2016. The strengthening of the average exchange rates for Australian dollars relative to the U.S. dollar by 3% in 2017 compared to 2016 resulted in a $3.2 million year-over-year increase in revenues. Excluding the impact of the stronger Australian exchange rates, the Australian segment experienced a 1% increase in revenues due to increased occupancy at our villages in Western Australia, offset by reduced occupancy at our villages in the Bowen Basin. Occupancy increased in Western Australia during 2017, with increased activity from anchor tenants at both our Western Australian village locations. Reduced occupancy in the Bowen Basin is primarily a result of the slowdown in mining activity.</w:t>
      </w:r>
    </w:p>
    <w:p>
      <w:pPr>
        <w:spacing w:after="0" w:line="193"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color w:val="auto"/>
        </w:rPr>
        <w:t>Our Australian segment cost of sales increased $4.0 million, or 8%, in 2017 compared to 2016. The increase was driven by higher occupancy levels at our villages in Western Australia, as well as the strengthening of the Australian dollar.</w:t>
      </w:r>
    </w:p>
    <w:p>
      <w:pPr>
        <w:spacing w:after="0" w:line="170" w:lineRule="exact"/>
        <w:rPr>
          <w:sz w:val="20"/>
          <w:szCs w:val="20"/>
          <w:color w:val="auto"/>
        </w:rPr>
      </w:pPr>
    </w:p>
    <w:p>
      <w:pPr>
        <w:ind w:right="180" w:firstLine="459"/>
        <w:spacing w:after="0" w:line="277" w:lineRule="auto"/>
        <w:rPr>
          <w:sz w:val="20"/>
          <w:szCs w:val="20"/>
          <w:color w:val="auto"/>
        </w:rPr>
      </w:pPr>
      <w:r>
        <w:rPr>
          <w:rFonts w:ascii="Arial" w:cs="Arial" w:eastAsia="Arial" w:hAnsi="Arial"/>
          <w:sz w:val="18"/>
          <w:szCs w:val="18"/>
          <w:color w:val="auto"/>
        </w:rPr>
        <w:t>Our Australian segment gross margin as a percentage of revenues decreased to 50% in 2017 from 52% in 2016. This was primarily driven by reduced take-or-pay revenues on expired contracts compared to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Year Ended</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6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 in thousands)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25,460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11,951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13,509</w:t>
            </w:r>
          </w:p>
        </w:tc>
      </w:tr>
      <w:tr>
        <w:trPr>
          <w:trHeight w:val="284"/>
        </w:trPr>
        <w:tc>
          <w:tcPr>
            <w:tcW w:w="6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 ($ in thousands)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12,775</w:t>
            </w:r>
          </w:p>
        </w:tc>
      </w:tr>
      <w:tr>
        <w:trPr>
          <w:trHeight w:val="284"/>
        </w:trPr>
        <w:tc>
          <w:tcPr>
            <w:tcW w:w="6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7"/>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 as a % of revenues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33"/>
        </w:trPr>
        <w:tc>
          <w:tcPr>
            <w:tcW w:w="6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459"/>
        <w:spacing w:after="0" w:line="277" w:lineRule="auto"/>
        <w:rPr>
          <w:sz w:val="20"/>
          <w:szCs w:val="20"/>
          <w:color w:val="auto"/>
        </w:rPr>
      </w:pPr>
      <w:r>
        <w:rPr>
          <w:rFonts w:ascii="Arial" w:cs="Arial" w:eastAsia="Arial" w:hAnsi="Arial"/>
          <w:sz w:val="18"/>
          <w:szCs w:val="18"/>
          <w:color w:val="auto"/>
        </w:rPr>
        <w:t>Our U.S. segment revenues in 2017 were $13.5 million, or 113%, higher than 2016. The increase was primarily due to greater U.S. drilling activity in the Bakken, Rockies and Texas markets and higher revenues from our offshore business.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firstLine="459"/>
        <w:spacing w:after="0" w:line="308" w:lineRule="auto"/>
        <w:rPr>
          <w:sz w:val="20"/>
          <w:szCs w:val="20"/>
          <w:color w:val="auto"/>
        </w:rPr>
      </w:pPr>
      <w:r>
        <w:rPr>
          <w:rFonts w:ascii="Arial" w:cs="Arial" w:eastAsia="Arial" w:hAnsi="Arial"/>
          <w:sz w:val="17"/>
          <w:szCs w:val="17"/>
          <w:color w:val="auto"/>
        </w:rPr>
        <w:t>Our U.S. cost of sales increased $12.8 million, or 75%, in 2017 compared to 2016. The increase was driven by greater U.S. drilling activity in the Bakken, Rockies and Texas markets, greater activity in the offshore business and costs to move mobile camp assets into two new markets.</w:t>
      </w:r>
    </w:p>
    <w:p>
      <w:pPr>
        <w:spacing w:after="0" w:line="147"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color w:val="auto"/>
        </w:rPr>
        <w:t>Our U.S. segment gross margin as a percentage of revenues increased from (43%) in 2016 to (17%) in 2017, primarily due to increased activity in the Bakken, Rockies and Texas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459"/>
        <w:spacing w:after="0" w:line="276"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fund strategic business acquisitions and pay dividends. Historically, our primary sources of funds have been available cash, cash flow from operations, borrowings under the Amended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liquidity position as of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6"/>
                <w:szCs w:val="16"/>
                <w:color w:val="auto"/>
              </w:rPr>
            </w:pPr>
          </w:p>
        </w:tc>
        <w:tc>
          <w:tcPr>
            <w:tcW w:w="154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December 31, 2017</w:t>
            </w:r>
          </w:p>
        </w:tc>
      </w:tr>
      <w:tr>
        <w:trPr>
          <w:trHeight w:val="256"/>
        </w:trPr>
        <w:tc>
          <w:tcPr>
            <w:tcW w:w="7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Lender commitments (1)</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239,500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275,000</w:t>
            </w:r>
          </w:p>
        </w:tc>
      </w:tr>
      <w:tr>
        <w:trPr>
          <w:trHeight w:val="264"/>
        </w:trPr>
        <w:tc>
          <w:tcPr>
            <w:tcW w:w="7340" w:type="dxa"/>
            <w:vAlign w:val="bottom"/>
          </w:tcPr>
          <w:p>
            <w:pPr>
              <w:ind w:left="200"/>
              <w:spacing w:after="0"/>
              <w:rPr>
                <w:sz w:val="20"/>
                <w:szCs w:val="20"/>
                <w:color w:val="auto"/>
              </w:rPr>
            </w:pPr>
            <w:r>
              <w:rPr>
                <w:rFonts w:ascii="Arial" w:cs="Arial" w:eastAsia="Arial" w:hAnsi="Arial"/>
                <w:sz w:val="14"/>
                <w:szCs w:val="14"/>
                <w:color w:val="auto"/>
              </w:rPr>
              <w:t>Reductions in availability (2)</w:t>
            </w: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(14,469)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(165,845)</w:t>
            </w:r>
          </w:p>
        </w:tc>
      </w:tr>
      <w:tr>
        <w:trPr>
          <w:trHeight w:val="276"/>
        </w:trPr>
        <w:tc>
          <w:tcPr>
            <w:tcW w:w="7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against revolving credit capacity</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Outstanding letters of credit</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w:t>
            </w:r>
          </w:p>
        </w:tc>
      </w:tr>
      <w:tr>
        <w:trPr>
          <w:trHeight w:val="256"/>
        </w:trPr>
        <w:tc>
          <w:tcPr>
            <w:tcW w:w="7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Unused availability</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90,320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107,382</w:t>
            </w:r>
          </w:p>
        </w:tc>
      </w:tr>
      <w:tr>
        <w:trPr>
          <w:trHeight w:val="264"/>
        </w:trPr>
        <w:tc>
          <w:tcPr>
            <w:tcW w:w="7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12,372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32,647</w:t>
            </w:r>
          </w:p>
        </w:tc>
      </w:tr>
      <w:tr>
        <w:trPr>
          <w:trHeight w:val="243"/>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available liquidity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140,029</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82" w:lineRule="exact"/>
        <w:rPr>
          <w:sz w:val="20"/>
          <w:szCs w:val="20"/>
          <w:color w:val="auto"/>
        </w:rPr>
      </w:pPr>
    </w:p>
    <w:p>
      <w:pPr>
        <w:ind w:left="340" w:right="200" w:hanging="332"/>
        <w:spacing w:after="0" w:line="258"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A$0.7 million and A$0.8 million under this facility outstanding as of December 31, 2018 and 2017, respectively.</w:t>
      </w:r>
    </w:p>
    <w:p>
      <w:pPr>
        <w:spacing w:after="0" w:line="1" w:lineRule="exact"/>
        <w:rPr>
          <w:rFonts w:ascii="Arial" w:cs="Arial" w:eastAsia="Arial" w:hAnsi="Arial"/>
          <w:sz w:val="18"/>
          <w:szCs w:val="18"/>
          <w:color w:val="auto"/>
        </w:rPr>
      </w:pPr>
    </w:p>
    <w:p>
      <w:pPr>
        <w:ind w:left="340" w:right="300" w:hanging="332"/>
        <w:spacing w:after="0" w:line="25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December 31, 2018, $14.5 million of our borrowing capacity under the Amended Credit Agreement could not be utilized in order to maintain compliance with the maximum leverage ratio financial covenant in the Amended Credit Agreement. As of December 31, 2017, $165.8 million of our borrowing capacity under the Credit Agreement could not be utilized in order to maintain compliance with the maximum leverage ratio financial covenant in the Credit Agreement.</w:t>
      </w:r>
    </w:p>
    <w:p>
      <w:pPr>
        <w:spacing w:after="0" w:line="190" w:lineRule="exact"/>
        <w:rPr>
          <w:sz w:val="20"/>
          <w:szCs w:val="20"/>
          <w:color w:val="auto"/>
        </w:rPr>
      </w:pPr>
    </w:p>
    <w:p>
      <w:pPr>
        <w:ind w:right="20" w:firstLine="459"/>
        <w:spacing w:after="0" w:line="272" w:lineRule="auto"/>
        <w:rPr>
          <w:sz w:val="20"/>
          <w:szCs w:val="20"/>
          <w:color w:val="auto"/>
        </w:rPr>
      </w:pPr>
      <w:r>
        <w:rPr>
          <w:rFonts w:ascii="Arial" w:cs="Arial" w:eastAsia="Arial" w:hAnsi="Arial"/>
          <w:sz w:val="17"/>
          <w:szCs w:val="17"/>
          <w:color w:val="auto"/>
        </w:rPr>
        <w:t>Cash totaling $54.4 million was provided by operations during 2018 compared to $56.8 million provided by operations during 2017 and $62.2 million during 2016. The decrease in operating cash flow in 2018 compared to 2017 was primarily due to decreases in cash flow from working capital changes. The decrease in operating cash flow in 2017 compared to 2016 was primarily due to lower revenue resulting from reduced rates and occupancy levels in lodges and villages. Net cash used by changes in operating assets and liabilities was $1.6 million during 2018 compare to net cash provided by changes in operating assets and liabilities of $1.2 million during 2017 and net cash used in changes in operating assets and liabilities of $13.5 million during 2016. The decrease in 2018 compared to 2017 was primarily the result of reduced accounts payable, offset by reduced accounts receivable. The increase in 2017 compared to 2016 was primarily the result of increased accounts payable, offset by increased accounts receivable.</w:t>
      </w:r>
    </w:p>
    <w:p>
      <w:pPr>
        <w:spacing w:after="0" w:line="178" w:lineRule="exact"/>
        <w:rPr>
          <w:sz w:val="20"/>
          <w:szCs w:val="20"/>
          <w:color w:val="auto"/>
        </w:rPr>
      </w:pPr>
    </w:p>
    <w:p>
      <w:pPr>
        <w:ind w:right="80" w:firstLine="459"/>
        <w:spacing w:after="0" w:line="276" w:lineRule="auto"/>
        <w:rPr>
          <w:sz w:val="20"/>
          <w:szCs w:val="20"/>
          <w:color w:val="auto"/>
        </w:rPr>
      </w:pPr>
      <w:r>
        <w:rPr>
          <w:rFonts w:ascii="Arial" w:cs="Arial" w:eastAsia="Arial" w:hAnsi="Arial"/>
          <w:sz w:val="17"/>
          <w:szCs w:val="17"/>
          <w:color w:val="auto"/>
        </w:rPr>
        <w:t>Cash was used in investing activities during 2018, 2017 and 2016 in the amounts of $181.9 million, $8.7 million and $12.7 million, respectively. The increase in cash used in investing activities in 2018 compared to 2017 was primarily due to $147.5 million to fund the Noralta Acquisition and $23.8 million to fund the acquisition of the Acadian Acres Lodge. Capital expenditures totaled $17.1 million, $11.2 million and $19.8 million, respectively. Capital expenditures in 2018 consisted primarily of routine maintenance capital expenditures. Capital expenditures in 2017 and 2016 consisted primarily of routine maintenance capital expenditures as well as investments in an enterprise information system.</w:t>
      </w:r>
    </w:p>
    <w:p>
      <w:pPr>
        <w:spacing w:after="0" w:line="173" w:lineRule="exact"/>
        <w:rPr>
          <w:sz w:val="20"/>
          <w:szCs w:val="20"/>
          <w:color w:val="auto"/>
        </w:rPr>
      </w:pPr>
    </w:p>
    <w:p>
      <w:pPr>
        <w:ind w:right="160" w:firstLine="459"/>
        <w:spacing w:after="0" w:line="297" w:lineRule="auto"/>
        <w:rPr>
          <w:sz w:val="20"/>
          <w:szCs w:val="20"/>
          <w:color w:val="auto"/>
        </w:rPr>
      </w:pPr>
      <w:r>
        <w:rPr>
          <w:rFonts w:ascii="Arial" w:cs="Arial" w:eastAsia="Arial" w:hAnsi="Arial"/>
          <w:sz w:val="16"/>
          <w:szCs w:val="16"/>
          <w:color w:val="auto"/>
        </w:rPr>
        <w:t>We expect our capital expenditures for 2019, exclusive of any business acquisitions, to be in the range of $40.0 million to $45.0 million, which excludes any unannounced and uncommitted projects, the spending for which is contingent on obtaining customer contracts. Whether planned expenditures will actually be spent in 2019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pursue depending on the economic environment in our industry and the availability of transactions at prices deemed to be attractive to us.</w:t>
      </w:r>
    </w:p>
    <w:p>
      <w:pPr>
        <w:spacing w:after="0" w:line="225" w:lineRule="exact"/>
        <w:rPr>
          <w:sz w:val="20"/>
          <w:szCs w:val="20"/>
          <w:color w:val="auto"/>
        </w:rPr>
      </w:pPr>
    </w:p>
    <w:p>
      <w:pPr>
        <w:ind w:right="80" w:firstLine="459"/>
        <w:spacing w:after="0" w:line="297" w:lineRule="auto"/>
        <w:rPr>
          <w:sz w:val="20"/>
          <w:szCs w:val="20"/>
          <w:color w:val="auto"/>
        </w:rPr>
      </w:pPr>
      <w:r>
        <w:rPr>
          <w:rFonts w:ascii="Arial" w:cs="Arial" w:eastAsia="Arial" w:hAnsi="Arial"/>
          <w:sz w:val="16"/>
          <w:szCs w:val="16"/>
          <w:color w:val="auto"/>
        </w:rPr>
        <w:t>The table below delineates historical capital expenditures split between development spending on our lodges and villages, land banking spending, mobile camp spending and other capital expenditures. We classify capital expenditures for rooms and central facilities at our lodges and villages as development capital expenditures. Land banking spending consists of land acquisition and initial permitting or zoning costs. Other capital expenditures in the table below relate to routine capital spending for support equipment, upgrades to infrastructure at our lodge and village properties and spending related to our manufacturing facilities, among other items. We have also classified the expenditures between expansionary and maintenance spending.</w:t>
      </w:r>
    </w:p>
    <w:p>
      <w:pPr>
        <w:spacing w:after="0" w:line="158" w:lineRule="exact"/>
        <w:rPr>
          <w:sz w:val="20"/>
          <w:szCs w:val="20"/>
          <w:color w:val="auto"/>
        </w:rPr>
      </w:pPr>
    </w:p>
    <w:p>
      <w:pPr>
        <w:ind w:right="100" w:firstLine="459"/>
        <w:spacing w:after="0" w:line="277" w:lineRule="auto"/>
        <w:rPr>
          <w:sz w:val="20"/>
          <w:szCs w:val="20"/>
          <w:color w:val="auto"/>
        </w:rPr>
      </w:pPr>
      <w:r>
        <w:rPr>
          <w:rFonts w:ascii="Arial" w:cs="Arial" w:eastAsia="Arial" w:hAnsi="Arial"/>
          <w:sz w:val="18"/>
          <w:szCs w:val="18"/>
          <w:color w:val="auto"/>
        </w:rPr>
        <w:t>Based on management’s judgment of capital spending classifications, we believe the following table represents the components of capital expenditures for the years ended December 31, 2018, 2017 and 2016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1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1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8"/>
        </w:trPr>
        <w:tc>
          <w:tcPr>
            <w:tcW w:w="12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Expansion</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Maint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Expansion</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Maint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Expansion</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Maint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r>
      <w:tr>
        <w:trPr>
          <w:trHeight w:val="243"/>
        </w:trPr>
        <w:tc>
          <w:tcPr>
            <w:tcW w:w="1260" w:type="dxa"/>
            <w:vAlign w:val="bottom"/>
          </w:tcPr>
          <w:p>
            <w:pPr>
              <w:ind w:left="40"/>
              <w:spacing w:after="0"/>
              <w:rPr>
                <w:sz w:val="20"/>
                <w:szCs w:val="20"/>
                <w:color w:val="auto"/>
              </w:rPr>
            </w:pPr>
            <w:r>
              <w:rPr>
                <w:rFonts w:ascii="Arial" w:cs="Arial" w:eastAsia="Arial" w:hAnsi="Arial"/>
                <w:sz w:val="16"/>
                <w:szCs w:val="16"/>
                <w:color w:val="auto"/>
              </w:rPr>
              <w:t>Lodge/village</w:t>
            </w:r>
          </w:p>
        </w:tc>
        <w:tc>
          <w:tcPr>
            <w:tcW w:w="1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7"/>
        </w:trPr>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Mobile camp</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1260" w:type="dxa"/>
            <w:vAlign w:val="bottom"/>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12.5</w:t>
            </w:r>
          </w:p>
        </w:tc>
      </w:tr>
      <w:tr>
        <w:trPr>
          <w:trHeight w:val="27"/>
        </w:trPr>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1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r>
      <w:tr>
        <w:trPr>
          <w:trHeight w:val="20"/>
        </w:trPr>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Lodge and village spending in 2018, 2017 and 2016 was primarily related to routine maintenance projects at our major properties.</w:t>
      </w:r>
    </w:p>
    <w:p>
      <w:pPr>
        <w:spacing w:after="0" w:line="225" w:lineRule="exact"/>
        <w:rPr>
          <w:sz w:val="20"/>
          <w:szCs w:val="20"/>
          <w:color w:val="auto"/>
        </w:rPr>
      </w:pPr>
    </w:p>
    <w:p>
      <w:pPr>
        <w:ind w:right="40" w:firstLine="459"/>
        <w:spacing w:after="0" w:line="312" w:lineRule="auto"/>
        <w:rPr>
          <w:sz w:val="20"/>
          <w:szCs w:val="20"/>
          <w:color w:val="auto"/>
        </w:rPr>
      </w:pPr>
      <w:r>
        <w:rPr>
          <w:rFonts w:ascii="Arial" w:cs="Arial" w:eastAsia="Arial" w:hAnsi="Arial"/>
          <w:sz w:val="16"/>
          <w:szCs w:val="16"/>
          <w:color w:val="auto"/>
        </w:rPr>
        <w:t>Other maintenance spending in 2018 was primarily related to miscellaneous equipment and supplies to support the day-to-day operations at our accommodation facilities. Other expansion spending in 2018 was primarily related to the construction of a food production facility in Canada and information technology infrastructure to support our business. Other spending in 2017 and 2016 was primarily related to investments in an enterprise information system.</w:t>
      </w:r>
    </w:p>
    <w:p>
      <w:pPr>
        <w:spacing w:after="0" w:line="147" w:lineRule="exact"/>
        <w:rPr>
          <w:sz w:val="20"/>
          <w:szCs w:val="20"/>
          <w:color w:val="auto"/>
        </w:rPr>
      </w:pPr>
    </w:p>
    <w:p>
      <w:pPr>
        <w:ind w:right="20" w:firstLine="459"/>
        <w:spacing w:after="0" w:line="273" w:lineRule="auto"/>
        <w:rPr>
          <w:sz w:val="20"/>
          <w:szCs w:val="20"/>
          <w:color w:val="auto"/>
        </w:rPr>
      </w:pPr>
      <w:r>
        <w:rPr>
          <w:rFonts w:ascii="Arial" w:cs="Arial" w:eastAsia="Arial" w:hAnsi="Arial"/>
          <w:sz w:val="17"/>
          <w:szCs w:val="17"/>
          <w:color w:val="auto"/>
        </w:rPr>
        <w:t>Net cash of $109.5 million was provided by financing activities during 2018 primarily due to net borrowings under our revolving credit facilities of $141.0 million to primarily fund the Noralta Acquisition, partially offset by repayments of term loan borrowings of $26.6 million and debt issuance costs of $4.0 million. Net cash of $18.1 million was used in financing activities during 2017, primarily due to net proceeds from our February 2017 equity offering of $64.7 million, offset by net repayments under our revolving credit facilities of $39.9 million, repayments of term loan borrowings of $40.8 million and debt issuance costs of $1.8 million. Net cash of $58.3 million was used in financing activities during 2016, primarily due to repayments of term loan borrowings of $41.0 million, net repayments of revolver borrowings of $15.2 million and debt issuance costs of $2.1 million.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changes in debt outstanding during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Canada</w:t>
            </w: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Australia</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U.S.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297,623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297,623</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Borrowings under revolving credit facilities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322,754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35,558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358,312</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borrowings under revolving credit facilities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(16,375)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(217,339)</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Repayments of term loans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5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(26,609)</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(32,811)</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362,258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16,918</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379,176</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59"/>
        <w:spacing w:after="0" w:line="279" w:lineRule="auto"/>
        <w:rPr>
          <w:sz w:val="20"/>
          <w:szCs w:val="20"/>
          <w:color w:val="auto"/>
        </w:rPr>
      </w:pPr>
      <w:r>
        <w:rPr>
          <w:rFonts w:ascii="Arial" w:cs="Arial" w:eastAsia="Arial" w:hAnsi="Arial"/>
          <w:sz w:val="17"/>
          <w:szCs w:val="17"/>
          <w:color w:val="auto"/>
        </w:rPr>
        <w:t>We funded the cash portion of the consideration for the Noralta Acquisition with cash on hand and borrowings under the Amended Credit Agreement. Our Amended Credit Agreement allows us to include in our leverage ratio calculation the trailing twelve months of an acquired company’s EBITDA on a pro forma combined basis. By including Noralta’s EBITDA in our leverage ratio calculation, our borrowing capacity under the Amended Credit Agreement increased, thereby allowing us to borrow the necessary funds to pay the cash consideration portion of the acquisition.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59"/>
        <w:spacing w:after="0" w:line="269" w:lineRule="auto"/>
        <w:rPr>
          <w:sz w:val="20"/>
          <w:szCs w:val="20"/>
          <w:color w:val="auto"/>
        </w:rPr>
      </w:pPr>
      <w:r>
        <w:rPr>
          <w:rFonts w:ascii="Arial" w:cs="Arial" w:eastAsia="Arial" w:hAnsi="Arial"/>
          <w:sz w:val="17"/>
          <w:szCs w:val="17"/>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the underlying investment decision is delayed, the resulting impact could result in an impairment of the related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2, 2018, the Amended Credit Agreement became effective, which:</w:t>
      </w:r>
    </w:p>
    <w:p>
      <w:pPr>
        <w:spacing w:after="0" w:line="225" w:lineRule="exact"/>
        <w:rPr>
          <w:sz w:val="20"/>
          <w:szCs w:val="20"/>
          <w:color w:val="auto"/>
        </w:rPr>
      </w:pPr>
    </w:p>
    <w:p>
      <w:pPr>
        <w:ind w:left="820" w:right="80" w:hanging="326"/>
        <w:spacing w:after="0" w:line="297"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provided for the reduction by $35.5 million of the aggregate revolving loan commitments under the Amended Credit Agreement, to a maximum principal amount of $239.5 million, allocated as follows: (1) a $20.0 million senior secured revolving credit facility in favor of certain of our U.S. subsidiaries, as borrowers; (2) a $159.5 million senior secured revolving credit facility, after combining the commitments of the previously existing two tranches of the Canadian revolving credit facility into one tranche, in favor of Civeo and certain of our Canadian subsidiaries, as borrowers; and (3) a $60.0 million senior secured revolving credit facility in favor of one of our Australian subsidiaries, as borrower;</w:t>
      </w:r>
    </w:p>
    <w:p>
      <w:pPr>
        <w:spacing w:after="0" w:line="158" w:lineRule="exact"/>
        <w:rPr>
          <w:rFonts w:ascii="Arial" w:cs="Arial" w:eastAsia="Arial" w:hAnsi="Arial"/>
          <w:sz w:val="16"/>
          <w:szCs w:val="16"/>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extended the maturity date by 18 months, from May 28, 2019 to November 30, 2020;</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347"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color w:val="auto"/>
        </w:rPr>
        <w:t>If a qualified offering of indebtedness with gross proceeds in excess of $150 million has been consummated, a Maximum Leverage Ratio of 4:00 to 1.00 and, if such qualified offering has not been consummated, a maximum leverage ratio not to exceed the ratios set forth in the following table:</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10000" w:type="dxa"/>
            <w:vAlign w:val="bottom"/>
            <w:gridSpan w:val="3"/>
          </w:tcPr>
          <w:p>
            <w:pPr>
              <w:ind w:left="4520"/>
              <w:spacing w:after="0" w:line="176" w:lineRule="exact"/>
              <w:rPr>
                <w:sz w:val="20"/>
                <w:szCs w:val="20"/>
                <w:color w:val="auto"/>
              </w:rPr>
            </w:pPr>
            <w:r>
              <w:rPr>
                <w:rFonts w:ascii="Arial" w:cs="Arial" w:eastAsia="Arial" w:hAnsi="Arial"/>
                <w:sz w:val="16"/>
                <w:szCs w:val="16"/>
                <w:b w:val="1"/>
                <w:bCs w:val="1"/>
                <w:color w:val="auto"/>
              </w:rPr>
              <w:t>Period Ended</w:t>
            </w: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52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45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10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December 31, 2018</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3.75 : 1.00</w:t>
            </w:r>
          </w:p>
        </w:tc>
      </w:tr>
      <w:tr>
        <w:trPr>
          <w:trHeight w:val="243"/>
        </w:trPr>
        <w:tc>
          <w:tcPr>
            <w:tcW w:w="10000" w:type="dxa"/>
            <w:vAlign w:val="bottom"/>
            <w:gridSpan w:val="3"/>
          </w:tcPr>
          <w:p>
            <w:pPr>
              <w:ind w:left="20"/>
              <w:spacing w:after="0"/>
              <w:rPr>
                <w:sz w:val="20"/>
                <w:szCs w:val="20"/>
                <w:color w:val="auto"/>
              </w:rPr>
            </w:pPr>
            <w:r>
              <w:rPr>
                <w:rFonts w:ascii="Arial" w:cs="Arial" w:eastAsia="Arial" w:hAnsi="Arial"/>
                <w:sz w:val="16"/>
                <w:szCs w:val="16"/>
                <w:color w:val="auto"/>
              </w:rPr>
              <w:t>March 31, 2019 &amp; thereafter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3.50 : 1.00</w:t>
            </w:r>
          </w:p>
        </w:tc>
      </w:tr>
    </w:tbl>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and</w:t>
      </w:r>
    </w:p>
    <w:p>
      <w:pPr>
        <w:spacing w:after="0" w:line="225" w:lineRule="exact"/>
        <w:rPr>
          <w:sz w:val="20"/>
          <w:szCs w:val="20"/>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26, 2018, we further amended the Amended Credit Agreement, which, among other things:</w:t>
      </w:r>
    </w:p>
    <w:p>
      <w:pPr>
        <w:spacing w:after="0" w:line="225" w:lineRule="exact"/>
        <w:rPr>
          <w:sz w:val="20"/>
          <w:szCs w:val="20"/>
          <w:color w:val="auto"/>
        </w:rPr>
      </w:pPr>
    </w:p>
    <w:p>
      <w:pPr>
        <w:ind w:left="820" w:hanging="326"/>
        <w:spacing w:after="0"/>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increased amortization on the term loan facility from 10% per annum to 12.5% per annum beginning at December 31, 2018 through maturity;</w:t>
      </w:r>
    </w:p>
    <w:p>
      <w:pPr>
        <w:spacing w:after="0" w:line="236" w:lineRule="exact"/>
        <w:rPr>
          <w:rFonts w:ascii="Arial" w:cs="Arial" w:eastAsia="Arial" w:hAnsi="Arial"/>
          <w:sz w:val="17"/>
          <w:szCs w:val="17"/>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25" w:lineRule="exact"/>
        <w:rPr>
          <w:rFonts w:ascii="Arial" w:cs="Arial" w:eastAsia="Arial" w:hAnsi="Arial"/>
          <w:sz w:val="18"/>
          <w:szCs w:val="18"/>
          <w:color w:val="auto"/>
        </w:rPr>
      </w:pPr>
    </w:p>
    <w:p>
      <w:pPr>
        <w:ind w:left="1460" w:right="40" w:hanging="318"/>
        <w:spacing w:after="0" w:line="277" w:lineRule="auto"/>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a qualified offering of indebtedness with gross proceeds in excess of $150 million has been consummated, a Maximum Leverage Ratio not to exceed the ratios set forth in the following table: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980" w:type="dxa"/>
            <w:vAlign w:val="bottom"/>
            <w:gridSpan w:val="3"/>
          </w:tcPr>
          <w:p>
            <w:pPr>
              <w:ind w:left="4500"/>
              <w:spacing w:after="0" w:line="176" w:lineRule="exact"/>
              <w:rPr>
                <w:sz w:val="20"/>
                <w:szCs w:val="20"/>
                <w:color w:val="auto"/>
              </w:rPr>
            </w:pPr>
            <w:r>
              <w:rPr>
                <w:rFonts w:ascii="Arial" w:cs="Arial" w:eastAsia="Arial" w:hAnsi="Arial"/>
                <w:sz w:val="16"/>
                <w:szCs w:val="16"/>
                <w:b w:val="1"/>
                <w:bCs w:val="1"/>
                <w:color w:val="auto"/>
              </w:rPr>
              <w:t>Period Ended</w:t>
            </w: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50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45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9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December 31, 2018</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4.50 : 1:00</w:t>
            </w:r>
          </w:p>
        </w:tc>
      </w:tr>
      <w:tr>
        <w:trPr>
          <w:trHeight w:val="243"/>
        </w:trPr>
        <w:tc>
          <w:tcPr>
            <w:tcW w:w="9980" w:type="dxa"/>
            <w:vAlign w:val="bottom"/>
            <w:gridSpan w:val="3"/>
          </w:tcPr>
          <w:p>
            <w:pPr>
              <w:ind w:left="20"/>
              <w:spacing w:after="0"/>
              <w:rPr>
                <w:sz w:val="20"/>
                <w:szCs w:val="20"/>
                <w:color w:val="auto"/>
              </w:rPr>
            </w:pPr>
            <w:r>
              <w:rPr>
                <w:rFonts w:ascii="Arial" w:cs="Arial" w:eastAsia="Arial" w:hAnsi="Arial"/>
                <w:sz w:val="16"/>
                <w:szCs w:val="16"/>
                <w:color w:val="auto"/>
              </w:rPr>
              <w:t>March 31, 2019</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4.75 : 1:00</w:t>
            </w:r>
          </w:p>
        </w:tc>
      </w:tr>
      <w:tr>
        <w:trPr>
          <w:trHeight w:val="27"/>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June 30, 2019</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4.50 : 1:00</w:t>
            </w:r>
          </w:p>
        </w:tc>
      </w:tr>
      <w:tr>
        <w:trPr>
          <w:trHeight w:val="243"/>
        </w:trPr>
        <w:tc>
          <w:tcPr>
            <w:tcW w:w="9980" w:type="dxa"/>
            <w:vAlign w:val="bottom"/>
            <w:gridSpan w:val="3"/>
          </w:tcPr>
          <w:p>
            <w:pPr>
              <w:ind w:left="20"/>
              <w:spacing w:after="0"/>
              <w:rPr>
                <w:sz w:val="20"/>
                <w:szCs w:val="20"/>
                <w:color w:val="auto"/>
              </w:rPr>
            </w:pPr>
            <w:r>
              <w:rPr>
                <w:rFonts w:ascii="Arial" w:cs="Arial" w:eastAsia="Arial" w:hAnsi="Arial"/>
                <w:sz w:val="16"/>
                <w:szCs w:val="16"/>
                <w:color w:val="auto"/>
              </w:rPr>
              <w:t>September 30, 2019 &amp; thereafter</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4.00 : 1:00</w:t>
            </w:r>
          </w:p>
        </w:tc>
      </w:tr>
    </w:tbl>
    <w:p>
      <w:pPr>
        <w:spacing w:after="0" w:line="229" w:lineRule="exact"/>
        <w:rPr>
          <w:sz w:val="20"/>
          <w:szCs w:val="20"/>
          <w:color w:val="auto"/>
        </w:rPr>
      </w:pPr>
    </w:p>
    <w:p>
      <w:pPr>
        <w:ind w:left="1300" w:hanging="320"/>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and, if such qualified offering has not been consummated, a maximum leverage ratio not to exceed the ratios set forth in the following table:</w:t>
      </w:r>
    </w:p>
    <w:p>
      <w:pPr>
        <w:spacing w:after="0" w:line="200" w:lineRule="exact"/>
        <w:rPr>
          <w:sz w:val="20"/>
          <w:szCs w:val="20"/>
          <w:color w:val="auto"/>
        </w:rPr>
      </w:pP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980" w:type="dxa"/>
            <w:vAlign w:val="bottom"/>
            <w:gridSpan w:val="3"/>
          </w:tcPr>
          <w:p>
            <w:pPr>
              <w:ind w:left="4500"/>
              <w:spacing w:after="0" w:line="176" w:lineRule="exact"/>
              <w:rPr>
                <w:sz w:val="20"/>
                <w:szCs w:val="20"/>
                <w:color w:val="auto"/>
              </w:rPr>
            </w:pPr>
            <w:r>
              <w:rPr>
                <w:rFonts w:ascii="Arial" w:cs="Arial" w:eastAsia="Arial" w:hAnsi="Arial"/>
                <w:sz w:val="16"/>
                <w:szCs w:val="16"/>
                <w:b w:val="1"/>
                <w:bCs w:val="1"/>
                <w:color w:val="auto"/>
              </w:rPr>
              <w:t>Period Ended</w:t>
            </w: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50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45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9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December 31, 2018</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4.50 : 1:00</w:t>
            </w:r>
          </w:p>
        </w:tc>
      </w:tr>
      <w:tr>
        <w:trPr>
          <w:trHeight w:val="243"/>
        </w:trPr>
        <w:tc>
          <w:tcPr>
            <w:tcW w:w="9980" w:type="dxa"/>
            <w:vAlign w:val="bottom"/>
            <w:gridSpan w:val="3"/>
          </w:tcPr>
          <w:p>
            <w:pPr>
              <w:ind w:left="20"/>
              <w:spacing w:after="0"/>
              <w:rPr>
                <w:sz w:val="20"/>
                <w:szCs w:val="20"/>
                <w:color w:val="auto"/>
              </w:rPr>
            </w:pPr>
            <w:r>
              <w:rPr>
                <w:rFonts w:ascii="Arial" w:cs="Arial" w:eastAsia="Arial" w:hAnsi="Arial"/>
                <w:sz w:val="16"/>
                <w:szCs w:val="16"/>
                <w:color w:val="auto"/>
              </w:rPr>
              <w:t>March 31, 2019</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4.75 : 1:00</w:t>
            </w:r>
          </w:p>
        </w:tc>
      </w:tr>
      <w:tr>
        <w:trPr>
          <w:trHeight w:val="27"/>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June 30, 2019</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4.50 : 1:00</w:t>
            </w:r>
          </w:p>
        </w:tc>
      </w:tr>
      <w:tr>
        <w:trPr>
          <w:trHeight w:val="243"/>
        </w:trPr>
        <w:tc>
          <w:tcPr>
            <w:tcW w:w="9980" w:type="dxa"/>
            <w:vAlign w:val="bottom"/>
            <w:gridSpan w:val="3"/>
          </w:tcPr>
          <w:p>
            <w:pPr>
              <w:ind w:left="20"/>
              <w:spacing w:after="0"/>
              <w:rPr>
                <w:sz w:val="20"/>
                <w:szCs w:val="20"/>
                <w:color w:val="auto"/>
              </w:rPr>
            </w:pPr>
            <w:r>
              <w:rPr>
                <w:rFonts w:ascii="Arial" w:cs="Arial" w:eastAsia="Arial" w:hAnsi="Arial"/>
                <w:sz w:val="16"/>
                <w:szCs w:val="16"/>
                <w:color w:val="auto"/>
              </w:rPr>
              <w:t>September 30, 2019</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4.00 : 1:00</w:t>
            </w:r>
          </w:p>
        </w:tc>
      </w:tr>
      <w:tr>
        <w:trPr>
          <w:trHeight w:val="27"/>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9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December 31, 2019 &amp; thereafter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 : 1:00</w:t>
            </w:r>
          </w:p>
        </w:tc>
      </w:tr>
      <w:tr>
        <w:trPr>
          <w:trHeight w:val="27"/>
        </w:trPr>
        <w:tc>
          <w:tcPr>
            <w:tcW w:w="4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880" w:hanging="89"/>
        <w:spacing w:after="0"/>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right="20" w:firstLine="459"/>
        <w:spacing w:after="0" w:line="273" w:lineRule="auto"/>
        <w:rPr>
          <w:sz w:val="20"/>
          <w:szCs w:val="20"/>
          <w:color w:val="auto"/>
        </w:rPr>
      </w:pPr>
      <w:r>
        <w:rPr>
          <w:rFonts w:ascii="Arial" w:cs="Arial" w:eastAsia="Arial" w:hAnsi="Arial"/>
          <w:sz w:val="17"/>
          <w:szCs w:val="17"/>
          <w:color w:val="auto"/>
        </w:rPr>
        <w:t>U.S. dollar amounts outstanding under the facilities provided by the Amended Credit Agreement bear interest at a variable rate equal to LIBOR plus a margin of 2.25% to 4.00%, or a Canadian Prime rate plus 1.25% to 3.00%, in each case based on a ratio of our total leverage to EBITDA (as defined in the Amended Credit Agreement). Canadian dollar amounts outstanding bear interest at a variable rate equal to a B/A Discount Rate based on the Canadian Dollar Offered Rate plus a margin of 2.25% to 4.00%, or a Canadian Prime rate plus a margin of 1.25% to 3.00%, in each case based on a ratio of our consolidated total leverage to EBITDA. Australian dollar amounts outstanding under the Amended Credit Agreement bear interest at a variable rate equal to the Bank Bill Swap Bid Rate plus a margin of 2.25% to 4.00%, based on a ratio of our consolidated total leverage to EBITDA.</w:t>
      </w:r>
    </w:p>
    <w:p>
      <w:pPr>
        <w:spacing w:after="0" w:line="178" w:lineRule="exact"/>
        <w:rPr>
          <w:sz w:val="20"/>
          <w:szCs w:val="20"/>
          <w:color w:val="auto"/>
        </w:rPr>
      </w:pPr>
    </w:p>
    <w:p>
      <w:pPr>
        <w:ind w:right="80" w:firstLine="459"/>
        <w:spacing w:after="0" w:line="270" w:lineRule="auto"/>
        <w:rPr>
          <w:sz w:val="20"/>
          <w:szCs w:val="20"/>
          <w:color w:val="auto"/>
        </w:rPr>
      </w:pPr>
      <w:r>
        <w:rPr>
          <w:rFonts w:ascii="Arial" w:cs="Arial" w:eastAsia="Arial" w:hAnsi="Arial"/>
          <w:sz w:val="17"/>
          <w:szCs w:val="17"/>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4.50 to 1.0 (as of December 31, 2018).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Amended Credit Agreement. EBITDA and consolidated interest, as defined, exclude goodwill and asset impairments, debt discount amortization and other non-cash charges. We were in compliance with our covenants as of December 31, 2018.</w:t>
      </w:r>
    </w:p>
    <w:p>
      <w:pPr>
        <w:spacing w:after="0" w:line="182" w:lineRule="exact"/>
        <w:rPr>
          <w:sz w:val="20"/>
          <w:szCs w:val="20"/>
          <w:color w:val="auto"/>
        </w:rPr>
      </w:pPr>
    </w:p>
    <w:p>
      <w:pPr>
        <w:jc w:val="both"/>
        <w:ind w:right="440" w:firstLine="459"/>
        <w:spacing w:after="0" w:line="259"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December 31, 2018, we had nine lenders that are parties to the Amended Credit Agreement, with total commitments (including both revolving commitments and term commitments) ranging from $24.9 million to $110.6 million.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92" w:lineRule="exact"/>
        <w:rPr>
          <w:sz w:val="20"/>
          <w:szCs w:val="20"/>
          <w:color w:val="auto"/>
        </w:rPr>
      </w:pPr>
    </w:p>
    <w:p>
      <w:pPr>
        <w:ind w:right="80" w:firstLine="459"/>
        <w:spacing w:after="0" w:line="273" w:lineRule="auto"/>
        <w:rPr>
          <w:sz w:val="20"/>
          <w:szCs w:val="20"/>
          <w:color w:val="auto"/>
        </w:rPr>
      </w:pPr>
      <w:r>
        <w:rPr>
          <w:rFonts w:ascii="Arial" w:cs="Arial" w:eastAsia="Arial" w:hAnsi="Arial"/>
          <w:sz w:val="17"/>
          <w:szCs w:val="17"/>
          <w:color w:val="auto"/>
        </w:rPr>
        <w:t>The preferred shares we issued in the Noralta Acquisition are entitled to receive a 2% annual dividend on the liquidation preference (initially $10,000 per share), subject to increase to up to 3% in certain circumstances, paid quarterly in cash or, at our option, by increasing the preferred shares’ liquidation preference, or any combination thereof. Quarterly dividends were paid in-kind on June 30, September 30 and December 31, 2018, thereby increasing the liquidation preference to $10,150 per share as of December 31, 2018. We currently expect to pay dividends on the preferred shares for the foreseeable future through an increase in liquidation preference rather than cash. For further information, see Note 13 – Preferred Shares to the notes to the consolidated financial statements included in Item 8 of this annual report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revenues and results of operations have not been materially impacted by inflation in the past three fiscal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2018, we had no off-balance sheet arrangements as defined in Item 303(a)(4)(ii) of Regulation S-K.</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25" w:right="2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color w:val="auto"/>
        </w:rPr>
        <w:t>The following summarizes our contractual obligations at December 31, 2018, and the effect such obligations are expected to have on our liquidity and cash flow over the next five years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More</w:t>
            </w:r>
          </w:p>
        </w:tc>
      </w:tr>
      <w:tr>
        <w:trPr>
          <w:trHeight w:val="203"/>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 1</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w w:val="96"/>
              </w:rPr>
              <w:t>Than 5</w:t>
            </w:r>
          </w:p>
        </w:tc>
      </w:tr>
      <w:tr>
        <w:trPr>
          <w:trHeight w:val="210"/>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Year</w:t>
            </w: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1 – 3 Years</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3 – 5 Years</w:t>
            </w:r>
          </w:p>
        </w:tc>
        <w:tc>
          <w:tcPr>
            <w:tcW w:w="300" w:type="dxa"/>
            <w:vAlign w:val="bottom"/>
          </w:tcPr>
          <w:p>
            <w:pPr>
              <w:spacing w:after="0"/>
              <w:rPr>
                <w:sz w:val="18"/>
                <w:szCs w:val="18"/>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w w:val="87"/>
              </w:rPr>
              <w:t>Years</w:t>
            </w:r>
          </w:p>
        </w:tc>
      </w:tr>
      <w:tr>
        <w:trPr>
          <w:trHeight w:val="33"/>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379,176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345,447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Interest payments</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37,857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20,593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17,264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Non-cancelable operating lease obligations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25,698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5,384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8,953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6,525</w:t>
            </w:r>
          </w:p>
        </w:tc>
      </w:tr>
      <w:tr>
        <w:trPr>
          <w:trHeight w:val="33"/>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 retirement obligations – expected cash</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95,759</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rPr>
              <w:t>Total contractual cash obligations</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556,045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76,411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371,669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5,681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102,284</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20" w:hanging="316"/>
        <w:spacing w:after="0" w:line="264"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payments due under the Amended Credit Agreement, which matures on November 30, 2020; based on a weighted average interest rate of 5.4% for Canadian term loan and Australian revolver borrowings and 6.1% for Canadian revolver borrowings for the twelve month period ended December 31, 2018.</w:t>
      </w:r>
    </w:p>
    <w:p>
      <w:pPr>
        <w:spacing w:after="0" w:line="181" w:lineRule="exact"/>
        <w:rPr>
          <w:sz w:val="20"/>
          <w:szCs w:val="20"/>
          <w:color w:val="auto"/>
        </w:rPr>
      </w:pPr>
    </w:p>
    <w:p>
      <w:pPr>
        <w:ind w:right="220" w:firstLine="459"/>
        <w:spacing w:after="0" w:line="277" w:lineRule="auto"/>
        <w:rPr>
          <w:sz w:val="20"/>
          <w:szCs w:val="20"/>
          <w:color w:val="auto"/>
        </w:rPr>
      </w:pPr>
      <w:r>
        <w:rPr>
          <w:rFonts w:ascii="Arial" w:cs="Arial" w:eastAsia="Arial" w:hAnsi="Arial"/>
          <w:sz w:val="18"/>
          <w:szCs w:val="18"/>
          <w:color w:val="auto"/>
        </w:rPr>
        <w:t>Our debt obligations at December 31, 2018 are reflected in our consolidated balance sheet, which is a part of our consolidated financial statements in Item 8 of this annual report. We have not entered into any material leases subsequent to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459"/>
        <w:spacing w:after="0" w:line="273" w:lineRule="auto"/>
        <w:rPr>
          <w:sz w:val="20"/>
          <w:szCs w:val="20"/>
          <w:color w:val="auto"/>
        </w:rPr>
      </w:pPr>
      <w:r>
        <w:rPr>
          <w:rFonts w:ascii="Arial" w:cs="Arial" w:eastAsia="Arial" w:hAnsi="Arial"/>
          <w:sz w:val="17"/>
          <w:szCs w:val="17"/>
          <w:color w:val="auto"/>
        </w:rPr>
        <w:t>Our consolidated financial statements in Item 8 of this annual report have been prepared in accordance with U.S.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 Summary of Significant Accounting Policies to the notes to consolidated financial statements in Item 8 of this annual report.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for Contingencies</w:t>
      </w:r>
    </w:p>
    <w:p>
      <w:pPr>
        <w:spacing w:after="0" w:line="225"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contract claims and obligations and asset retirement obligations.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300" w:firstLine="459"/>
        <w:spacing w:after="0" w:line="257" w:lineRule="auto"/>
        <w:rPr>
          <w:sz w:val="20"/>
          <w:szCs w:val="20"/>
          <w:color w:val="auto"/>
        </w:rPr>
      </w:pPr>
      <w:r>
        <w:rPr>
          <w:rFonts w:ascii="Arial" w:cs="Arial" w:eastAsia="Arial" w:hAnsi="Arial"/>
          <w:sz w:val="18"/>
          <w:szCs w:val="18"/>
          <w:color w:val="auto"/>
        </w:rPr>
        <w:t>The acquisition method of accounting requires that the purchase price for a business combination be assigned and allocated to the identifiable assets acquired and liabilities assumed based upon their fair value. Generally, the amount recorded in the financial statements for an acquisition’s assets and liabilities is equal to the purchase price (the fair value of the consideration paid); however, a purchase price that exceeds the fair value of the net assets acquired will result in the recognition of goodwill. Conversely, a purchase price that is below the fair value of the net assets acquired will result in the recognition of a bargain purchase in the income statement.</w:t>
      </w:r>
    </w:p>
    <w:p>
      <w:pPr>
        <w:spacing w:after="0" w:line="188" w:lineRule="exact"/>
        <w:rPr>
          <w:sz w:val="20"/>
          <w:szCs w:val="20"/>
          <w:color w:val="auto"/>
        </w:rPr>
      </w:pPr>
    </w:p>
    <w:p>
      <w:pPr>
        <w:ind w:right="60" w:firstLine="459"/>
        <w:spacing w:after="0" w:line="277" w:lineRule="auto"/>
        <w:rPr>
          <w:sz w:val="20"/>
          <w:szCs w:val="20"/>
          <w:color w:val="auto"/>
        </w:rPr>
      </w:pPr>
      <w:r>
        <w:rPr>
          <w:rFonts w:ascii="Arial" w:cs="Arial" w:eastAsia="Arial" w:hAnsi="Arial"/>
          <w:sz w:val="18"/>
          <w:szCs w:val="18"/>
          <w:color w:val="auto"/>
        </w:rPr>
        <w:t>In addition to the potential for the recognition of goodwill or a bargain purchase, differing fair values will impact the allocation of the purchase price to the individual assets and liabilities and can impact the gross amount and classification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assets and liabilities recorded in our consolidated balance sheets, which can impact the timing and amount of depreciation and amortization expense recorded in any given period.</w:t>
      </w:r>
    </w:p>
    <w:p>
      <w:pPr>
        <w:spacing w:after="0" w:line="170" w:lineRule="exact"/>
        <w:rPr>
          <w:sz w:val="20"/>
          <w:szCs w:val="20"/>
          <w:color w:val="auto"/>
        </w:rPr>
      </w:pPr>
    </w:p>
    <w:p>
      <w:pPr>
        <w:ind w:right="120" w:firstLine="459"/>
        <w:spacing w:after="0" w:line="297" w:lineRule="auto"/>
        <w:rPr>
          <w:sz w:val="20"/>
          <w:szCs w:val="20"/>
          <w:color w:val="auto"/>
        </w:rPr>
      </w:pPr>
      <w:r>
        <w:rPr>
          <w:rFonts w:ascii="Arial" w:cs="Arial" w:eastAsia="Arial" w:hAnsi="Arial"/>
          <w:sz w:val="16"/>
          <w:szCs w:val="16"/>
          <w:color w:val="auto"/>
        </w:rPr>
        <w:t>In determining the fair value of intangible assets, we utilize the cost approach, the market approach and the income approach. The income approach may incorporate the use of a discounted cash flow method. In applying the discounted cash flow method, the estimated future cash flows and residual values for each intangible asset are discounted to a present value using a discount rate based on an estimated weighted average cost of capital. There is a significant amount of judgment involved in cash-flow estimates, including assumptions regarding market convergence, discount rates, commodity prices, customer attrition, useful lives and growth factors. The assumptions used by another party could differ significantly from our assumptions.</w:t>
      </w:r>
    </w:p>
    <w:p>
      <w:pPr>
        <w:spacing w:after="0" w:line="158" w:lineRule="exact"/>
        <w:rPr>
          <w:sz w:val="20"/>
          <w:szCs w:val="20"/>
          <w:color w:val="auto"/>
        </w:rPr>
      </w:pPr>
    </w:p>
    <w:p>
      <w:pPr>
        <w:ind w:right="80" w:firstLine="459"/>
        <w:spacing w:after="0" w:line="273" w:lineRule="auto"/>
        <w:rPr>
          <w:sz w:val="20"/>
          <w:szCs w:val="20"/>
          <w:color w:val="auto"/>
        </w:rPr>
      </w:pPr>
      <w:r>
        <w:rPr>
          <w:rFonts w:ascii="Arial" w:cs="Arial" w:eastAsia="Arial" w:hAnsi="Arial"/>
          <w:sz w:val="17"/>
          <w:szCs w:val="17"/>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 of assets acquired and liabilities assumed are recorded in the period they are determined, with the corresponding offset to goodwill. We also may hire independent appraisers or valuation specialists to help us make this determination as we deem appropriate under the circumstances. For further discussion about our acquisitions, please see Note 7 - Acquisitions to the notes to consolidated financial statements in Item 8 of this report.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Tangible and Intangible Assets, including Goodwill</w:t>
      </w:r>
    </w:p>
    <w:p>
      <w:pPr>
        <w:spacing w:after="0" w:line="225" w:lineRule="exact"/>
        <w:rPr>
          <w:sz w:val="20"/>
          <w:szCs w:val="20"/>
          <w:color w:val="auto"/>
        </w:rPr>
      </w:pPr>
    </w:p>
    <w:p>
      <w:pPr>
        <w:ind w:firstLine="459"/>
        <w:spacing w:after="0" w:line="293" w:lineRule="auto"/>
        <w:rPr>
          <w:sz w:val="20"/>
          <w:szCs w:val="20"/>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Goodwill represents the excess of the purchase price paid for acquired businesses over the allocated fair value of the related net assets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impairments, if applicable. We do not amortize goodwill.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have or previously had goodwill. We recognize an impairment loss for any amount by which the carrying amount of a reporting unit’s goodwill exceeds the reporting unit’s implied fair value (IFV) of goodwill.</w:t>
      </w:r>
    </w:p>
    <w:p>
      <w:pPr>
        <w:spacing w:after="0" w:line="165" w:lineRule="exact"/>
        <w:rPr>
          <w:sz w:val="20"/>
          <w:szCs w:val="20"/>
          <w:color w:val="auto"/>
        </w:rPr>
      </w:pPr>
    </w:p>
    <w:p>
      <w:pPr>
        <w:ind w:right="180" w:firstLine="459"/>
        <w:spacing w:after="0" w:line="308" w:lineRule="auto"/>
        <w:rPr>
          <w:sz w:val="20"/>
          <w:szCs w:val="20"/>
          <w:color w:val="auto"/>
        </w:rPr>
      </w:pPr>
      <w:r>
        <w:rPr>
          <w:rFonts w:ascii="Arial" w:cs="Arial" w:eastAsia="Arial" w:hAnsi="Arial"/>
          <w:sz w:val="17"/>
          <w:szCs w:val="17"/>
          <w:color w:val="auto"/>
        </w:rPr>
        <w:t>In connection with the Noralta Acquisition, we recorded $120.9 million of goodwill in our Canadian reporting unit. For further discussion, please see Note 7 - Acquisitions and Note 11 - Goodwill and Other Intangible Assets to the notes to consolidated financial statements in Item 8 of this report.</w:t>
      </w:r>
    </w:p>
    <w:p>
      <w:pPr>
        <w:spacing w:after="0" w:line="147" w:lineRule="exact"/>
        <w:rPr>
          <w:sz w:val="20"/>
          <w:szCs w:val="20"/>
          <w:color w:val="auto"/>
        </w:rPr>
      </w:pPr>
    </w:p>
    <w:p>
      <w:pPr>
        <w:ind w:right="220" w:firstLine="459"/>
        <w:spacing w:after="0" w:line="279" w:lineRule="auto"/>
        <w:rPr>
          <w:sz w:val="20"/>
          <w:szCs w:val="20"/>
          <w:color w:val="auto"/>
        </w:rPr>
      </w:pPr>
      <w:r>
        <w:rPr>
          <w:rFonts w:ascii="Arial" w:cs="Arial" w:eastAsia="Arial" w:hAnsi="Arial"/>
          <w:sz w:val="17"/>
          <w:szCs w:val="17"/>
          <w:color w:val="auto"/>
        </w:rPr>
        <w:t>We conduct our annual impairment test as of November 30 of each year. Our assessment consists of a two-step impairment test. In the first step, we compare each reporting unit’s carrying amount, including goodwill, to the IFV of the reporting unit. If the carrying amount of the reporting unit exceeds its fair value, goodwill was considered impaired, and a second step is performed to determine the amount of impairment. Future impairment tests will be impacted by new accounting guidance which eliminates the second step of the goodwill impairment test.</w:t>
      </w:r>
    </w:p>
    <w:p>
      <w:pPr>
        <w:spacing w:after="0" w:line="171" w:lineRule="exact"/>
        <w:rPr>
          <w:sz w:val="20"/>
          <w:szCs w:val="20"/>
          <w:color w:val="auto"/>
        </w:rPr>
      </w:pPr>
    </w:p>
    <w:p>
      <w:pPr>
        <w:ind w:right="140" w:firstLine="459"/>
        <w:spacing w:after="0" w:line="293" w:lineRule="auto"/>
        <w:rPr>
          <w:sz w:val="20"/>
          <w:szCs w:val="20"/>
          <w:color w:val="auto"/>
        </w:rPr>
      </w:pPr>
      <w:r>
        <w:rPr>
          <w:rFonts w:ascii="Arial" w:cs="Arial" w:eastAsia="Arial" w:hAnsi="Arial"/>
          <w:sz w:val="16"/>
          <w:szCs w:val="16"/>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first step of the two-step goodwill impairment test.</w:t>
      </w:r>
    </w:p>
    <w:p>
      <w:pPr>
        <w:spacing w:after="0" w:line="165" w:lineRule="exact"/>
        <w:rPr>
          <w:sz w:val="20"/>
          <w:szCs w:val="20"/>
          <w:color w:val="auto"/>
        </w:rPr>
      </w:pPr>
    </w:p>
    <w:p>
      <w:pPr>
        <w:ind w:right="40" w:firstLine="459"/>
        <w:spacing w:after="0" w:line="308" w:lineRule="auto"/>
        <w:rPr>
          <w:sz w:val="20"/>
          <w:szCs w:val="20"/>
          <w:color w:val="auto"/>
        </w:rPr>
      </w:pPr>
      <w:r>
        <w:rPr>
          <w:rFonts w:ascii="Arial" w:cs="Arial" w:eastAsia="Arial" w:hAnsi="Arial"/>
          <w:sz w:val="17"/>
          <w:szCs w:val="17"/>
          <w:color w:val="auto"/>
        </w:rPr>
        <w:t>When performing our annual assessment on November 30, 2018, due to a reduction in our share price in the fourth quarter of 2018, we chose to bypass the qualitative assessment and proceed directly to the first step of the impairment test for goodwill in our Canadian reporting unit.</w:t>
      </w:r>
    </w:p>
    <w:p>
      <w:pPr>
        <w:spacing w:after="0" w:line="147" w:lineRule="exact"/>
        <w:rPr>
          <w:sz w:val="20"/>
          <w:szCs w:val="20"/>
          <w:color w:val="auto"/>
        </w:rPr>
      </w:pPr>
    </w:p>
    <w:p>
      <w:pPr>
        <w:ind w:right="140" w:firstLine="459"/>
        <w:spacing w:after="0" w:line="297" w:lineRule="auto"/>
        <w:rPr>
          <w:sz w:val="20"/>
          <w:szCs w:val="20"/>
          <w:color w:val="auto"/>
        </w:rPr>
      </w:pPr>
      <w:r>
        <w:rPr>
          <w:rFonts w:ascii="Arial" w:cs="Arial" w:eastAsia="Arial" w:hAnsi="Arial"/>
          <w:sz w:val="16"/>
          <w:szCs w:val="16"/>
          <w:color w:val="auto"/>
        </w:rPr>
        <w:t>In performing the two-step impairment test, we compare each reporting unit’s carrying amount, including goodwill, to the IFV of the reporting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analysis of trading multiples of comparable companies (Market Approach) and (ii) discounted projected cash flows (Income Approach). We also use acquisition multiples analyses in certain circumstances. The relative weighting of each approach reflects current industry and market conditions.</w:t>
      </w:r>
    </w:p>
    <w:p>
      <w:pPr>
        <w:spacing w:after="0" w:line="124" w:lineRule="exact"/>
        <w:rPr>
          <w:sz w:val="20"/>
          <w:szCs w:val="20"/>
          <w:color w:val="auto"/>
        </w:rPr>
      </w:pPr>
    </w:p>
    <w:p>
      <w:pPr>
        <w:ind w:right="380" w:firstLine="459"/>
        <w:spacing w:after="0" w:line="264" w:lineRule="auto"/>
        <w:rPr>
          <w:sz w:val="20"/>
          <w:szCs w:val="20"/>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This valuation approach utilizes publicly traded comparable companies’ enterprise values, as compared to their recent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forecasted earnings before interest, taxes and depreciation (EBITDA) information. We use EBITDA because it is a widely used key indicator of the cash generating capacity of companies in our industry.</w:t>
      </w:r>
    </w:p>
    <w:p>
      <w:pPr>
        <w:spacing w:after="0" w:line="181"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This valuation approach derives a present value of the reporting unit’s projected future annual cash flows over the next five years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terminal value assumption. We use 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w:t>
      </w:r>
    </w:p>
    <w:p>
      <w:pPr>
        <w:spacing w:after="0" w:line="193" w:lineRule="exact"/>
        <w:rPr>
          <w:sz w:val="20"/>
          <w:szCs w:val="20"/>
          <w:color w:val="auto"/>
        </w:rPr>
      </w:pPr>
    </w:p>
    <w:p>
      <w:pPr>
        <w:ind w:right="120" w:firstLine="459"/>
        <w:spacing w:after="0" w:line="291" w:lineRule="auto"/>
        <w:rPr>
          <w:sz w:val="20"/>
          <w:szCs w:val="20"/>
          <w:color w:val="auto"/>
        </w:rPr>
      </w:pPr>
      <w:r>
        <w:rPr>
          <w:rFonts w:ascii="Arial" w:cs="Arial" w:eastAsia="Arial" w:hAnsi="Arial"/>
          <w:sz w:val="16"/>
          <w:szCs w:val="16"/>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167"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color w:val="auto"/>
        </w:rPr>
        <w:t>In 2018, in performing step one of the goodwill impairment test on our Canadian reporting unit, the carrying amount of our reporting unit was less than our estimated IFV. Accordingly, we did not proceed to the second step and no impairment charge was recorded. As noted above, the IFV of our reporting units is affected by numerous factors. We estimate an increase to the estimated weighted average cost of capital used in this assessment of more than approximately 600 basis points would have been required for the IFV to break-even with the carrying amount of the Canadian reporting unit.</w:t>
      </w:r>
    </w:p>
    <w:p>
      <w:pPr>
        <w:spacing w:after="0" w:line="171"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b w:val="1"/>
          <w:bCs w:val="1"/>
          <w:i w:val="1"/>
          <w:iCs w:val="1"/>
          <w:color w:val="auto"/>
        </w:rPr>
        <w:t xml:space="preserve">Definite-Lived Tangible and Intangible Assets. </w:t>
      </w:r>
      <w:r>
        <w:rPr>
          <w:rFonts w:ascii="Arial" w:cs="Arial" w:eastAsia="Arial" w:hAnsi="Arial"/>
          <w:sz w:val="16"/>
          <w:szCs w:val="16"/>
          <w:color w:val="auto"/>
        </w:rPr>
        <w:t>The recoverability of the carrying values of tangible and intangible assets is assessed at an asset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 which represents the lowest level for which identifiable cash flows are largely independent of the cash flows of other assets and liabilities. Whenever, in management’s judgment, events or changes in circumstances indicate that the carrying value of such asset groups may not be recoverable based on estimated future cash flows, an asset impairment evaluation is performed. Indicators of impairment might include persistent and sustained negative economic trends affecting the markets we serve, recurring cash flow losses or significantly lowered expectations of future cash flows expected to be generated by our assets.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Identification of Asset Groups – </w:t>
      </w:r>
      <w:r>
        <w:rPr>
          <w:rFonts w:ascii="Arial" w:cs="Arial" w:eastAsia="Arial" w:hAnsi="Arial"/>
          <w:sz w:val="18"/>
          <w:szCs w:val="18"/>
          <w:color w:val="auto"/>
        </w:rPr>
        <w:t>The following summarizes the asset groups that we have identified in each of our reportable segments.</w:t>
      </w:r>
    </w:p>
    <w:p>
      <w:pPr>
        <w:spacing w:after="0" w:line="225" w:lineRule="exact"/>
        <w:rPr>
          <w:sz w:val="20"/>
          <w:szCs w:val="20"/>
          <w:color w:val="auto"/>
        </w:rPr>
      </w:pPr>
    </w:p>
    <w:p>
      <w:pPr>
        <w:ind w:right="180" w:firstLine="459"/>
        <w:spacing w:after="0" w:line="277" w:lineRule="auto"/>
        <w:rPr>
          <w:sz w:val="20"/>
          <w:szCs w:val="20"/>
          <w:color w:val="auto"/>
        </w:rPr>
      </w:pPr>
      <w:r>
        <w:rPr>
          <w:rFonts w:ascii="Arial" w:cs="Arial" w:eastAsia="Arial" w:hAnsi="Arial"/>
          <w:sz w:val="18"/>
          <w:szCs w:val="18"/>
          <w:color w:val="auto"/>
        </w:rPr>
        <w:t>Our Canada segment consists of numerous lodges, as well as our mobile camp assets and our manufacturing facility. These properties are grouped in the following asset groups:</w:t>
      </w:r>
    </w:p>
    <w:p>
      <w:pPr>
        <w:spacing w:after="0" w:line="170" w:lineRule="exact"/>
        <w:rPr>
          <w:sz w:val="20"/>
          <w:szCs w:val="20"/>
          <w:color w:val="auto"/>
        </w:rPr>
      </w:pPr>
    </w:p>
    <w:p>
      <w:pPr>
        <w:ind w:left="1140" w:hanging="322"/>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Core Region</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Fort McMurray Village – North Athabasca</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Beaver River Lodge – North Athabasca</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Athabasca Lodge – North Athabasca</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Firebag Lodge – North Athabasca</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Hudson and Borealis Lodges – North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McClelland Lake Lodge – North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Wapasu Lodge – North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Henday Lodge – North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Grey Wolf Lodge - North Athabasca</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5"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Mariana Lake Lodge – South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Conklin Lodge – South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Anzac Lodge – South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 Earth Lodge - South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Wabasca Lodge - South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Sitka Lodge – Kitimat, British Columbia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Geetla camp – British Columbia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Boundary camp – Saskatchewan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Antler River camp – Manitoba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 Earth camp – Alberta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Christina Lake camp – Alberta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Mobile camp assets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Noble manufacturing facility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Various land holdings in British Columbia purchased in anticipation of potential LNG related projects</w:t>
      </w:r>
    </w:p>
    <w:p>
      <w:pPr>
        <w:spacing w:after="0" w:line="279" w:lineRule="exact"/>
        <w:rPr>
          <w:sz w:val="20"/>
          <w:szCs w:val="20"/>
          <w:color w:val="auto"/>
        </w:rPr>
      </w:pPr>
    </w:p>
    <w:p>
      <w:pPr>
        <w:ind w:right="60" w:firstLine="459"/>
        <w:spacing w:after="0" w:line="276" w:lineRule="auto"/>
        <w:rPr>
          <w:sz w:val="20"/>
          <w:szCs w:val="20"/>
          <w:color w:val="auto"/>
        </w:rPr>
      </w:pPr>
      <w:r>
        <w:rPr>
          <w:rFonts w:ascii="Arial" w:cs="Arial" w:eastAsia="Arial" w:hAnsi="Arial"/>
          <w:sz w:val="17"/>
          <w:szCs w:val="17"/>
          <w:color w:val="auto"/>
        </w:rPr>
        <w:t>In general, the lodges are operated on a lodge by lodge basis. However, for one set of lodges (the Core Region, including Beaver River, Athabasca, Firebag, Hudson and Borealis Lodges and Fort McMurray Village), there are no identifiable cash flows largely independent of the cash flows of other assets and liabilities for such lodges, and therefore, such lodges are combined into a single asset group. Factors such as proximity to each other, commonality of customers, common monitoring by management and operating decisions being made to optimize these lodges as a group result in these lodges being treated as a single asset group for the purposes of our impairment assessments.</w:t>
      </w:r>
    </w:p>
    <w:p>
      <w:pPr>
        <w:spacing w:after="0" w:line="173" w:lineRule="exact"/>
        <w:rPr>
          <w:sz w:val="20"/>
          <w:szCs w:val="20"/>
          <w:color w:val="auto"/>
        </w:rPr>
      </w:pPr>
    </w:p>
    <w:p>
      <w:pPr>
        <w:ind w:right="80" w:firstLine="459"/>
        <w:spacing w:after="0" w:line="264" w:lineRule="auto"/>
        <w:rPr>
          <w:sz w:val="20"/>
          <w:szCs w:val="20"/>
          <w:color w:val="auto"/>
        </w:rPr>
      </w:pPr>
      <w:r>
        <w:rPr>
          <w:rFonts w:ascii="Arial" w:cs="Arial" w:eastAsia="Arial" w:hAnsi="Arial"/>
          <w:sz w:val="18"/>
          <w:szCs w:val="18"/>
          <w:color w:val="auto"/>
        </w:rPr>
        <w:t>The component lodges of the Core Region were previously evaluated separately, with the exception of Beaver River and Athabasca, which were previously combined into a single asset group. In the fourth quarter of 2018, we made the decision to form this new grouping due to the Noralta Acquisition and how we manage the group of lodges following the acquisition.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Australia segment consists of ten villages in several regions within the country. These properties are grouped in the following asset groups:</w:t>
      </w:r>
    </w:p>
    <w:p>
      <w:pPr>
        <w:spacing w:after="0" w:line="237" w:lineRule="exact"/>
        <w:rPr>
          <w:sz w:val="20"/>
          <w:szCs w:val="20"/>
          <w:color w:val="auto"/>
        </w:rPr>
      </w:pPr>
    </w:p>
    <w:p>
      <w:pPr>
        <w:ind w:left="1140" w:hanging="322"/>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Karratha – Pilbara Region, Western Australia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Kambalda – Kambalda, Western Australia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Calliope – Gladstone, Queensland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Gunnedah Basin</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Narrabri – Gunnedah Basin, New South Wales</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Boggabri – Gunnedah Basin, New South Wales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Bowen Basin</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Moranbah – Bowen Basin, Queensland</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Dysart – Bowen Basin, Queensland</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Nebo – Bowen Basin, Queensland</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Coppabella – Bowen Basin, Queensland</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Middlemount – Bowen Basin, Queensland</w:t>
      </w:r>
    </w:p>
    <w:p>
      <w:pPr>
        <w:spacing w:after="0" w:line="333"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With respect to the villages in the Bowen Basin (Moranbah, Dysart, Nebo, Coppabella and Middlemount) and Gunnedah Basin (Narrabri and Boggabri), there are no identifiable cash flows largely independent of the cash flows of other assets and liabilities for each of the villages in such basins, and therefore, such villages are combined into asset groups. Factors such as commonality of customers, location, resource basins served and common monitoring by management result in the villages in the Bowen Basin to be treated as a single asset group and the villages in the Gunnedah Basin to be treated as a single asset group for the purposes of our impairment assessments. The remaining three villages are operated on a village by village basis.</w:t>
      </w:r>
    </w:p>
    <w:p>
      <w:pPr>
        <w:spacing w:after="0" w:line="158" w:lineRule="exact"/>
        <w:rPr>
          <w:sz w:val="20"/>
          <w:szCs w:val="20"/>
          <w:color w:val="auto"/>
        </w:rPr>
      </w:pPr>
    </w:p>
    <w:p>
      <w:pPr>
        <w:ind w:right="100" w:firstLine="459"/>
        <w:spacing w:after="0" w:line="277" w:lineRule="auto"/>
        <w:rPr>
          <w:sz w:val="20"/>
          <w:szCs w:val="20"/>
          <w:color w:val="auto"/>
        </w:rPr>
      </w:pPr>
      <w:r>
        <w:rPr>
          <w:rFonts w:ascii="Arial" w:cs="Arial" w:eastAsia="Arial" w:hAnsi="Arial"/>
          <w:sz w:val="18"/>
          <w:szCs w:val="18"/>
          <w:color w:val="auto"/>
        </w:rPr>
        <w:t>Our U.S. segment consists of lodges in three geographical areas, mobile camp assets in various geographical areas, and a waste-water treatment plant (WWTP). These properties are grouped in the following asset groups: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West Permian Lodge – Texas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Killdeer Lodge – North Dakota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Acadian Acres Lodge – Louisiana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Offshore – this asset group includes mobile camp assets which are utilized in the Gulf of Mexico.</w:t>
      </w:r>
    </w:p>
    <w:p>
      <w:pPr>
        <w:spacing w:after="0" w:line="63"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Wellsites – this asset group includes mobile camp assets, primarily in the Rocky mountain corridor, the Bakken shale region, the mid Continent and the Permian Basin region.</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Killdeer WWTP – this asset group represents a WWTP in Killdeer, North Dakota, which was constructed in early 2014.</w:t>
      </w:r>
    </w:p>
    <w:p>
      <w:pPr>
        <w:spacing w:after="0" w:line="333"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i w:val="1"/>
          <w:iCs w:val="1"/>
          <w:color w:val="auto"/>
        </w:rPr>
        <w:t xml:space="preserve">Recoverability Assessment – </w:t>
      </w:r>
      <w:r>
        <w:rPr>
          <w:rFonts w:ascii="Arial" w:cs="Arial" w:eastAsia="Arial" w:hAnsi="Arial"/>
          <w:sz w:val="18"/>
          <w:szCs w:val="18"/>
          <w:color w:val="auto"/>
        </w:rPr>
        <w:t>In performing an impairment analysis, the first step is to compare each asset group’s carrying value to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undiscounted future direct cash flows associated with the asset group over the remaining useful life of the asset group's primary asset.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w:t>
      </w:r>
      <w:r>
        <w:rPr>
          <w:rFonts w:ascii="Arial" w:cs="Arial" w:eastAsia="Arial" w:hAnsi="Arial"/>
          <w:sz w:val="18"/>
          <w:szCs w:val="18"/>
          <w:i w:val="1"/>
          <w:iCs w:val="1"/>
          <w:color w:val="auto"/>
        </w:rPr>
        <w:t>Goodwill</w:t>
      </w:r>
      <w:r>
        <w:rPr>
          <w:rFonts w:ascii="Arial" w:cs="Arial" w:eastAsia="Arial" w:hAnsi="Arial"/>
          <w:sz w:val="18"/>
          <w:szCs w:val="18"/>
          <w:color w:val="auto"/>
        </w:rPr>
        <w:t>, above.</w:t>
      </w:r>
    </w:p>
    <w:p>
      <w:pPr>
        <w:spacing w:after="0" w:line="188" w:lineRule="exact"/>
        <w:rPr>
          <w:sz w:val="20"/>
          <w:szCs w:val="20"/>
          <w:color w:val="auto"/>
        </w:rPr>
      </w:pPr>
    </w:p>
    <w:p>
      <w:pPr>
        <w:ind w:right="140" w:firstLine="459"/>
        <w:spacing w:after="0" w:line="276" w:lineRule="auto"/>
        <w:rPr>
          <w:sz w:val="20"/>
          <w:szCs w:val="20"/>
          <w:color w:val="auto"/>
        </w:rPr>
      </w:pPr>
      <w:r>
        <w:rPr>
          <w:rFonts w:ascii="Arial" w:cs="Arial" w:eastAsia="Arial" w:hAnsi="Arial"/>
          <w:sz w:val="17"/>
          <w:szCs w:val="17"/>
          <w:i w:val="1"/>
          <w:iCs w:val="1"/>
          <w:color w:val="auto"/>
        </w:rPr>
        <w:t xml:space="preserve">Fair Value Determination – </w:t>
      </w:r>
      <w:r>
        <w:rPr>
          <w:rFonts w:ascii="Arial" w:cs="Arial" w:eastAsia="Arial" w:hAnsi="Arial"/>
          <w:sz w:val="17"/>
          <w:szCs w:val="17"/>
          <w:color w:val="auto"/>
        </w:rPr>
        <w:t>If, based on the assessment, the carrying values of any of our asset groups are determined to not be recoverable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undiscounted future cash flows not exceeding the net book value of the asset group, we proceed to the second step. In this step, we compare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w:t>
      </w:r>
    </w:p>
    <w:p>
      <w:pPr>
        <w:spacing w:after="0" w:line="173"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spacing w:after="0" w:line="188" w:lineRule="exact"/>
        <w:rPr>
          <w:sz w:val="20"/>
          <w:szCs w:val="20"/>
          <w:color w:val="auto"/>
        </w:rPr>
      </w:pPr>
    </w:p>
    <w:p>
      <w:pPr>
        <w:ind w:right="60" w:firstLine="459"/>
        <w:spacing w:after="0" w:line="272" w:lineRule="auto"/>
        <w:rPr>
          <w:sz w:val="20"/>
          <w:szCs w:val="20"/>
          <w:color w:val="auto"/>
        </w:rPr>
      </w:pPr>
      <w:r>
        <w:rPr>
          <w:rFonts w:ascii="Arial" w:cs="Arial" w:eastAsia="Arial" w:hAnsi="Arial"/>
          <w:sz w:val="17"/>
          <w:szCs w:val="17"/>
          <w:color w:val="auto"/>
        </w:rPr>
        <w:t>In estimating future cash flows, we make numerous assumptions with respect to future circumstances that might directly impact each of the asset groups’ operations in the future and are therefore uncertain. These assumptions with respect to future circumstances include future oil and coal prices, anticipated customer spending, and industry and/or local market conditions. These assumptions represent our best judgment based on the current facts and circumstances. However, different assumptions could result in a determination that the carrying values of additional asset groups are no longer recoverable based on estimated future cash flows. Our estimate of fair value is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w:t>
      </w:r>
    </w:p>
    <w:p>
      <w:pPr>
        <w:spacing w:after="0" w:line="178"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color w:val="auto"/>
        </w:rPr>
        <w:t>Please see Note 4 – Impairment Charges to the notes to consolidated financial statements in Item 8 of this report for further discussion of impairments of definite-lived tangible and intangible assets recorded in the years ended December 31, 2018, 2017 and 2016.</w:t>
      </w:r>
    </w:p>
    <w:p>
      <w:pPr>
        <w:spacing w:after="0" w:line="170"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b w:val="1"/>
          <w:bCs w:val="1"/>
          <w:i w:val="1"/>
          <w:iCs w:val="1"/>
          <w:color w:val="auto"/>
        </w:rPr>
        <w:t xml:space="preserve">Indefinite-Lived Intangible Assets. </w:t>
      </w:r>
      <w:r>
        <w:rPr>
          <w:rFonts w:ascii="Arial" w:cs="Arial" w:eastAsia="Arial" w:hAnsi="Arial"/>
          <w:sz w:val="18"/>
          <w:szCs w:val="18"/>
          <w:color w:val="auto"/>
        </w:rPr>
        <w:t>We are required to evaluate our indefinite-lived intangible assets for impairment annually and when an event occurs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225"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food service arrangements and optional purchases our customers make for incidental services offered at our accommodation and mobile facilities.</w:t>
      </w:r>
    </w:p>
    <w:p>
      <w:pPr>
        <w:spacing w:after="0" w:line="179" w:lineRule="exact"/>
        <w:rPr>
          <w:sz w:val="20"/>
          <w:szCs w:val="20"/>
          <w:color w:val="auto"/>
        </w:rPr>
      </w:pPr>
    </w:p>
    <w:p>
      <w:pPr>
        <w:ind w:right="60" w:firstLine="459"/>
        <w:spacing w:after="0" w:line="270" w:lineRule="auto"/>
        <w:rPr>
          <w:sz w:val="20"/>
          <w:szCs w:val="20"/>
          <w:color w:val="auto"/>
        </w:rPr>
      </w:pPr>
      <w:r>
        <w:rPr>
          <w:rFonts w:ascii="Arial" w:cs="Arial" w:eastAsia="Arial" w:hAnsi="Arial"/>
          <w:sz w:val="17"/>
          <w:szCs w:val="17"/>
          <w:color w:val="auto"/>
        </w:rPr>
        <w:t>For significant projects, manufacturing revenues are recognized over time with progress towards completion measured using the cost based input method as the basis to recognize revenue and an estimated profit.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82" w:lineRule="exact"/>
        <w:rPr>
          <w:sz w:val="20"/>
          <w:szCs w:val="20"/>
          <w:color w:val="auto"/>
        </w:rPr>
      </w:pPr>
    </w:p>
    <w:p>
      <w:pPr>
        <w:ind w:right="120" w:firstLine="459"/>
        <w:spacing w:after="0" w:line="291" w:lineRule="auto"/>
        <w:rPr>
          <w:sz w:val="20"/>
          <w:szCs w:val="20"/>
          <w:color w:val="auto"/>
        </w:rPr>
      </w:pPr>
      <w:r>
        <w:rPr>
          <w:rFonts w:ascii="Arial" w:cs="Arial" w:eastAsia="Arial" w:hAnsi="Arial"/>
          <w:sz w:val="16"/>
          <w:szCs w:val="16"/>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accommodation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exclude taxes assessed based on revenues such as sales or value added taxes.</w:t>
      </w:r>
    </w:p>
    <w:p>
      <w:pPr>
        <w:spacing w:after="0" w:line="225"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Estimation of Useful Lives</w:t>
      </w:r>
    </w:p>
    <w:p>
      <w:pPr>
        <w:spacing w:after="0" w:line="225"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reevaluate the remaining useful lives and salvage values of our assets when certain events occur that directly impact the useful lives and salvage values, including changes in operating condition, functional capability and market and economic factors. We believe our estimates of useful lives are appropriate.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459"/>
        <w:spacing w:after="0" w:line="297" w:lineRule="auto"/>
        <w:rPr>
          <w:sz w:val="20"/>
          <w:szCs w:val="20"/>
          <w:color w:val="auto"/>
        </w:rPr>
      </w:pPr>
      <w:r>
        <w:rPr>
          <w:rFonts w:ascii="Arial" w:cs="Arial" w:eastAsia="Arial" w:hAnsi="Arial"/>
          <w:sz w:val="16"/>
          <w:szCs w:val="16"/>
          <w:color w:val="auto"/>
        </w:rPr>
        <w:t>Our historic share-based compensation is based on participating in Civeo’s 2014 Equity Participation Plan (the Plan). Our disclosures reflect only our employees’ participation in the Plans. We are required to estimate the fair value of share compensation made pursuant to awards under the Plans. An initial estimate of the fair value of each option award, restricted share award or deferred share award determines the amount of share compensation expense we will recognize in the future. For stock option awards, which were all granted prior to our May 30, 2014 spin-off from Oil States, to estimate the value of the awards under the Plan, Oil States selected a fair value calculation model. Oil States chose the Black-Scholes option pricing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model to value stock options awarded under the Plan. Oil States chose this model because option awards were made under straightforward vesting terms, option prices and option lives. Utilizing the Black-Scholes option pricing model required Oil States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share-based compensation expense recognition. We have not made any option awards subsequent to May 30, 2014, but, in the event that we make future awards, we expect to utilize a similar valuation methodology. We will continually monitor our actual experience and change assumptions for future awards as we consider appropriate.</w:t>
      </w:r>
    </w:p>
    <w:p>
      <w:pPr>
        <w:spacing w:after="0" w:line="178" w:lineRule="exact"/>
        <w:rPr>
          <w:sz w:val="20"/>
          <w:szCs w:val="20"/>
          <w:color w:val="auto"/>
        </w:rPr>
      </w:pPr>
    </w:p>
    <w:p>
      <w:pPr>
        <w:ind w:right="60" w:firstLine="459"/>
        <w:spacing w:after="0" w:line="271" w:lineRule="auto"/>
        <w:rPr>
          <w:sz w:val="20"/>
          <w:szCs w:val="20"/>
          <w:color w:val="auto"/>
        </w:rPr>
      </w:pPr>
      <w:r>
        <w:rPr>
          <w:rFonts w:ascii="Arial" w:cs="Arial" w:eastAsia="Arial" w:hAnsi="Arial"/>
          <w:sz w:val="17"/>
          <w:szCs w:val="17"/>
          <w:color w:val="auto"/>
        </w:rPr>
        <w:t>We also grant performance share awards under the Plan. Awards granted in 2018, 2017 and 2016 will be earned in amounts between 0% and 200% of the participant’s target performance share award, based on the payout percentage associated with Civeo’s relative total shareholder return rank among a peer group of 17, 15 and 12 other companies, respectively. The fair value of the 2018, 2017 and 2016 awards was estimated using a Monte Carlo simulation pricing model. We chose this model because the performance awards contain complex vesting terms. Utilizing the Monte Carlo simulation pricing model required us to estimate the risk-free interest rate and the expected market price volatility of our common shares as well as a peer group of companies over a time period equal to the expected term of the award. The resulting cost is recognized over the period during which an employee is required to provide service in exchange for the awards, usually the vesting period. For additional details, see Note 19 – Share Based Compensation to the notes to the consolidated financial statements included in Item 8 of this annual report for further information.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459"/>
        <w:spacing w:after="0" w:line="312" w:lineRule="auto"/>
        <w:rPr>
          <w:sz w:val="20"/>
          <w:szCs w:val="20"/>
          <w:color w:val="auto"/>
        </w:rPr>
      </w:pPr>
      <w:r>
        <w:rPr>
          <w:rFonts w:ascii="Arial" w:cs="Arial" w:eastAsia="Arial" w:hAnsi="Arial"/>
          <w:sz w:val="16"/>
          <w:szCs w:val="16"/>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47" w:lineRule="exact"/>
        <w:rPr>
          <w:sz w:val="20"/>
          <w:szCs w:val="20"/>
          <w:color w:val="auto"/>
        </w:rPr>
      </w:pPr>
    </w:p>
    <w:p>
      <w:pPr>
        <w:ind w:right="120" w:firstLine="459"/>
        <w:spacing w:after="0" w:line="259" w:lineRule="auto"/>
        <w:rPr>
          <w:sz w:val="20"/>
          <w:szCs w:val="20"/>
          <w:color w:val="auto"/>
        </w:rPr>
      </w:pPr>
      <w:r>
        <w:rPr>
          <w:rFonts w:ascii="Arial" w:cs="Arial" w:eastAsia="Arial" w:hAnsi="Arial"/>
          <w:sz w:val="18"/>
          <w:szCs w:val="18"/>
          <w:color w:val="auto"/>
        </w:rPr>
        <w:t>When our earnings from foreign subsidiaries are considered to be indefinitely reinvested, no provision for Canadian income taxes is made for these earnings. If any of the subsidiaries have a distribution of earnings in the form of dividends or otherwise, we would be subject to both Canadian income taxes (subject to an adjustment for foreign tax credits) and withholding taxes payable to various foreign countries. We do not expect to provide Canadian income taxes on future foreign earnings.</w:t>
      </w:r>
    </w:p>
    <w:p>
      <w:pPr>
        <w:spacing w:after="0" w:line="187" w:lineRule="exact"/>
        <w:rPr>
          <w:sz w:val="20"/>
          <w:szCs w:val="20"/>
          <w:color w:val="auto"/>
        </w:rPr>
      </w:pPr>
    </w:p>
    <w:p>
      <w:pPr>
        <w:jc w:val="both"/>
        <w:ind w:right="160" w:firstLine="459"/>
        <w:spacing w:after="0" w:line="312" w:lineRule="auto"/>
        <w:rPr>
          <w:sz w:val="20"/>
          <w:szCs w:val="20"/>
          <w:color w:val="auto"/>
        </w:rPr>
      </w:pPr>
      <w:r>
        <w:rPr>
          <w:rFonts w:ascii="Arial" w:cs="Arial" w:eastAsia="Arial" w:hAnsi="Arial"/>
          <w:sz w:val="16"/>
          <w:szCs w:val="16"/>
          <w:color w:val="auto"/>
        </w:rPr>
        <w:t>We record a valuation allowance in each reporting period when our management believes that it is more likely than not that any recorded deferred tax asset will not be realized. Our management will continue to evaluate the appropriateness of the valuation allowance in the future, based upon our operating results. Please see Note 16 – Income Taxes to the notes to consolidated financial statements in Item 8 of this report for further discussion.</w:t>
      </w:r>
    </w:p>
    <w:p>
      <w:pPr>
        <w:spacing w:after="0" w:line="147"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color w:val="auto"/>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93" w:lineRule="exact"/>
        <w:rPr>
          <w:sz w:val="20"/>
          <w:szCs w:val="20"/>
          <w:color w:val="auto"/>
        </w:rPr>
      </w:pPr>
    </w:p>
    <w:p>
      <w:pPr>
        <w:ind w:right="140" w:firstLine="459"/>
        <w:spacing w:after="0" w:line="276" w:lineRule="auto"/>
        <w:rPr>
          <w:sz w:val="20"/>
          <w:szCs w:val="20"/>
          <w:color w:val="auto"/>
        </w:rPr>
      </w:pPr>
      <w:r>
        <w:rPr>
          <w:rFonts w:ascii="Arial" w:cs="Arial" w:eastAsia="Arial" w:hAnsi="Arial"/>
          <w:sz w:val="17"/>
          <w:szCs w:val="17"/>
          <w:color w:val="auto"/>
        </w:rPr>
        <w:t>On December 22, 2017, the Tax Cuts and Jobs Act of 2017 (U.S. Tax Reform) was signed into law, making significant changes to the U.S. Internal Revenue Code. Changes included, but were not limited to, a corporate tax rate decrease from 35% to 21% effective for tax years beginning after December 31, 2017, the transition of U.S. international taxation from a worldwide tax system to a quasi-territorial system, and a one-time transition tax on the mandatory deemed repatriation of cumulative foreign earnings as of December 31, 2017. Although many aspects of this legislation have been clarified since the law was enacted, some aspects of the new legislation remain unclear and may not be clarified for some time.</w:t>
      </w:r>
    </w:p>
    <w:p>
      <w:pPr>
        <w:spacing w:after="0" w:line="173" w:lineRule="exact"/>
        <w:rPr>
          <w:sz w:val="20"/>
          <w:szCs w:val="20"/>
          <w:color w:val="auto"/>
        </w:rPr>
      </w:pPr>
    </w:p>
    <w:p>
      <w:pPr>
        <w:ind w:firstLine="459"/>
        <w:spacing w:after="0" w:line="276" w:lineRule="auto"/>
        <w:rPr>
          <w:sz w:val="20"/>
          <w:szCs w:val="20"/>
          <w:color w:val="auto"/>
        </w:rPr>
      </w:pPr>
      <w:r>
        <w:rPr>
          <w:rFonts w:ascii="Arial" w:cs="Arial" w:eastAsia="Arial" w:hAnsi="Arial"/>
          <w:sz w:val="17"/>
          <w:szCs w:val="17"/>
          <w:color w:val="auto"/>
        </w:rPr>
        <w:t>As of December 31, 2017, we had no unrepatriated U.S. foreign earnings subject to the transition tax. We calculated an estimate of the impacts of the U.S. Tax Reform to our U.S. deferred taxes as of December 31, 2017, the result of which was a decrease of the U.S. net deferred tax asset of $9.0 million, which was fully offset by a decrease in the U.S. valuation allowance of $9.0 million. This resulted in zero impact to our income tax benefit for the year ended December 31, 2017. While the ultimate impact may differ from these estimates due to changes in interpretations and assumptions we have made and additional regulatory guidance that may be issued, as of December 31, 2018, we expect no changes to our estimate.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 Please see Note 2 – Summary of Significant Accounting Policies – Recent Accounting Pronouncements to the notes to consolidated financial statements in Item 8 of this annual report for further discussion.</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459"/>
        <w:spacing w:after="0" w:line="302"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December 31, 2018, we had $379.2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$3.8 million annually, based on our floating-rate debt obligations and interest rates in effect as of December 31, 2018.</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180" w:firstLine="459"/>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C$0.2 billion and A$0.4 billion, respectively, at December 31, 2018. We use a sensitivity analysis model to measure the impact of a 10% adverse movement of foreign currency exchange rates against the United States dollar. A hypothetical 10% adverse change in the value of the Canadian dollar and Australian dollar relative to the U.S. dollar as of December 31, 2018 would result in translation adjustments of approximately $24 million and $37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right="520" w:firstLine="392"/>
        <w:spacing w:after="0" w:line="264" w:lineRule="auto"/>
        <w:rPr>
          <w:sz w:val="20"/>
          <w:szCs w:val="20"/>
          <w:color w:val="auto"/>
        </w:rPr>
      </w:pPr>
      <w:r>
        <w:rPr>
          <w:rFonts w:ascii="Arial" w:cs="Arial" w:eastAsia="Arial" w:hAnsi="Arial"/>
          <w:sz w:val="18"/>
          <w:szCs w:val="18"/>
          <w:color w:val="auto"/>
        </w:rPr>
        <w:t>Our Consolidated Financial Statements and supplementary data appear on pages 83 through 122 of this Annual Report on Form 10-K and are incorporated by reference into this Item 8. Selected quarterly financial data is set forth in Note 22 – Quarterly Financial Information (Unaudited) to our Consolidated Financial Statements, which is incorporated herein by reference.</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There were no changes in or disagreements on any matters of accounting principles or financial statement disclosure between us and our independent auditors during our two most recent fiscal years or any subsequent interim period.</w:t>
      </w:r>
    </w:p>
    <w:p>
      <w:pPr>
        <w:spacing w:after="0" w:line="3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 Evaluation of Disclosure Controls and Procedures</w:t>
      </w:r>
    </w:p>
    <w:p>
      <w:pPr>
        <w:spacing w:after="0" w:line="229" w:lineRule="exact"/>
        <w:rPr>
          <w:sz w:val="20"/>
          <w:szCs w:val="20"/>
          <w:color w:val="auto"/>
        </w:rPr>
      </w:pPr>
    </w:p>
    <w:p>
      <w:pPr>
        <w:ind w:right="160" w:firstLine="459"/>
        <w:spacing w:after="0" w:line="273" w:lineRule="auto"/>
        <w:rPr>
          <w:sz w:val="20"/>
          <w:szCs w:val="20"/>
          <w:color w:val="auto"/>
        </w:rPr>
      </w:pPr>
      <w:r>
        <w:rPr>
          <w:rFonts w:ascii="Arial" w:cs="Arial" w:eastAsia="Arial" w:hAnsi="Arial"/>
          <w:sz w:val="17"/>
          <w:szCs w:val="17"/>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rules and forms of the Commission. Based upon that evaluation, our Chief Executive Officer and Chief Financial Officer concluded that our disclosure controls and procedures were effective as of December 31, 2018 at the reasonable assurance level.</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(ii) Internal Control Over Financial Reporting</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 Management's annual report on internal control over financial reporting.</w:t>
      </w:r>
    </w:p>
    <w:p>
      <w:pPr>
        <w:spacing w:after="0" w:line="229" w:lineRule="exact"/>
        <w:rPr>
          <w:sz w:val="20"/>
          <w:szCs w:val="20"/>
          <w:color w:val="auto"/>
        </w:rPr>
      </w:pPr>
    </w:p>
    <w:p>
      <w:pPr>
        <w:ind w:right="40" w:firstLine="459"/>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spacing w:after="0" w:line="179" w:lineRule="exact"/>
        <w:rPr>
          <w:sz w:val="20"/>
          <w:szCs w:val="20"/>
          <w:color w:val="auto"/>
        </w:rPr>
      </w:pPr>
    </w:p>
    <w:p>
      <w:pPr>
        <w:ind w:right="180" w:firstLine="459"/>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spacing w:after="0" w:line="187"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an assessment of the effectiveness of our internal control over financial reporting as of December 31, 2018 was conducted. In making this assessment, management used the criteria set forth by the Committee of Sponsoring Organizations of the Treadway Commission (COSO) in Internal Control–Integrated Framework (2013 Framework). Based on our assessment we believe that, as of December 31, 2018, our internal control over financial reporting is effective based on those criteria.</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 Attestation report of the registered public accounting firm.</w:t>
      </w:r>
    </w:p>
    <w:p>
      <w:pPr>
        <w:spacing w:after="0" w:line="229" w:lineRule="exact"/>
        <w:rPr>
          <w:sz w:val="20"/>
          <w:szCs w:val="20"/>
          <w:color w:val="auto"/>
        </w:rPr>
      </w:pPr>
    </w:p>
    <w:p>
      <w:pPr>
        <w:ind w:right="200" w:firstLine="459"/>
        <w:spacing w:after="0" w:line="277" w:lineRule="auto"/>
        <w:rPr>
          <w:sz w:val="20"/>
          <w:szCs w:val="20"/>
          <w:color w:val="auto"/>
        </w:rPr>
      </w:pPr>
      <w:r>
        <w:rPr>
          <w:rFonts w:ascii="Arial" w:cs="Arial" w:eastAsia="Arial" w:hAnsi="Arial"/>
          <w:sz w:val="18"/>
          <w:szCs w:val="18"/>
          <w:color w:val="auto"/>
        </w:rPr>
        <w:t>The attestation report of Ernst &amp; Young LLP, our independent registered public accounting firm, on our internal control over financial reporting is set forth in this report on page 85 and is incorporated herein by reference.</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229" w:lineRule="exact"/>
        <w:rPr>
          <w:sz w:val="20"/>
          <w:szCs w:val="20"/>
          <w:color w:val="auto"/>
        </w:rPr>
      </w:pPr>
    </w:p>
    <w:p>
      <w:pPr>
        <w:ind w:firstLine="459"/>
        <w:spacing w:after="0" w:line="342" w:lineRule="auto"/>
        <w:rPr>
          <w:sz w:val="20"/>
          <w:szCs w:val="20"/>
          <w:color w:val="auto"/>
        </w:rPr>
      </w:pPr>
      <w:r>
        <w:rPr>
          <w:rFonts w:ascii="Arial" w:cs="Arial" w:eastAsia="Arial" w:hAnsi="Arial"/>
          <w:sz w:val="16"/>
          <w:szCs w:val="16"/>
          <w:color w:val="auto"/>
        </w:rPr>
        <w:t>During the three months ended December 31, 2018,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The information required by Item 10 hereby is incorporated by reference to such information as set forth in the Company's Definitive Proxy Statement for the 2019 Annual General Meeting of Shareholders.</w:t>
      </w:r>
    </w:p>
    <w:p>
      <w:pPr>
        <w:spacing w:after="0" w:line="170"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The Board of Directors of the Company (the Board)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Finance and Investment Committee and Nominating and Corporate Governance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within four business days following the date of the amendment or waiver. Copies of such documents will be sent to shareholders free of charge upon written request to the corporate secretary at the address shown on the cover page of this report.</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80" w:firstLine="459"/>
        <w:spacing w:after="0" w:line="286" w:lineRule="auto"/>
        <w:rPr>
          <w:sz w:val="20"/>
          <w:szCs w:val="20"/>
          <w:color w:val="auto"/>
        </w:rPr>
      </w:pPr>
      <w:r>
        <w:rPr>
          <w:rFonts w:ascii="Arial" w:cs="Arial" w:eastAsia="Arial" w:hAnsi="Arial"/>
          <w:sz w:val="17"/>
          <w:szCs w:val="17"/>
          <w:color w:val="auto"/>
        </w:rPr>
        <w:t>The information required by Item 11 hereby is incorporated by reference to such information as set forth in the Company's Definitive Proxy Statement for the 2019 Annual General Meeting of Shareholders under the headings “Executive Compensation,” “Compensation Discussion and Analysis,” “Director Compensation,” “Compensation Committee Interlocks and Insider Participation,” and “Compensation Committee Report”.</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9" w:lineRule="exact"/>
        <w:rPr>
          <w:sz w:val="20"/>
          <w:szCs w:val="20"/>
          <w:color w:val="auto"/>
        </w:rPr>
      </w:pPr>
    </w:p>
    <w:p>
      <w:pPr>
        <w:ind w:right="80" w:firstLine="459"/>
        <w:spacing w:after="0" w:line="342" w:lineRule="auto"/>
        <w:rPr>
          <w:sz w:val="20"/>
          <w:szCs w:val="20"/>
          <w:color w:val="auto"/>
        </w:rPr>
      </w:pPr>
      <w:r>
        <w:rPr>
          <w:rFonts w:ascii="Arial" w:cs="Arial" w:eastAsia="Arial" w:hAnsi="Arial"/>
          <w:sz w:val="16"/>
          <w:szCs w:val="16"/>
          <w:color w:val="auto"/>
        </w:rPr>
        <w:t>The information required by Item 12 hereby is incorporated by reference to such information as set forth in the Company's Definitive Proxy Statement for the 2019 Annual General Meeting of Shareholders under the heading “Security Ownership of Management and Certain Beneficial Owners”.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80" w:firstLine="459"/>
        <w:spacing w:after="0" w:line="264" w:lineRule="auto"/>
        <w:rPr>
          <w:sz w:val="20"/>
          <w:szCs w:val="20"/>
          <w:color w:val="auto"/>
        </w:rPr>
      </w:pPr>
      <w:r>
        <w:rPr>
          <w:rFonts w:ascii="Arial" w:cs="Arial" w:eastAsia="Arial" w:hAnsi="Arial"/>
          <w:sz w:val="18"/>
          <w:szCs w:val="18"/>
          <w:color w:val="auto"/>
        </w:rPr>
        <w:t>The information required by Item 13 hereby is incorporated by reference to such information as set forth in the Company's Definitive Proxy Statement for the 2019 Annual General Meeting of Shareholders under the headings “Certain Relationships and Related-Party Transactions” and “Director Independence”.</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The information required by Item 14 hereby is incorporated by reference to such information as set forth in the Company's Definitive Proxy Statement for the 2019 Annual General Meeting of Shareholders under the heading “Audit Fee Disclosure”.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25"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9" w:lineRule="exact"/>
        <w:rPr>
          <w:sz w:val="20"/>
          <w:szCs w:val="20"/>
          <w:color w:val="auto"/>
        </w:rPr>
      </w:pPr>
    </w:p>
    <w:p>
      <w:pPr>
        <w:ind w:left="400" w:hanging="257"/>
        <w:spacing w:after="0"/>
        <w:tabs>
          <w:tab w:leader="none" w:pos="40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Index to Financial Statements, Financial Statement Schedules and Exhibits</w:t>
      </w:r>
    </w:p>
    <w:p>
      <w:pPr>
        <w:spacing w:after="0" w:line="225" w:lineRule="exact"/>
        <w:rPr>
          <w:rFonts w:ascii="Arial" w:cs="Arial" w:eastAsia="Arial" w:hAnsi="Arial"/>
          <w:sz w:val="18"/>
          <w:szCs w:val="18"/>
          <w:i w:val="1"/>
          <w:iCs w:val="1"/>
          <w:color w:val="auto"/>
        </w:rPr>
      </w:pPr>
    </w:p>
    <w:p>
      <w:pPr>
        <w:ind w:left="660" w:hanging="260"/>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Reference is made to the index set forth on page 83 of this Annual Report on Form 10-K.</w:t>
      </w:r>
    </w:p>
    <w:p>
      <w:pPr>
        <w:spacing w:after="0" w:line="225" w:lineRule="exact"/>
        <w:rPr>
          <w:rFonts w:ascii="Arial" w:cs="Arial" w:eastAsia="Arial" w:hAnsi="Arial"/>
          <w:sz w:val="18"/>
          <w:szCs w:val="18"/>
          <w:color w:val="auto"/>
        </w:rPr>
      </w:pPr>
    </w:p>
    <w:p>
      <w:pPr>
        <w:ind w:right="20" w:firstLine="400"/>
        <w:spacing w:after="0" w:line="277" w:lineRule="auto"/>
        <w:tabs>
          <w:tab w:leader="none" w:pos="646"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No schedules have been included herein because the information required to be submitted has been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or the Notes thereto, or the required information is inapplicable.</w:t>
      </w:r>
    </w:p>
    <w:p>
      <w:pPr>
        <w:spacing w:after="0" w:line="170" w:lineRule="exact"/>
        <w:rPr>
          <w:rFonts w:ascii="Arial" w:cs="Arial" w:eastAsia="Arial" w:hAnsi="Arial"/>
          <w:sz w:val="18"/>
          <w:szCs w:val="18"/>
          <w:color w:val="auto"/>
        </w:rPr>
      </w:pPr>
    </w:p>
    <w:p>
      <w:pPr>
        <w:ind w:right="300" w:firstLine="400"/>
        <w:spacing w:after="0" w:line="342" w:lineRule="auto"/>
        <w:tabs>
          <w:tab w:leader="none" w:pos="646"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Index of Exhibits: </w:t>
      </w:r>
      <w:r>
        <w:rPr>
          <w:rFonts w:ascii="Arial" w:cs="Arial" w:eastAsia="Arial" w:hAnsi="Arial"/>
          <w:sz w:val="16"/>
          <w:szCs w:val="16"/>
          <w:color w:val="auto"/>
        </w:rPr>
        <w:t>See Index of Exhibits, below, for a list of those exhibits filed herewith, which index also includes and identifies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or compensatory plans or arrangements required to be filed as exhibits to this Annual Report on Form 10-K by Item 601 of Regulation S-K.</w:t>
      </w:r>
    </w:p>
    <w:p>
      <w:pPr>
        <w:spacing w:after="0" w:line="123" w:lineRule="exact"/>
        <w:rPr>
          <w:rFonts w:ascii="Arial" w:cs="Arial" w:eastAsia="Arial" w:hAnsi="Arial"/>
          <w:sz w:val="16"/>
          <w:szCs w:val="16"/>
          <w:color w:val="auto"/>
        </w:rPr>
      </w:pPr>
    </w:p>
    <w:p>
      <w:pPr>
        <w:ind w:left="1200" w:hanging="476"/>
        <w:spacing w:after="0"/>
        <w:tabs>
          <w:tab w:leader="none" w:pos="1200" w:val="left"/>
        </w:tabs>
        <w:numPr>
          <w:ilvl w:val="2"/>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Index of Exhibits</w:t>
      </w:r>
    </w:p>
    <w:p>
      <w:pPr>
        <w:spacing w:after="0" w:line="37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960" w:type="dxa"/>
            <w:vAlign w:val="bottom"/>
            <w:gridSpan w:val="7"/>
          </w:tcPr>
          <w:p>
            <w:pPr>
              <w:ind w:left="7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20"/>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Separation and Distribution Agreement by and between Oil States International, Inc. and Civeo Corporation, dated May 27, 2014</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60" w:type="dxa"/>
            <w:vAlign w:val="bottom"/>
            <w:tcBorders>
              <w:bottom w:val="single" w:sz="8" w:color="0000FF"/>
            </w:tcBorders>
            <w:gridSpan w:val="10"/>
          </w:tcPr>
          <w:p>
            <w:pPr>
              <w:ind w:left="20"/>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(incorporated herein by reference to Exhibit 2.1 to the Current Report on Form 8-K (File No. 001-36246) filed on June 2, 2014).</w:t>
              </w:r>
            </w:hyperlink>
          </w:p>
        </w:tc>
        <w:tc>
          <w:tcPr>
            <w:tcW w:w="280" w:type="dxa"/>
            <w:vAlign w:val="bottom"/>
            <w:gridSpan w:val="2"/>
          </w:tcPr>
          <w:p>
            <w:pPr>
              <w:spacing w:after="0"/>
              <w:rPr>
                <w:sz w:val="17"/>
                <w:szCs w:val="17"/>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Share Purchase Agreement, dated November 26, 2017, by and among Civeo Corporation, Noralta Lodge Ltd., Torgerson Family</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Trust, 2073357 Alberta Ltd., 2073358 Alberta Ltd., 1818939 Alberta Ltd., 2040618 Alberta Ltd., 2040624 Alberta Ltd., 989677</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Alberta Ltd. and Lance Torgerson (incorporated herein by reference to Exhibit 10.1 to the Current Report on Form 8-K (File No.</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40" w:type="dxa"/>
            <w:vAlign w:val="bottom"/>
            <w:tcBorders>
              <w:bottom w:val="single" w:sz="8" w:color="0000FF"/>
            </w:tcBorders>
            <w:gridSpan w:val="4"/>
          </w:tcPr>
          <w:p>
            <w:pPr>
              <w:ind w:left="20"/>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001-36246) filed on November 27, 2017).</w:t>
              </w:r>
            </w:hyperlink>
          </w:p>
        </w:tc>
        <w:tc>
          <w:tcPr>
            <w:tcW w:w="6500" w:type="dxa"/>
            <w:vAlign w:val="bottom"/>
            <w:gridSpan w:val="8"/>
          </w:tcPr>
          <w:p>
            <w:pPr>
              <w:spacing w:after="0"/>
              <w:rPr>
                <w:sz w:val="17"/>
                <w:szCs w:val="17"/>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7"/>
              </w:rPr>
            </w:pPr>
            <w:hyperlink r:id="rId35">
              <w:r>
                <w:rPr>
                  <w:rFonts w:ascii="Arial" w:cs="Arial" w:eastAsia="Arial" w:hAnsi="Arial"/>
                  <w:sz w:val="18"/>
                  <w:szCs w:val="18"/>
                  <w:color w:val="0000FF"/>
                  <w:w w:val="97"/>
                </w:rPr>
                <w:t>Amending Agreement, dated March 15, 2018, among Civeo Corporation, the Torgerson Family Trust, 989677 Alberta Ltd.,</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1818939 Alberta Ltd., 2040618 Alberta Ltd., 2040624 Alberta Ltd., 2073357 Alberta Ltd., 2073358 Alberta Ltd., Lance Torgerson</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and Noralta Lodge Ltd. (incorporated herein by reference to Exhibit 10.1 to the Current Report on Form 8-K (File No. 001-36246)</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60" w:type="dxa"/>
            <w:vAlign w:val="bottom"/>
            <w:tcBorders>
              <w:bottom w:val="single" w:sz="8" w:color="0000FF"/>
            </w:tcBorders>
          </w:tcPr>
          <w:p>
            <w:pPr>
              <w:ind w:left="20"/>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filed on March 16, 2018).</w:t>
              </w:r>
            </w:hyperlink>
          </w:p>
        </w:tc>
        <w:tc>
          <w:tcPr>
            <w:tcW w:w="7680" w:type="dxa"/>
            <w:vAlign w:val="bottom"/>
            <w:gridSpan w:val="11"/>
          </w:tcPr>
          <w:p>
            <w:pPr>
              <w:spacing w:after="0"/>
              <w:rPr>
                <w:sz w:val="17"/>
                <w:szCs w:val="17"/>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Notice of Articles of Civeo Corporation, as amended (incorporated herein by reference to Exhibit 3.1 to the Current Report on Form</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8-K (File No. 001-36246) filed on April 2, 2018).</w:t>
              </w:r>
            </w:hyperlink>
          </w:p>
        </w:tc>
      </w:tr>
      <w:tr>
        <w:trPr>
          <w:trHeight w:val="20"/>
        </w:trPr>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Amended and Restated Articles of Civeo Corporation, as amended (incorporated herein by reference to Exhibit 3.2 to the Current</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tcBorders>
              <w:bottom w:val="single" w:sz="8" w:color="0000FF"/>
            </w:tcBorders>
            <w:gridSpan w:val="7"/>
          </w:tcPr>
          <w:p>
            <w:pPr>
              <w:ind w:left="20"/>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Report on Form 8-K (File No. 001-36246) filed on April 2, 2018).</w:t>
              </w:r>
            </w:hyperlink>
          </w:p>
        </w:tc>
        <w:tc>
          <w:tcPr>
            <w:tcW w:w="4760" w:type="dxa"/>
            <w:vAlign w:val="bottom"/>
            <w:gridSpan w:val="5"/>
          </w:tcPr>
          <w:p>
            <w:pPr>
              <w:spacing w:after="0"/>
              <w:rPr>
                <w:sz w:val="17"/>
                <w:szCs w:val="17"/>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Form of Common Share Certificate (incorporated herein by reference to Exhibit 4.1 to the Current Report on Form 8-K12B (File</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No. 001-36246) filed on July 17, 2015).</w:t>
              </w:r>
            </w:hyperlink>
          </w:p>
        </w:tc>
      </w:tr>
      <w:tr>
        <w:trPr>
          <w:trHeight w:val="20"/>
        </w:trPr>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Registration Rights, Lock-Up and Standstill Agreement, dated April 2, 2018, by and among Civeo Corporation, Torgerson Family</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3"/>
              </w:rPr>
            </w:pPr>
            <w:hyperlink r:id="rId39">
              <w:r>
                <w:rPr>
                  <w:rFonts w:ascii="Arial" w:cs="Arial" w:eastAsia="Arial" w:hAnsi="Arial"/>
                  <w:sz w:val="18"/>
                  <w:szCs w:val="18"/>
                  <w:color w:val="0000FF"/>
                  <w:w w:val="93"/>
                </w:rPr>
                <w:t>Trust and 989677 Alberta Ltd. (incorporated herein by reference to Exhibit 4.1 to the Current Report on Form 8-K (File No. 001-</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40" w:type="dxa"/>
            <w:vAlign w:val="bottom"/>
            <w:tcBorders>
              <w:bottom w:val="single" w:sz="8" w:color="0000FF"/>
            </w:tcBorders>
            <w:gridSpan w:val="2"/>
          </w:tcPr>
          <w:p>
            <w:pPr>
              <w:ind w:left="20"/>
              <w:spacing w:after="0" w:line="196" w:lineRule="exact"/>
              <w:rPr>
                <w:rFonts w:ascii="Arial" w:cs="Arial" w:eastAsia="Arial" w:hAnsi="Arial"/>
                <w:sz w:val="18"/>
                <w:szCs w:val="18"/>
                <w:color w:val="0000FF"/>
                <w:w w:val="93"/>
              </w:rPr>
            </w:pPr>
            <w:hyperlink r:id="rId39">
              <w:r>
                <w:rPr>
                  <w:rFonts w:ascii="Arial" w:cs="Arial" w:eastAsia="Arial" w:hAnsi="Arial"/>
                  <w:sz w:val="18"/>
                  <w:szCs w:val="18"/>
                  <w:color w:val="0000FF"/>
                  <w:w w:val="93"/>
                </w:rPr>
                <w:t>36246) filed on April 2, 2018).</w:t>
              </w:r>
            </w:hyperlink>
          </w:p>
        </w:tc>
        <w:tc>
          <w:tcPr>
            <w:tcW w:w="7300" w:type="dxa"/>
            <w:vAlign w:val="bottom"/>
            <w:gridSpan w:val="10"/>
          </w:tcPr>
          <w:p>
            <w:pPr>
              <w:spacing w:after="0"/>
              <w:rPr>
                <w:sz w:val="17"/>
                <w:szCs w:val="17"/>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Indemnification and Release Agreement by and between Oil States International, Inc. and Civeo Corporation, dated May 27, 2014</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(incorporated herein by reference to Exhibit 10.1 to the Current Report on Form 8-K (File No. 001-36246) filed on June 2, 2014).</w:t>
              </w:r>
            </w:hyperlink>
          </w:p>
        </w:tc>
      </w:tr>
      <w:tr>
        <w:trPr>
          <w:trHeight w:val="20"/>
        </w:trPr>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320" w:type="dxa"/>
            <w:vAlign w:val="bottom"/>
            <w:gridSpan w:val="9"/>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Tax Sharing Agreement by and between Oil States International, Inc. and Civeo Corporation, dated May 27, 2014 (incorporated</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herein by reference to Exhibit 10.2 to the Current Report on Form 8-K (File No. 001-36246) filed on June 2, 2014).</w:t>
              </w:r>
            </w:hyperlink>
          </w:p>
        </w:tc>
      </w:tr>
      <w:tr>
        <w:trPr>
          <w:trHeight w:val="20"/>
        </w:trPr>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25" w:right="3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60"/>
          </w:cols>
          <w:pgMar w:left="240" w:top="125" w:right="39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8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ind w:left="160"/>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9540" w:type="dxa"/>
            <w:vAlign w:val="bottom"/>
            <w:tcBorders>
              <w:bottom w:val="single" w:sz="8" w:color="0000FF"/>
            </w:tcBorders>
            <w:gridSpan w:val="3"/>
          </w:tcPr>
          <w:p>
            <w:pPr>
              <w:ind w:left="20"/>
              <w:spacing w:after="0"/>
              <w:rPr>
                <w:rFonts w:ascii="Arial" w:cs="Arial" w:eastAsia="Arial" w:hAnsi="Arial"/>
                <w:sz w:val="18"/>
                <w:szCs w:val="18"/>
                <w:color w:val="0000FF"/>
                <w:w w:val="99"/>
              </w:rPr>
            </w:pPr>
            <w:hyperlink r:id="rId42">
              <w:r>
                <w:rPr>
                  <w:rFonts w:ascii="Arial" w:cs="Arial" w:eastAsia="Arial" w:hAnsi="Arial"/>
                  <w:sz w:val="18"/>
                  <w:szCs w:val="18"/>
                  <w:color w:val="0000FF"/>
                  <w:w w:val="99"/>
                </w:rPr>
                <w:t>Employee Matters Agreement by and between Oil States International, Inc. and Civeo Corporation, dated May 27, 2014</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3"/>
          </w:tcPr>
          <w:p>
            <w:pPr>
              <w:ind w:left="20"/>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(incorporated herein by reference to Exhibit 10.3 to the Current Report on Form 8-K (File No. 001-36246) filed on June 2, 2014).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4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88"/>
        </w:trPr>
        <w:tc>
          <w:tcPr>
            <w:tcW w:w="1280" w:type="dxa"/>
            <w:vAlign w:val="bottom"/>
          </w:tcPr>
          <w:p>
            <w:pPr>
              <w:ind w:left="16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540" w:type="dxa"/>
            <w:vAlign w:val="bottom"/>
            <w:tcBorders>
              <w:bottom w:val="single" w:sz="8" w:color="0000FF"/>
            </w:tcBorders>
            <w:gridSpan w:val="3"/>
          </w:tcPr>
          <w:p>
            <w:pPr>
              <w:ind w:left="20"/>
              <w:spacing w:after="0"/>
              <w:rPr>
                <w:rFonts w:ascii="Arial" w:cs="Arial" w:eastAsia="Arial" w:hAnsi="Arial"/>
                <w:sz w:val="18"/>
                <w:szCs w:val="18"/>
                <w:color w:val="0000FF"/>
                <w:w w:val="99"/>
              </w:rPr>
            </w:pPr>
            <w:hyperlink r:id="rId43">
              <w:r>
                <w:rPr>
                  <w:rFonts w:ascii="Arial" w:cs="Arial" w:eastAsia="Arial" w:hAnsi="Arial"/>
                  <w:sz w:val="18"/>
                  <w:szCs w:val="18"/>
                  <w:color w:val="0000FF"/>
                  <w:w w:val="99"/>
                </w:rPr>
                <w:t>Transition Services Agreement by and between Oil States International, Inc. and Civeo Corporation, dated May 27, 2014</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3"/>
          </w:tcPr>
          <w:p>
            <w:pPr>
              <w:ind w:left="20"/>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(incorporated herein by reference to Exhibit 10.4 to the Current Report on Form 8-K (File No. 001-36246) filed on June 2, 2014).</w:t>
              </w:r>
            </w:hyperlink>
          </w:p>
        </w:tc>
      </w:tr>
      <w:tr>
        <w:trPr>
          <w:trHeight w:val="20"/>
        </w:trPr>
        <w:tc>
          <w:tcPr>
            <w:tcW w:w="1720" w:type="dxa"/>
            <w:vAlign w:val="bottom"/>
            <w:gridSpan w:val="2"/>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4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10.5†</w:t>
            </w:r>
          </w:p>
        </w:tc>
        <w:tc>
          <w:tcPr>
            <w:tcW w:w="9540" w:type="dxa"/>
            <w:vAlign w:val="bottom"/>
            <w:tcBorders>
              <w:bottom w:val="single" w:sz="8" w:color="0000FF"/>
            </w:tcBorders>
            <w:gridSpan w:val="3"/>
          </w:tcPr>
          <w:p>
            <w:pPr>
              <w:ind w:left="20"/>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Form of Indemnification Agreement (incorporated herein by reference to Exhibit 10.1 to the Current Report on Form 8-K12B (File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3"/>
          </w:tcPr>
          <w:p>
            <w:pPr>
              <w:ind w:left="20"/>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No. 001-36246) filed on July 17, 2015).</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auto"/>
              </w:rPr>
              <w:t>10.6†</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Amended and Restated 2014 Equity Participation Plan of Civeo Corporation (incorporated herein by reference to Annex B of Civeo</w:t>
              </w:r>
            </w:hyperlink>
          </w:p>
        </w:tc>
      </w:tr>
      <w:tr>
        <w:trPr>
          <w:trHeight w:val="196"/>
        </w:trPr>
        <w:tc>
          <w:tcPr>
            <w:tcW w:w="1560" w:type="dxa"/>
            <w:vAlign w:val="bottom"/>
          </w:tcPr>
          <w:p>
            <w:pPr>
              <w:spacing w:after="0"/>
              <w:rPr>
                <w:sz w:val="17"/>
                <w:szCs w:val="17"/>
                <w:color w:val="auto"/>
              </w:rPr>
            </w:pPr>
          </w:p>
        </w:tc>
        <w:tc>
          <w:tcPr>
            <w:tcW w:w="7600" w:type="dxa"/>
            <w:vAlign w:val="bottom"/>
            <w:tcBorders>
              <w:bottom w:val="single" w:sz="8" w:color="0000FF"/>
            </w:tcBorders>
            <w:gridSpan w:val="8"/>
          </w:tcPr>
          <w:p>
            <w:pPr>
              <w:ind w:left="20"/>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Corporation’s definitive proxy statement on Schedule 14A (File No. 001-36246) filed on April 11, 2016).</w:t>
              </w:r>
            </w:hyperlink>
          </w:p>
        </w:tc>
        <w:tc>
          <w:tcPr>
            <w:tcW w:w="1940" w:type="dxa"/>
            <w:vAlign w:val="bottom"/>
            <w:gridSpan w:val="2"/>
          </w:tcPr>
          <w:p>
            <w:pPr>
              <w:spacing w:after="0"/>
              <w:rPr>
                <w:sz w:val="17"/>
                <w:szCs w:val="17"/>
                <w:color w:val="auto"/>
              </w:rPr>
            </w:pPr>
          </w:p>
        </w:tc>
      </w:tr>
      <w:tr>
        <w:trPr>
          <w:trHeight w:val="588"/>
        </w:trPr>
        <w:tc>
          <w:tcPr>
            <w:tcW w:w="1560" w:type="dxa"/>
            <w:vAlign w:val="bottom"/>
          </w:tcPr>
          <w:p>
            <w:pPr>
              <w:spacing w:after="0"/>
              <w:rPr>
                <w:sz w:val="20"/>
                <w:szCs w:val="20"/>
                <w:color w:val="auto"/>
              </w:rPr>
            </w:pPr>
            <w:r>
              <w:rPr>
                <w:rFonts w:ascii="Arial" w:cs="Arial" w:eastAsia="Arial" w:hAnsi="Arial"/>
                <w:sz w:val="18"/>
                <w:szCs w:val="18"/>
                <w:color w:val="auto"/>
              </w:rPr>
              <w:t>10.7†</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5"/>
              </w:rPr>
            </w:pPr>
            <w:hyperlink r:id="rId46">
              <w:r>
                <w:rPr>
                  <w:rFonts w:ascii="Arial" w:cs="Arial" w:eastAsia="Arial" w:hAnsi="Arial"/>
                  <w:sz w:val="18"/>
                  <w:szCs w:val="18"/>
                  <w:color w:val="0000FF"/>
                  <w:w w:val="95"/>
                </w:rPr>
                <w:t>Performance Share Award Program under the 2014 Equity Participation Plan (incorporated by reference to Exhibit 10.2 to the</w:t>
              </w:r>
            </w:hyperlink>
          </w:p>
        </w:tc>
      </w:tr>
      <w:tr>
        <w:trPr>
          <w:trHeight w:val="196"/>
        </w:trPr>
        <w:tc>
          <w:tcPr>
            <w:tcW w:w="1560" w:type="dxa"/>
            <w:vAlign w:val="bottom"/>
          </w:tcPr>
          <w:p>
            <w:pPr>
              <w:spacing w:after="0"/>
              <w:rPr>
                <w:sz w:val="17"/>
                <w:szCs w:val="17"/>
                <w:color w:val="auto"/>
              </w:rPr>
            </w:pPr>
          </w:p>
        </w:tc>
        <w:tc>
          <w:tcPr>
            <w:tcW w:w="5700" w:type="dxa"/>
            <w:vAlign w:val="bottom"/>
            <w:tcBorders>
              <w:bottom w:val="single" w:sz="8" w:color="0000FF"/>
            </w:tcBorders>
            <w:gridSpan w:val="4"/>
          </w:tcPr>
          <w:p>
            <w:pPr>
              <w:ind w:left="20"/>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Quarterly Report on Form 10-Q (File No. 001-36246) filed on April 28, 2016).</w:t>
              </w:r>
            </w:hyperlink>
          </w:p>
        </w:tc>
        <w:tc>
          <w:tcPr>
            <w:tcW w:w="3840" w:type="dxa"/>
            <w:vAlign w:val="bottom"/>
            <w:gridSpan w:val="6"/>
          </w:tcPr>
          <w:p>
            <w:pPr>
              <w:spacing w:after="0"/>
              <w:rPr>
                <w:sz w:val="17"/>
                <w:szCs w:val="17"/>
                <w:color w:val="auto"/>
              </w:rPr>
            </w:pPr>
          </w:p>
        </w:tc>
      </w:tr>
      <w:tr>
        <w:trPr>
          <w:trHeight w:val="588"/>
        </w:trPr>
        <w:tc>
          <w:tcPr>
            <w:tcW w:w="1560" w:type="dxa"/>
            <w:vAlign w:val="bottom"/>
          </w:tcPr>
          <w:p>
            <w:pPr>
              <w:spacing w:after="0"/>
              <w:rPr>
                <w:sz w:val="20"/>
                <w:szCs w:val="20"/>
                <w:color w:val="auto"/>
              </w:rPr>
            </w:pPr>
            <w:r>
              <w:rPr>
                <w:rFonts w:ascii="Arial" w:cs="Arial" w:eastAsia="Arial" w:hAnsi="Arial"/>
                <w:sz w:val="18"/>
                <w:szCs w:val="18"/>
                <w:color w:val="auto"/>
              </w:rPr>
              <w:t>10.8†</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Form of Performance Share Award Agreement under the 2014 Equity Participation Plan (incorporated by reference to Exhibit 10.3</w:t>
              </w:r>
            </w:hyperlink>
          </w:p>
        </w:tc>
      </w:tr>
      <w:tr>
        <w:trPr>
          <w:trHeight w:val="196"/>
        </w:trPr>
        <w:tc>
          <w:tcPr>
            <w:tcW w:w="1560" w:type="dxa"/>
            <w:vAlign w:val="bottom"/>
          </w:tcPr>
          <w:p>
            <w:pPr>
              <w:spacing w:after="0"/>
              <w:rPr>
                <w:sz w:val="17"/>
                <w:szCs w:val="17"/>
                <w:color w:val="auto"/>
              </w:rPr>
            </w:pPr>
          </w:p>
        </w:tc>
        <w:tc>
          <w:tcPr>
            <w:tcW w:w="9540" w:type="dxa"/>
            <w:vAlign w:val="bottom"/>
            <w:gridSpan w:val="10"/>
          </w:tcPr>
          <w:p>
            <w:pPr>
              <w:ind w:left="20"/>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to the Quarterly Report on Form 10-Q (File No. 001-36246) filed on April 28, 2016).</w:t>
              </w:r>
            </w:hyperlink>
          </w:p>
        </w:tc>
      </w:tr>
      <w:tr>
        <w:trPr>
          <w:trHeight w:val="20"/>
        </w:trPr>
        <w:tc>
          <w:tcPr>
            <w:tcW w:w="15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88"/>
        </w:trPr>
        <w:tc>
          <w:tcPr>
            <w:tcW w:w="1560" w:type="dxa"/>
            <w:vAlign w:val="bottom"/>
          </w:tcPr>
          <w:p>
            <w:pPr>
              <w:spacing w:after="0"/>
              <w:rPr>
                <w:sz w:val="20"/>
                <w:szCs w:val="20"/>
                <w:color w:val="auto"/>
              </w:rPr>
            </w:pPr>
            <w:r>
              <w:rPr>
                <w:rFonts w:ascii="Arial" w:cs="Arial" w:eastAsia="Arial" w:hAnsi="Arial"/>
                <w:sz w:val="18"/>
                <w:szCs w:val="18"/>
                <w:color w:val="auto"/>
              </w:rPr>
              <w:t>10.9†</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Form of Civeo Corporation Annual Incentive Compensation Plan (incorporated herein by reference to Exhibit 10.7 to the</w:t>
              </w:r>
            </w:hyperlink>
          </w:p>
        </w:tc>
      </w:tr>
      <w:tr>
        <w:trPr>
          <w:trHeight w:val="196"/>
        </w:trPr>
        <w:tc>
          <w:tcPr>
            <w:tcW w:w="1560" w:type="dxa"/>
            <w:vAlign w:val="bottom"/>
          </w:tcPr>
          <w:p>
            <w:pPr>
              <w:spacing w:after="0"/>
              <w:rPr>
                <w:sz w:val="17"/>
                <w:szCs w:val="17"/>
                <w:color w:val="auto"/>
              </w:rPr>
            </w:pPr>
          </w:p>
        </w:tc>
        <w:tc>
          <w:tcPr>
            <w:tcW w:w="9540" w:type="dxa"/>
            <w:vAlign w:val="bottom"/>
            <w:gridSpan w:val="10"/>
          </w:tcPr>
          <w:p>
            <w:pPr>
              <w:ind w:left="20"/>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Registration Statement on Form 10 (File No. 001-36246) filed on April 22, 2014).</w:t>
              </w:r>
            </w:hyperlink>
          </w:p>
        </w:tc>
      </w:tr>
      <w:tr>
        <w:trPr>
          <w:trHeight w:val="20"/>
        </w:trPr>
        <w:tc>
          <w:tcPr>
            <w:tcW w:w="15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88"/>
        </w:trPr>
        <w:tc>
          <w:tcPr>
            <w:tcW w:w="1560" w:type="dxa"/>
            <w:vAlign w:val="bottom"/>
          </w:tcPr>
          <w:p>
            <w:pPr>
              <w:spacing w:after="0"/>
              <w:rPr>
                <w:sz w:val="20"/>
                <w:szCs w:val="20"/>
                <w:color w:val="auto"/>
              </w:rPr>
            </w:pPr>
            <w:r>
              <w:rPr>
                <w:rFonts w:ascii="Arial" w:cs="Arial" w:eastAsia="Arial" w:hAnsi="Arial"/>
                <w:sz w:val="18"/>
                <w:szCs w:val="18"/>
                <w:color w:val="auto"/>
              </w:rPr>
              <w:t>10.10†</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Form of Canadian Long-Term Incentive Plan (incorporated herein by reference to Exhibit 10.8 to the Registration Statement on</w:t>
              </w:r>
            </w:hyperlink>
          </w:p>
        </w:tc>
      </w:tr>
      <w:tr>
        <w:trPr>
          <w:trHeight w:val="196"/>
        </w:trPr>
        <w:tc>
          <w:tcPr>
            <w:tcW w:w="1560" w:type="dxa"/>
            <w:vAlign w:val="bottom"/>
          </w:tcPr>
          <w:p>
            <w:pPr>
              <w:spacing w:after="0"/>
              <w:rPr>
                <w:sz w:val="17"/>
                <w:szCs w:val="17"/>
                <w:color w:val="auto"/>
              </w:rPr>
            </w:pPr>
          </w:p>
        </w:tc>
        <w:tc>
          <w:tcPr>
            <w:tcW w:w="9540" w:type="dxa"/>
            <w:vAlign w:val="bottom"/>
            <w:gridSpan w:val="10"/>
          </w:tcPr>
          <w:p>
            <w:pPr>
              <w:ind w:left="20"/>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Form 10 (File No. 001-36246) filed on April 22, 2014).</w:t>
              </w:r>
            </w:hyperlink>
          </w:p>
        </w:tc>
      </w:tr>
      <w:tr>
        <w:trPr>
          <w:trHeight w:val="20"/>
        </w:trPr>
        <w:tc>
          <w:tcPr>
            <w:tcW w:w="15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88"/>
        </w:trPr>
        <w:tc>
          <w:tcPr>
            <w:tcW w:w="1560" w:type="dxa"/>
            <w:vAlign w:val="bottom"/>
          </w:tcPr>
          <w:p>
            <w:pPr>
              <w:spacing w:after="0"/>
              <w:rPr>
                <w:sz w:val="20"/>
                <w:szCs w:val="20"/>
                <w:color w:val="auto"/>
              </w:rPr>
            </w:pPr>
            <w:r>
              <w:rPr>
                <w:rFonts w:ascii="Arial" w:cs="Arial" w:eastAsia="Arial" w:hAnsi="Arial"/>
                <w:sz w:val="18"/>
                <w:szCs w:val="18"/>
                <w:color w:val="auto"/>
              </w:rPr>
              <w:t>10.11†</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Form of Employee Non-Qualified Stock Option Agreement under the 2014 Equity Participation Plan of Civeo Corporation</w:t>
              </w:r>
            </w:hyperlink>
          </w:p>
        </w:tc>
      </w:tr>
      <w:tr>
        <w:trPr>
          <w:trHeight w:val="196"/>
        </w:trPr>
        <w:tc>
          <w:tcPr>
            <w:tcW w:w="1560" w:type="dxa"/>
            <w:vAlign w:val="bottom"/>
          </w:tcPr>
          <w:p>
            <w:pPr>
              <w:spacing w:after="0"/>
              <w:rPr>
                <w:sz w:val="17"/>
                <w:szCs w:val="17"/>
                <w:color w:val="auto"/>
              </w:rPr>
            </w:pPr>
          </w:p>
        </w:tc>
        <w:tc>
          <w:tcPr>
            <w:tcW w:w="9540" w:type="dxa"/>
            <w:vAlign w:val="bottom"/>
            <w:tcBorders>
              <w:bottom w:val="single" w:sz="8" w:color="0000FF"/>
            </w:tcBorders>
            <w:gridSpan w:val="10"/>
          </w:tcPr>
          <w:p>
            <w:pPr>
              <w:ind w:left="20"/>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(incorporated herein by reference to Exhibit 10.9 to the Registration Statement on Form 10 (File No. 001-36246) filed on April 22,</w:t>
              </w:r>
            </w:hyperlink>
          </w:p>
        </w:tc>
      </w:tr>
      <w:tr>
        <w:trPr>
          <w:trHeight w:val="196"/>
        </w:trPr>
        <w:tc>
          <w:tcPr>
            <w:tcW w:w="1560" w:type="dxa"/>
            <w:vAlign w:val="bottom"/>
          </w:tcPr>
          <w:p>
            <w:pPr>
              <w:spacing w:after="0"/>
              <w:rPr>
                <w:sz w:val="17"/>
                <w:szCs w:val="17"/>
                <w:color w:val="auto"/>
              </w:rPr>
            </w:pPr>
          </w:p>
        </w:tc>
        <w:tc>
          <w:tcPr>
            <w:tcW w:w="480" w:type="dxa"/>
            <w:vAlign w:val="bottom"/>
            <w:tcBorders>
              <w:bottom w:val="single" w:sz="8" w:color="0000FF"/>
            </w:tcBorders>
          </w:tcPr>
          <w:p>
            <w:pPr>
              <w:ind w:left="20"/>
              <w:spacing w:after="0" w:line="196" w:lineRule="exact"/>
              <w:rPr>
                <w:rFonts w:ascii="Arial" w:cs="Arial" w:eastAsia="Arial" w:hAnsi="Arial"/>
                <w:sz w:val="18"/>
                <w:szCs w:val="18"/>
                <w:color w:val="0000FF"/>
                <w:w w:val="86"/>
              </w:rPr>
            </w:pPr>
            <w:hyperlink r:id="rId50">
              <w:r>
                <w:rPr>
                  <w:rFonts w:ascii="Arial" w:cs="Arial" w:eastAsia="Arial" w:hAnsi="Arial"/>
                  <w:sz w:val="18"/>
                  <w:szCs w:val="18"/>
                  <w:color w:val="0000FF"/>
                  <w:w w:val="86"/>
                </w:rPr>
                <w:t>2014).</w:t>
              </w:r>
            </w:hyperlink>
          </w:p>
        </w:tc>
        <w:tc>
          <w:tcPr>
            <w:tcW w:w="3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588"/>
        </w:trPr>
        <w:tc>
          <w:tcPr>
            <w:tcW w:w="1560" w:type="dxa"/>
            <w:vAlign w:val="bottom"/>
          </w:tcPr>
          <w:p>
            <w:pPr>
              <w:spacing w:after="0"/>
              <w:rPr>
                <w:sz w:val="20"/>
                <w:szCs w:val="20"/>
                <w:color w:val="auto"/>
              </w:rPr>
            </w:pPr>
            <w:r>
              <w:rPr>
                <w:rFonts w:ascii="Arial" w:cs="Arial" w:eastAsia="Arial" w:hAnsi="Arial"/>
                <w:sz w:val="18"/>
                <w:szCs w:val="18"/>
                <w:color w:val="auto"/>
              </w:rPr>
              <w:t>10.12†</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7"/>
              </w:rPr>
            </w:pPr>
            <w:hyperlink r:id="rId51">
              <w:r>
                <w:rPr>
                  <w:rFonts w:ascii="Arial" w:cs="Arial" w:eastAsia="Arial" w:hAnsi="Arial"/>
                  <w:sz w:val="18"/>
                  <w:szCs w:val="18"/>
                  <w:color w:val="0000FF"/>
                  <w:w w:val="97"/>
                </w:rPr>
                <w:t>Form of Restricted Stock Agreement under the 2014 Equity Participation Plan of Civeo Corporation (incorporated herein by</w:t>
              </w:r>
            </w:hyperlink>
          </w:p>
        </w:tc>
      </w:tr>
      <w:tr>
        <w:trPr>
          <w:trHeight w:val="196"/>
        </w:trPr>
        <w:tc>
          <w:tcPr>
            <w:tcW w:w="1560" w:type="dxa"/>
            <w:vAlign w:val="bottom"/>
          </w:tcPr>
          <w:p>
            <w:pPr>
              <w:spacing w:after="0"/>
              <w:rPr>
                <w:sz w:val="17"/>
                <w:szCs w:val="17"/>
                <w:color w:val="auto"/>
              </w:rPr>
            </w:pPr>
          </w:p>
        </w:tc>
        <w:tc>
          <w:tcPr>
            <w:tcW w:w="8300" w:type="dxa"/>
            <w:vAlign w:val="bottom"/>
            <w:tcBorders>
              <w:bottom w:val="single" w:sz="8" w:color="0000FF"/>
            </w:tcBorders>
            <w:gridSpan w:val="9"/>
          </w:tcPr>
          <w:p>
            <w:pPr>
              <w:ind w:left="20"/>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reference to Exhibit 10.10 to the Registration Statement on Form 10 (File No. 001-36246) filed on April 22, 2014).</w:t>
              </w:r>
            </w:hyperlink>
          </w:p>
        </w:tc>
        <w:tc>
          <w:tcPr>
            <w:tcW w:w="1240" w:type="dxa"/>
            <w:vAlign w:val="bottom"/>
          </w:tcPr>
          <w:p>
            <w:pPr>
              <w:spacing w:after="0"/>
              <w:rPr>
                <w:sz w:val="17"/>
                <w:szCs w:val="17"/>
                <w:color w:val="auto"/>
              </w:rPr>
            </w:pPr>
          </w:p>
        </w:tc>
      </w:tr>
      <w:tr>
        <w:trPr>
          <w:trHeight w:val="588"/>
        </w:trPr>
        <w:tc>
          <w:tcPr>
            <w:tcW w:w="1560" w:type="dxa"/>
            <w:vAlign w:val="bottom"/>
          </w:tcPr>
          <w:p>
            <w:pPr>
              <w:spacing w:after="0"/>
              <w:rPr>
                <w:sz w:val="20"/>
                <w:szCs w:val="20"/>
                <w:color w:val="auto"/>
              </w:rPr>
            </w:pPr>
            <w:r>
              <w:rPr>
                <w:rFonts w:ascii="Arial" w:cs="Arial" w:eastAsia="Arial" w:hAnsi="Arial"/>
                <w:sz w:val="18"/>
                <w:szCs w:val="18"/>
                <w:color w:val="auto"/>
              </w:rPr>
              <w:t>10.13†</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Form of Non-Employee Director Restricted Stock Agreement (incorporated herein by reference to Exhibit 10.11 to the Registration</w:t>
              </w:r>
            </w:hyperlink>
          </w:p>
        </w:tc>
      </w:tr>
      <w:tr>
        <w:trPr>
          <w:trHeight w:val="196"/>
        </w:trPr>
        <w:tc>
          <w:tcPr>
            <w:tcW w:w="1560" w:type="dxa"/>
            <w:vAlign w:val="bottom"/>
          </w:tcPr>
          <w:p>
            <w:pPr>
              <w:spacing w:after="0"/>
              <w:rPr>
                <w:sz w:val="17"/>
                <w:szCs w:val="17"/>
                <w:color w:val="auto"/>
              </w:rPr>
            </w:pPr>
          </w:p>
        </w:tc>
        <w:tc>
          <w:tcPr>
            <w:tcW w:w="5000" w:type="dxa"/>
            <w:vAlign w:val="bottom"/>
            <w:tcBorders>
              <w:bottom w:val="single" w:sz="8" w:color="0000FF"/>
            </w:tcBorders>
            <w:gridSpan w:val="3"/>
          </w:tcPr>
          <w:p>
            <w:pPr>
              <w:ind w:left="20"/>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Statement on Form 10 (File No. 001-36246) filed on April 22, 2014).</w:t>
              </w:r>
            </w:hyperlink>
          </w:p>
        </w:tc>
        <w:tc>
          <w:tcPr>
            <w:tcW w:w="4540" w:type="dxa"/>
            <w:vAlign w:val="bottom"/>
            <w:gridSpan w:val="7"/>
          </w:tcPr>
          <w:p>
            <w:pPr>
              <w:spacing w:after="0"/>
              <w:rPr>
                <w:sz w:val="17"/>
                <w:szCs w:val="17"/>
                <w:color w:val="auto"/>
              </w:rPr>
            </w:pPr>
          </w:p>
        </w:tc>
      </w:tr>
      <w:tr>
        <w:trPr>
          <w:trHeight w:val="588"/>
        </w:trPr>
        <w:tc>
          <w:tcPr>
            <w:tcW w:w="1560" w:type="dxa"/>
            <w:vAlign w:val="bottom"/>
          </w:tcPr>
          <w:p>
            <w:pPr>
              <w:spacing w:after="0"/>
              <w:rPr>
                <w:sz w:val="20"/>
                <w:szCs w:val="20"/>
                <w:color w:val="auto"/>
              </w:rPr>
            </w:pPr>
            <w:r>
              <w:rPr>
                <w:rFonts w:ascii="Arial" w:cs="Arial" w:eastAsia="Arial" w:hAnsi="Arial"/>
                <w:sz w:val="18"/>
                <w:szCs w:val="18"/>
                <w:color w:val="auto"/>
              </w:rPr>
              <w:t>10.14†</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Form of Deferred Stock Agreement (Australia) (incorporated herein by reference to Exhibit 10.12 to the Registration Statement on</w:t>
              </w:r>
            </w:hyperlink>
          </w:p>
        </w:tc>
      </w:tr>
      <w:tr>
        <w:trPr>
          <w:trHeight w:val="196"/>
        </w:trPr>
        <w:tc>
          <w:tcPr>
            <w:tcW w:w="1560" w:type="dxa"/>
            <w:vAlign w:val="bottom"/>
          </w:tcPr>
          <w:p>
            <w:pPr>
              <w:spacing w:after="0"/>
              <w:rPr>
                <w:sz w:val="17"/>
                <w:szCs w:val="17"/>
                <w:color w:val="auto"/>
              </w:rPr>
            </w:pPr>
          </w:p>
        </w:tc>
        <w:tc>
          <w:tcPr>
            <w:tcW w:w="9540" w:type="dxa"/>
            <w:vAlign w:val="bottom"/>
            <w:gridSpan w:val="10"/>
          </w:tcPr>
          <w:p>
            <w:pPr>
              <w:ind w:left="20"/>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Form 10 (File No. 001-36246) filed on April 22, 2014).</w:t>
              </w:r>
            </w:hyperlink>
          </w:p>
        </w:tc>
      </w:tr>
      <w:tr>
        <w:trPr>
          <w:trHeight w:val="20"/>
        </w:trPr>
        <w:tc>
          <w:tcPr>
            <w:tcW w:w="156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r>
      <w:tr>
        <w:trPr>
          <w:trHeight w:val="588"/>
        </w:trPr>
        <w:tc>
          <w:tcPr>
            <w:tcW w:w="1560" w:type="dxa"/>
            <w:vAlign w:val="bottom"/>
          </w:tcPr>
          <w:p>
            <w:pPr>
              <w:spacing w:after="0"/>
              <w:rPr>
                <w:sz w:val="20"/>
                <w:szCs w:val="20"/>
                <w:color w:val="auto"/>
              </w:rPr>
            </w:pPr>
            <w:r>
              <w:rPr>
                <w:rFonts w:ascii="Arial" w:cs="Arial" w:eastAsia="Arial" w:hAnsi="Arial"/>
                <w:sz w:val="18"/>
                <w:szCs w:val="18"/>
                <w:color w:val="auto"/>
              </w:rPr>
              <w:t>10.15†</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Form of Deferred Stock Agreement (Canada) (incorporated herein by reference to Exhibit 10.13 to the Registration Statement on</w:t>
              </w:r>
            </w:hyperlink>
          </w:p>
        </w:tc>
      </w:tr>
      <w:tr>
        <w:trPr>
          <w:trHeight w:val="196"/>
        </w:trPr>
        <w:tc>
          <w:tcPr>
            <w:tcW w:w="1560" w:type="dxa"/>
            <w:vAlign w:val="bottom"/>
          </w:tcPr>
          <w:p>
            <w:pPr>
              <w:spacing w:after="0"/>
              <w:rPr>
                <w:sz w:val="17"/>
                <w:szCs w:val="17"/>
                <w:color w:val="auto"/>
              </w:rPr>
            </w:pPr>
          </w:p>
        </w:tc>
        <w:tc>
          <w:tcPr>
            <w:tcW w:w="9540" w:type="dxa"/>
            <w:vAlign w:val="bottom"/>
            <w:gridSpan w:val="10"/>
          </w:tcPr>
          <w:p>
            <w:pPr>
              <w:ind w:left="20"/>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Form 10 (File No. 001-36246) filed on April 22, 2014).</w:t>
              </w:r>
            </w:hyperlink>
          </w:p>
        </w:tc>
      </w:tr>
      <w:tr>
        <w:trPr>
          <w:trHeight w:val="20"/>
        </w:trPr>
        <w:tc>
          <w:tcPr>
            <w:tcW w:w="156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r>
      <w:tr>
        <w:trPr>
          <w:trHeight w:val="588"/>
        </w:trPr>
        <w:tc>
          <w:tcPr>
            <w:tcW w:w="1560" w:type="dxa"/>
            <w:vAlign w:val="bottom"/>
          </w:tcPr>
          <w:p>
            <w:pPr>
              <w:spacing w:after="0"/>
              <w:rPr>
                <w:sz w:val="20"/>
                <w:szCs w:val="20"/>
                <w:color w:val="auto"/>
              </w:rPr>
            </w:pPr>
            <w:r>
              <w:rPr>
                <w:rFonts w:ascii="Arial" w:cs="Arial" w:eastAsia="Arial" w:hAnsi="Arial"/>
                <w:sz w:val="18"/>
                <w:szCs w:val="18"/>
                <w:color w:val="auto"/>
              </w:rPr>
              <w:t>10.16†</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8"/>
              </w:rPr>
            </w:pPr>
            <w:hyperlink r:id="rId55">
              <w:r>
                <w:rPr>
                  <w:rFonts w:ascii="Arial" w:cs="Arial" w:eastAsia="Arial" w:hAnsi="Arial"/>
                  <w:sz w:val="18"/>
                  <w:szCs w:val="18"/>
                  <w:color w:val="0000FF"/>
                  <w:w w:val="98"/>
                </w:rPr>
                <w:t>Form of Executive Agreement of Bradley J. Dodson (incorporated herein by reference to Exhibit 10.14 to the Registration</w:t>
              </w:r>
            </w:hyperlink>
          </w:p>
        </w:tc>
      </w:tr>
      <w:tr>
        <w:trPr>
          <w:trHeight w:val="196"/>
        </w:trPr>
        <w:tc>
          <w:tcPr>
            <w:tcW w:w="1560" w:type="dxa"/>
            <w:vAlign w:val="bottom"/>
          </w:tcPr>
          <w:p>
            <w:pPr>
              <w:spacing w:after="0"/>
              <w:rPr>
                <w:sz w:val="17"/>
                <w:szCs w:val="17"/>
                <w:color w:val="auto"/>
              </w:rPr>
            </w:pPr>
          </w:p>
        </w:tc>
        <w:tc>
          <w:tcPr>
            <w:tcW w:w="5000" w:type="dxa"/>
            <w:vAlign w:val="bottom"/>
            <w:tcBorders>
              <w:bottom w:val="single" w:sz="8" w:color="0000FF"/>
            </w:tcBorders>
            <w:gridSpan w:val="3"/>
          </w:tcPr>
          <w:p>
            <w:pPr>
              <w:ind w:left="20"/>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Statement on Form 10 (File No. 001-36246) filed on April 22, 2014).</w:t>
              </w:r>
            </w:hyperlink>
          </w:p>
        </w:tc>
        <w:tc>
          <w:tcPr>
            <w:tcW w:w="4540" w:type="dxa"/>
            <w:vAlign w:val="bottom"/>
            <w:gridSpan w:val="7"/>
          </w:tcPr>
          <w:p>
            <w:pPr>
              <w:spacing w:after="0"/>
              <w:rPr>
                <w:sz w:val="17"/>
                <w:szCs w:val="17"/>
                <w:color w:val="auto"/>
              </w:rPr>
            </w:pPr>
          </w:p>
        </w:tc>
      </w:tr>
      <w:tr>
        <w:trPr>
          <w:trHeight w:val="588"/>
        </w:trPr>
        <w:tc>
          <w:tcPr>
            <w:tcW w:w="1560" w:type="dxa"/>
            <w:vAlign w:val="bottom"/>
          </w:tcPr>
          <w:p>
            <w:pPr>
              <w:spacing w:after="0"/>
              <w:rPr>
                <w:sz w:val="20"/>
                <w:szCs w:val="20"/>
                <w:color w:val="auto"/>
              </w:rPr>
            </w:pPr>
            <w:r>
              <w:rPr>
                <w:rFonts w:ascii="Arial" w:cs="Arial" w:eastAsia="Arial" w:hAnsi="Arial"/>
                <w:sz w:val="18"/>
                <w:szCs w:val="18"/>
                <w:color w:val="auto"/>
              </w:rPr>
              <w:t>10.17†</w:t>
            </w:r>
          </w:p>
        </w:tc>
        <w:tc>
          <w:tcPr>
            <w:tcW w:w="9540" w:type="dxa"/>
            <w:vAlign w:val="bottom"/>
            <w:tcBorders>
              <w:bottom w:val="single" w:sz="8" w:color="0000FF"/>
            </w:tcBorders>
            <w:gridSpan w:val="10"/>
          </w:tcPr>
          <w:p>
            <w:pPr>
              <w:ind w:left="20"/>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Form of Phantom Unit Agreement under the 2014 Equity Participation Plan of Civeo Corporation (incorporated herein by reference</w:t>
              </w:r>
            </w:hyperlink>
          </w:p>
        </w:tc>
      </w:tr>
      <w:tr>
        <w:trPr>
          <w:trHeight w:val="196"/>
        </w:trPr>
        <w:tc>
          <w:tcPr>
            <w:tcW w:w="1560" w:type="dxa"/>
            <w:vAlign w:val="bottom"/>
          </w:tcPr>
          <w:p>
            <w:pPr>
              <w:spacing w:after="0"/>
              <w:rPr>
                <w:sz w:val="17"/>
                <w:szCs w:val="17"/>
                <w:color w:val="auto"/>
              </w:rPr>
            </w:pPr>
          </w:p>
        </w:tc>
        <w:tc>
          <w:tcPr>
            <w:tcW w:w="9540" w:type="dxa"/>
            <w:vAlign w:val="bottom"/>
            <w:gridSpan w:val="10"/>
          </w:tcPr>
          <w:p>
            <w:pPr>
              <w:ind w:left="20"/>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to Exhibit 10.17 to the Annual Report on Form 10-K (File No. 001-36246) filed on March 13, 2015).</w:t>
              </w:r>
            </w:hyperlink>
          </w:p>
        </w:tc>
      </w:tr>
      <w:tr>
        <w:trPr>
          <w:trHeight w:val="20"/>
        </w:trPr>
        <w:tc>
          <w:tcPr>
            <w:tcW w:w="15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08" w:right="3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60"/>
          </w:cols>
          <w:pgMar w:left="240" w:top="108" w:right="39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ind w:left="160"/>
              <w:spacing w:after="0"/>
              <w:rPr>
                <w:sz w:val="20"/>
                <w:szCs w:val="20"/>
                <w:color w:val="auto"/>
              </w:rPr>
            </w:pPr>
            <w:r>
              <w:rPr>
                <w:rFonts w:ascii="Arial" w:cs="Arial" w:eastAsia="Arial" w:hAnsi="Arial"/>
                <w:sz w:val="18"/>
                <w:szCs w:val="18"/>
                <w:color w:val="auto"/>
              </w:rPr>
              <w:t>10.18†</w:t>
            </w:r>
          </w:p>
        </w:tc>
        <w:tc>
          <w:tcPr>
            <w:tcW w:w="440" w:type="dxa"/>
            <w:vAlign w:val="bottom"/>
          </w:tcPr>
          <w:p>
            <w:pPr>
              <w:spacing w:after="0"/>
              <w:rPr>
                <w:sz w:val="24"/>
                <w:szCs w:val="24"/>
                <w:color w:val="auto"/>
              </w:rPr>
            </w:pP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Executive Agreement between Civeo Corporation and Frank C. Steininger, dated May 4, 2015 (incorporated herein by reference to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Exhibit 10.1 to the Current Report on Form 8-K (File No. 001-36246) filed on May 7, 2015).</w:t>
              </w:r>
            </w:hyperlink>
          </w:p>
        </w:tc>
      </w:tr>
      <w:tr>
        <w:trPr>
          <w:trHeight w:val="20"/>
        </w:trPr>
        <w:tc>
          <w:tcPr>
            <w:tcW w:w="172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10.19†</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Executive Services Agreement, dated May 30, 2012, between Peter McCann and The Mac Services Group Pty Ltd. (incorporated</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herein by reference to Exhibit 10.3 to the Current Report on Form 8-K12B (File No. 001-36246) filed on July 17, 2015).</w:t>
              </w:r>
            </w:hyperlink>
          </w:p>
        </w:tc>
      </w:tr>
      <w:tr>
        <w:trPr>
          <w:trHeight w:val="20"/>
        </w:trPr>
        <w:tc>
          <w:tcPr>
            <w:tcW w:w="172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10.20†</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5"/>
              </w:rPr>
            </w:pPr>
            <w:hyperlink r:id="rId59">
              <w:r>
                <w:rPr>
                  <w:rFonts w:ascii="Arial" w:cs="Arial" w:eastAsia="Arial" w:hAnsi="Arial"/>
                  <w:sz w:val="18"/>
                  <w:szCs w:val="18"/>
                  <w:color w:val="0000FF"/>
                  <w:w w:val="95"/>
                </w:rPr>
                <w:t>Dual Employment Agreement of Bradley J. Dodson (incorporated herein by reference to Exhibit 10.4 to the Current Report on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Form 8-K12B (File No. 001-36246) filed on July 17, 2015).</w:t>
              </w:r>
            </w:hyperlink>
          </w:p>
        </w:tc>
      </w:tr>
      <w:tr>
        <w:trPr>
          <w:trHeight w:val="20"/>
        </w:trPr>
        <w:tc>
          <w:tcPr>
            <w:tcW w:w="172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10.21†</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4"/>
              </w:rPr>
            </w:pPr>
            <w:hyperlink r:id="rId60">
              <w:r>
                <w:rPr>
                  <w:rFonts w:ascii="Arial" w:cs="Arial" w:eastAsia="Arial" w:hAnsi="Arial"/>
                  <w:sz w:val="18"/>
                  <w:szCs w:val="18"/>
                  <w:color w:val="0000FF"/>
                  <w:w w:val="94"/>
                </w:rPr>
                <w:t>Dual Employment Agreement of Frank C. Steininger (incorporated herein by reference to Exhibit 10.5 to the Current Report on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Form 8-K12B (File No. 001-36246) filed on July 17, 2015).</w:t>
              </w:r>
            </w:hyperlink>
          </w:p>
        </w:tc>
      </w:tr>
      <w:tr>
        <w:trPr>
          <w:trHeight w:val="20"/>
        </w:trPr>
        <w:tc>
          <w:tcPr>
            <w:tcW w:w="172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10.22†</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Executive Agreement between Civeo Corporation and Peter McCann, dated August 17, 2015 (incorporated herein by reference to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Exhibit 10.1 to the Current Report on Form 8-K (File No. 001-36246) filed on August 27, 2015).</w:t>
              </w:r>
            </w:hyperlink>
          </w:p>
        </w:tc>
      </w:tr>
      <w:tr>
        <w:trPr>
          <w:trHeight w:val="20"/>
        </w:trPr>
        <w:tc>
          <w:tcPr>
            <w:tcW w:w="172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10.23†</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Variation to Executive Services Agreement between Civeo Pty Ltd and Peter McCann, dated August 17, 2015 (incorporated herein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120" w:type="dxa"/>
            <w:vAlign w:val="bottom"/>
            <w:tcBorders>
              <w:bottom w:val="single" w:sz="8" w:color="0000FF"/>
            </w:tcBorders>
            <w:gridSpan w:val="10"/>
          </w:tcPr>
          <w:p>
            <w:pPr>
              <w:ind w:left="20"/>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by reference to Exhibit 10.2 to the Current Report on Form 8-K (File No. 001-36246) filed on August 27, 2015).</w:t>
              </w:r>
            </w:hyperlink>
          </w:p>
        </w:tc>
        <w:tc>
          <w:tcPr>
            <w:tcW w:w="1420" w:type="dxa"/>
            <w:vAlign w:val="bottom"/>
            <w:gridSpan w:val="4"/>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10.24†</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Dual Employment Agreement (Canada) of Allan Schoening, dated July 16, 2015 (incorporated herein by reference to Exhibit 10.8</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40" w:type="dxa"/>
            <w:vAlign w:val="bottom"/>
            <w:tcBorders>
              <w:bottom w:val="single" w:sz="8" w:color="0000FF"/>
            </w:tcBorders>
            <w:gridSpan w:val="5"/>
          </w:tcPr>
          <w:p>
            <w:pPr>
              <w:ind w:left="20"/>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to the Quarterly Report on Form 10-Q (File No. 001-36246) filed on November 3, 2015).</w:t>
              </w:r>
            </w:hyperlink>
          </w:p>
        </w:tc>
        <w:tc>
          <w:tcPr>
            <w:tcW w:w="3100" w:type="dxa"/>
            <w:vAlign w:val="bottom"/>
            <w:gridSpan w:val="9"/>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10.25†</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Dual Employment Agreement (United States) of Allan Schoening, dated July 16, 2015 (incorporated herein by reference to Exhibit</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0" w:type="dxa"/>
            <w:vAlign w:val="bottom"/>
            <w:tcBorders>
              <w:bottom w:val="single" w:sz="8" w:color="0000FF"/>
            </w:tcBorders>
            <w:gridSpan w:val="7"/>
          </w:tcPr>
          <w:p>
            <w:pPr>
              <w:ind w:left="20"/>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r>
                <w:rPr>
                  <w:rFonts w:ascii="Arial" w:cs="Arial" w:eastAsia="Arial" w:hAnsi="Arial"/>
                  <w:sz w:val="18"/>
                  <w:szCs w:val="18"/>
                  <w:color w:val="0000FF"/>
                  <w:w w:val="91"/>
                </w:rPr>
                <w:t xml:space="preserve"> to the Quarterly Report on Form 10-Q (File No. 001-36246) filed on November 3, 2015).</w:t>
              </w:r>
            </w:hyperlink>
          </w:p>
        </w:tc>
        <w:tc>
          <w:tcPr>
            <w:tcW w:w="2740" w:type="dxa"/>
            <w:vAlign w:val="bottom"/>
            <w:gridSpan w:val="7"/>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10.26†</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7"/>
              </w:rPr>
            </w:pPr>
            <w:hyperlink r:id="rId65">
              <w:r>
                <w:rPr>
                  <w:rFonts w:ascii="Arial" w:cs="Arial" w:eastAsia="Arial" w:hAnsi="Arial"/>
                  <w:sz w:val="18"/>
                  <w:szCs w:val="18"/>
                  <w:color w:val="0000FF"/>
                  <w:w w:val="97"/>
                </w:rPr>
                <w:t>Executive Change of Control Severance Agreement between Civeo Corporation and Allan Schoening, dated July 13, 2015</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14"/>
          </w:tcPr>
          <w:p>
            <w:pPr>
              <w:ind w:left="20"/>
              <w:spacing w:after="0" w:line="196"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(incorporated herein by reference to Exhibit 10.11 to the Quarterly Report on Form 10-Q (File No. 001-36246) filed on November</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Borders>
              <w:bottom w:val="single" w:sz="8" w:color="0000FF"/>
            </w:tcBorders>
          </w:tcPr>
          <w:p>
            <w:pPr>
              <w:ind w:left="20"/>
              <w:spacing w:after="0" w:line="196" w:lineRule="exact"/>
              <w:rPr>
                <w:rFonts w:ascii="Arial" w:cs="Arial" w:eastAsia="Arial" w:hAnsi="Arial"/>
                <w:sz w:val="18"/>
                <w:szCs w:val="18"/>
                <w:color w:val="0000FF"/>
                <w:w w:val="87"/>
              </w:rPr>
            </w:pPr>
            <w:hyperlink r:id="rId65">
              <w:r>
                <w:rPr>
                  <w:rFonts w:ascii="Arial" w:cs="Arial" w:eastAsia="Arial" w:hAnsi="Arial"/>
                  <w:sz w:val="18"/>
                  <w:szCs w:val="18"/>
                  <w:color w:val="0000FF"/>
                  <w:w w:val="87"/>
                </w:rPr>
                <w:t>3, 2015).</w:t>
              </w:r>
            </w:hyperlink>
          </w:p>
        </w:tc>
        <w:tc>
          <w:tcPr>
            <w:tcW w:w="1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10.27†</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7"/>
              </w:rPr>
            </w:pPr>
            <w:hyperlink r:id="rId66">
              <w:r>
                <w:rPr>
                  <w:rFonts w:ascii="Arial" w:cs="Arial" w:eastAsia="Arial" w:hAnsi="Arial"/>
                  <w:sz w:val="18"/>
                  <w:szCs w:val="18"/>
                  <w:color w:val="0000FF"/>
                  <w:w w:val="97"/>
                </w:rPr>
                <w:t>Executive Agreement between Civeo Corporation and Allan Schoening, dated December 15, 2014 (incorporated herein by</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60" w:type="dxa"/>
            <w:vAlign w:val="bottom"/>
            <w:tcBorders>
              <w:bottom w:val="single" w:sz="8" w:color="0000FF"/>
            </w:tcBorders>
            <w:gridSpan w:val="11"/>
          </w:tcPr>
          <w:p>
            <w:pPr>
              <w:ind w:left="20"/>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reference to Exhibit 10.12 to the Quarterly Report on Form 10-Q (File No. 001-36246) filed on November 3, 2015).</w:t>
              </w:r>
            </w:hyperlink>
          </w:p>
        </w:tc>
        <w:tc>
          <w:tcPr>
            <w:tcW w:w="1180" w:type="dxa"/>
            <w:vAlign w:val="bottom"/>
            <w:gridSpan w:val="3"/>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10.28†</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Amendment to Civeo Corporation 2014 Equity Participation Plan (incorporated herein by reference to Exhibit 10.33 to the Annual</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40" w:type="dxa"/>
            <w:vAlign w:val="bottom"/>
            <w:tcBorders>
              <w:bottom w:val="single" w:sz="8" w:color="0000FF"/>
            </w:tcBorders>
            <w:gridSpan w:val="9"/>
          </w:tcPr>
          <w:p>
            <w:pPr>
              <w:ind w:left="20"/>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Report on Form 10-K for the year ended December 31, 2016 (File No. 001-36246) filed on February 23, 2017).</w:t>
              </w:r>
            </w:hyperlink>
          </w:p>
        </w:tc>
        <w:tc>
          <w:tcPr>
            <w:tcW w:w="1500" w:type="dxa"/>
            <w:vAlign w:val="bottom"/>
            <w:gridSpan w:val="5"/>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10.29†</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4"/>
              </w:rPr>
            </w:pPr>
            <w:hyperlink r:id="rId68">
              <w:r>
                <w:rPr>
                  <w:rFonts w:ascii="Arial" w:cs="Arial" w:eastAsia="Arial" w:hAnsi="Arial"/>
                  <w:sz w:val="18"/>
                  <w:szCs w:val="18"/>
                  <w:color w:val="0000FF"/>
                  <w:w w:val="94"/>
                </w:rPr>
                <w:t>Amendment No. 2 to Civeo Corporation 2014 Equity Participation Plan (incorporated herein by reference to Exhibit 10.2 to the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60" w:type="dxa"/>
            <w:vAlign w:val="bottom"/>
            <w:tcBorders>
              <w:bottom w:val="single" w:sz="8" w:color="0000FF"/>
            </w:tcBorders>
            <w:gridSpan w:val="13"/>
          </w:tcPr>
          <w:p>
            <w:pPr>
              <w:ind w:left="20"/>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Quarterly Report on Form 10-Q for the quarterly period ended June 30, 2018 (File No. 001-36246) filed on July 27, 2018).</w:t>
              </w:r>
            </w:hyperlink>
          </w:p>
        </w:tc>
        <w:tc>
          <w:tcPr>
            <w:tcW w:w="680" w:type="dxa"/>
            <w:vAlign w:val="bottom"/>
          </w:tcPr>
          <w:p>
            <w:pPr>
              <w:spacing w:after="0"/>
              <w:rPr>
                <w:sz w:val="17"/>
                <w:szCs w:val="17"/>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10.30</w:t>
            </w:r>
          </w:p>
        </w:tc>
        <w:tc>
          <w:tcPr>
            <w:tcW w:w="440" w:type="dxa"/>
            <w:vAlign w:val="bottom"/>
          </w:tcPr>
          <w:p>
            <w:pPr>
              <w:spacing w:after="0"/>
              <w:rPr>
                <w:sz w:val="24"/>
                <w:szCs w:val="24"/>
                <w:color w:val="auto"/>
              </w:rPr>
            </w:pP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Amended and Restated Syndicated Facility Agreement, dated April 2, 2018, among Civeo Corporation and certain of its</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14"/>
          </w:tcPr>
          <w:p>
            <w:pPr>
              <w:ind w:left="20"/>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subsidiaries, as borrowers, the guarantors party thereto, the lenders named therein, Royal Bank of Canada, as Administrative Agent,</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14"/>
          </w:tcPr>
          <w:p>
            <w:pPr>
              <w:ind w:left="20"/>
              <w:spacing w:after="0" w:line="196" w:lineRule="exact"/>
              <w:rPr>
                <w:rFonts w:ascii="Arial" w:cs="Arial" w:eastAsia="Arial" w:hAnsi="Arial"/>
                <w:sz w:val="18"/>
                <w:szCs w:val="18"/>
                <w:color w:val="0000FF"/>
                <w:w w:val="93"/>
              </w:rPr>
            </w:pPr>
            <w:hyperlink r:id="rId69">
              <w:r>
                <w:rPr>
                  <w:rFonts w:ascii="Arial" w:cs="Arial" w:eastAsia="Arial" w:hAnsi="Arial"/>
                  <w:sz w:val="18"/>
                  <w:szCs w:val="18"/>
                  <w:color w:val="0000FF"/>
                  <w:w w:val="93"/>
                </w:rPr>
                <w:t>and the other agents party thereto (incorporated herein by reference to Exhibit 10.1 to the Current Report on Form 8-K (File No.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001-36246) filed on April 2, 2018).</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80" w:type="dxa"/>
            <w:vAlign w:val="bottom"/>
            <w:gridSpan w:val="10"/>
          </w:tcPr>
          <w:p>
            <w:pPr>
              <w:spacing w:after="0" w:line="20" w:lineRule="exact"/>
              <w:rPr>
                <w:sz w:val="1"/>
                <w:szCs w:val="1"/>
                <w:color w:val="auto"/>
              </w:rPr>
            </w:pPr>
          </w:p>
        </w:tc>
      </w:tr>
      <w:tr>
        <w:trPr>
          <w:trHeight w:val="588"/>
        </w:trPr>
        <w:tc>
          <w:tcPr>
            <w:tcW w:w="1280" w:type="dxa"/>
            <w:vAlign w:val="bottom"/>
          </w:tcPr>
          <w:p>
            <w:pPr>
              <w:ind w:left="160"/>
              <w:spacing w:after="0"/>
              <w:rPr>
                <w:sz w:val="20"/>
                <w:szCs w:val="20"/>
                <w:color w:val="auto"/>
              </w:rPr>
            </w:pPr>
            <w:r>
              <w:rPr>
                <w:rFonts w:ascii="Arial" w:cs="Arial" w:eastAsia="Arial" w:hAnsi="Arial"/>
                <w:sz w:val="18"/>
                <w:szCs w:val="18"/>
                <w:color w:val="auto"/>
              </w:rPr>
              <w:t>10.31</w:t>
            </w:r>
          </w:p>
        </w:tc>
        <w:tc>
          <w:tcPr>
            <w:tcW w:w="440" w:type="dxa"/>
            <w:vAlign w:val="bottom"/>
          </w:tcPr>
          <w:p>
            <w:pPr>
              <w:spacing w:after="0"/>
              <w:rPr>
                <w:sz w:val="24"/>
                <w:szCs w:val="24"/>
                <w:color w:val="auto"/>
              </w:rPr>
            </w:pP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9"/>
              </w:rPr>
            </w:pPr>
            <w:hyperlink r:id="rId70">
              <w:r>
                <w:rPr>
                  <w:rFonts w:ascii="Arial" w:cs="Arial" w:eastAsia="Arial" w:hAnsi="Arial"/>
                  <w:sz w:val="18"/>
                  <w:szCs w:val="18"/>
                  <w:color w:val="0000FF"/>
                  <w:w w:val="99"/>
                </w:rPr>
                <w:t>First Amendment to Amended and Restated Syndicated Facility Agreement, dated as of October 26, 2018, among Civeo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14"/>
          </w:tcPr>
          <w:p>
            <w:pPr>
              <w:ind w:left="20"/>
              <w:spacing w:after="0" w:line="19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Corporation and certain of its subsidiaries, as borrowers, the guarantors party thereto, the lenders named therein, Royal Bank of</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14"/>
          </w:tcPr>
          <w:p>
            <w:pPr>
              <w:ind w:left="20"/>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Canada, as Administrative Agent, and the other agents party thereto (incorporated herein by reference to Exhibit 10.1 to the Current</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Report on Form 8-K (File No. 001-36246) filed on October 31, 2018).</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08" w:right="3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60"/>
          </w:cols>
          <w:pgMar w:left="240" w:top="108" w:right="39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ind w:left="160"/>
              <w:spacing w:after="0"/>
              <w:rPr>
                <w:sz w:val="20"/>
                <w:szCs w:val="20"/>
                <w:color w:val="auto"/>
              </w:rPr>
            </w:pPr>
            <w:r>
              <w:rPr>
                <w:rFonts w:ascii="Arial" w:cs="Arial" w:eastAsia="Arial" w:hAnsi="Arial"/>
                <w:sz w:val="18"/>
                <w:szCs w:val="18"/>
                <w:color w:val="auto"/>
              </w:rPr>
              <w:t>10.32†*</w:t>
            </w:r>
          </w:p>
        </w:tc>
        <w:tc>
          <w:tcPr>
            <w:tcW w:w="440" w:type="dxa"/>
            <w:vAlign w:val="bottom"/>
          </w:tcPr>
          <w:p>
            <w:pPr>
              <w:spacing w:after="0"/>
              <w:rPr>
                <w:sz w:val="24"/>
                <w:szCs w:val="24"/>
                <w:color w:val="auto"/>
              </w:rPr>
            </w:pPr>
          </w:p>
        </w:tc>
        <w:tc>
          <w:tcPr>
            <w:tcW w:w="4400" w:type="dxa"/>
            <w:vAlign w:val="bottom"/>
            <w:tcBorders>
              <w:bottom w:val="single" w:sz="8" w:color="0000FF"/>
            </w:tcBorders>
            <w:gridSpan w:val="5"/>
          </w:tcPr>
          <w:p>
            <w:pPr>
              <w:ind w:left="20"/>
              <w:spacing w:after="0"/>
              <w:rPr>
                <w:rFonts w:ascii="Arial" w:cs="Arial" w:eastAsia="Arial" w:hAnsi="Arial"/>
                <w:sz w:val="18"/>
                <w:szCs w:val="18"/>
                <w:color w:val="0000FF"/>
                <w:w w:val="90"/>
              </w:rPr>
            </w:pPr>
            <w:hyperlink w:anchor="page126">
              <w:r>
                <w:rPr>
                  <w:rFonts w:ascii="Arial" w:cs="Arial" w:eastAsia="Arial" w:hAnsi="Arial"/>
                  <w:sz w:val="18"/>
                  <w:szCs w:val="18"/>
                  <w:color w:val="0000FF"/>
                  <w:w w:val="90"/>
                </w:rPr>
                <w:t>Form of Director Deferred Share Agreement (United States).</w:t>
              </w:r>
            </w:hyperlink>
          </w:p>
        </w:tc>
        <w:tc>
          <w:tcPr>
            <w:tcW w:w="5140" w:type="dxa"/>
            <w:vAlign w:val="bottom"/>
          </w:tcPr>
          <w:p>
            <w:pPr>
              <w:spacing w:after="0"/>
              <w:rPr>
                <w:sz w:val="24"/>
                <w:szCs w:val="24"/>
                <w:color w:val="auto"/>
              </w:rPr>
            </w:pPr>
          </w:p>
        </w:tc>
      </w:tr>
      <w:tr>
        <w:trPr>
          <w:trHeight w:val="37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10.33†*</w:t>
            </w:r>
          </w:p>
        </w:tc>
        <w:tc>
          <w:tcPr>
            <w:tcW w:w="3980" w:type="dxa"/>
            <w:vAlign w:val="bottom"/>
            <w:tcBorders>
              <w:bottom w:val="single" w:sz="8" w:color="0000FF"/>
            </w:tcBorders>
            <w:gridSpan w:val="4"/>
          </w:tcPr>
          <w:p>
            <w:pPr>
              <w:ind w:left="20"/>
              <w:spacing w:after="0"/>
              <w:rPr>
                <w:rFonts w:ascii="Arial" w:cs="Arial" w:eastAsia="Arial" w:hAnsi="Arial"/>
                <w:sz w:val="18"/>
                <w:szCs w:val="18"/>
                <w:color w:val="0000FF"/>
                <w:w w:val="90"/>
              </w:rPr>
            </w:pPr>
            <w:hyperlink w:anchor="page129">
              <w:r>
                <w:rPr>
                  <w:rFonts w:ascii="Arial" w:cs="Arial" w:eastAsia="Arial" w:hAnsi="Arial"/>
                  <w:sz w:val="18"/>
                  <w:szCs w:val="18"/>
                  <w:color w:val="0000FF"/>
                  <w:w w:val="90"/>
                </w:rPr>
                <w:t>Form of Director Deferred Share Agreement (Canada).</w:t>
              </w:r>
            </w:hyperlink>
          </w:p>
        </w:tc>
        <w:tc>
          <w:tcPr>
            <w:tcW w:w="5560" w:type="dxa"/>
            <w:vAlign w:val="bottom"/>
            <w:gridSpan w:val="2"/>
          </w:tcPr>
          <w:p>
            <w:pPr>
              <w:spacing w:after="0"/>
              <w:rPr>
                <w:sz w:val="24"/>
                <w:szCs w:val="24"/>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4"/>
                <w:szCs w:val="24"/>
                <w:color w:val="auto"/>
              </w:rPr>
            </w:pPr>
          </w:p>
        </w:tc>
        <w:tc>
          <w:tcPr>
            <w:tcW w:w="3880" w:type="dxa"/>
            <w:vAlign w:val="bottom"/>
            <w:tcBorders>
              <w:bottom w:val="single" w:sz="8" w:color="0000FF"/>
            </w:tcBorders>
            <w:gridSpan w:val="3"/>
          </w:tcPr>
          <w:p>
            <w:pPr>
              <w:ind w:left="20"/>
              <w:spacing w:after="0"/>
              <w:rPr>
                <w:rFonts w:ascii="Arial" w:cs="Arial" w:eastAsia="Arial" w:hAnsi="Arial"/>
                <w:sz w:val="18"/>
                <w:szCs w:val="18"/>
                <w:color w:val="0000FF"/>
                <w:w w:val="92"/>
              </w:rPr>
            </w:pPr>
            <w:hyperlink w:anchor="page132">
              <w:r>
                <w:rPr>
                  <w:rFonts w:ascii="Arial" w:cs="Arial" w:eastAsia="Arial" w:hAnsi="Arial"/>
                  <w:sz w:val="18"/>
                  <w:szCs w:val="18"/>
                  <w:color w:val="0000FF"/>
                  <w:w w:val="92"/>
                </w:rPr>
                <w:t>List of Significant Subsidiaries of Civeo Corporation.</w:t>
              </w:r>
            </w:hyperlink>
          </w:p>
        </w:tc>
        <w:tc>
          <w:tcPr>
            <w:tcW w:w="5660" w:type="dxa"/>
            <w:vAlign w:val="bottom"/>
            <w:gridSpan w:val="3"/>
          </w:tcPr>
          <w:p>
            <w:pPr>
              <w:spacing w:after="0"/>
              <w:rPr>
                <w:sz w:val="24"/>
                <w:szCs w:val="24"/>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2320" w:type="dxa"/>
            <w:vAlign w:val="bottom"/>
            <w:tcBorders>
              <w:bottom w:val="single" w:sz="8" w:color="0000FF"/>
            </w:tcBorders>
            <w:gridSpan w:val="2"/>
          </w:tcPr>
          <w:p>
            <w:pPr>
              <w:ind w:left="20"/>
              <w:spacing w:after="0"/>
              <w:rPr>
                <w:rFonts w:ascii="Arial" w:cs="Arial" w:eastAsia="Arial" w:hAnsi="Arial"/>
                <w:sz w:val="18"/>
                <w:szCs w:val="18"/>
                <w:color w:val="0000FF"/>
                <w:w w:val="91"/>
              </w:rPr>
            </w:pPr>
            <w:hyperlink w:anchor="page133">
              <w:r>
                <w:rPr>
                  <w:rFonts w:ascii="Arial" w:cs="Arial" w:eastAsia="Arial" w:hAnsi="Arial"/>
                  <w:sz w:val="18"/>
                  <w:szCs w:val="18"/>
                  <w:color w:val="0000FF"/>
                  <w:w w:val="91"/>
                </w:rPr>
                <w:t>Consent of Ernst &amp; Young LLP.</w:t>
              </w:r>
            </w:hyperlink>
          </w:p>
        </w:tc>
        <w:tc>
          <w:tcPr>
            <w:tcW w:w="7220" w:type="dxa"/>
            <w:vAlign w:val="bottom"/>
            <w:gridSpan w:val="4"/>
          </w:tcPr>
          <w:p>
            <w:pPr>
              <w:spacing w:after="0"/>
              <w:rPr>
                <w:sz w:val="24"/>
                <w:szCs w:val="24"/>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9540" w:type="dxa"/>
            <w:vAlign w:val="bottom"/>
            <w:tcBorders>
              <w:bottom w:val="single" w:sz="8" w:color="0000FF"/>
            </w:tcBorders>
            <w:gridSpan w:val="6"/>
          </w:tcPr>
          <w:p>
            <w:pPr>
              <w:ind w:left="20"/>
              <w:spacing w:after="0"/>
              <w:rPr>
                <w:rFonts w:ascii="Arial" w:cs="Arial" w:eastAsia="Arial" w:hAnsi="Arial"/>
                <w:sz w:val="18"/>
                <w:szCs w:val="18"/>
                <w:color w:val="0000FF"/>
                <w:w w:val="97"/>
              </w:rPr>
            </w:pPr>
            <w:hyperlink w:anchor="page134">
              <w:r>
                <w:rPr>
                  <w:rFonts w:ascii="Arial" w:cs="Arial" w:eastAsia="Arial" w:hAnsi="Arial"/>
                  <w:sz w:val="18"/>
                  <w:szCs w:val="18"/>
                  <w:color w:val="0000FF"/>
                  <w:w w:val="97"/>
                </w:rPr>
                <w:t>Certification of Chief Executive Officer of Civeo Corporation pursuant to Rules 13a-14(a) or 15d-14(a) under the Securities</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6"/>
          </w:tcPr>
          <w:p>
            <w:pPr>
              <w:ind w:left="20"/>
              <w:spacing w:after="0" w:line="196" w:lineRule="exact"/>
              <w:rPr>
                <w:rFonts w:ascii="Arial" w:cs="Arial" w:eastAsia="Arial" w:hAnsi="Arial"/>
                <w:sz w:val="18"/>
                <w:szCs w:val="18"/>
                <w:color w:val="0000FF"/>
              </w:rPr>
            </w:pPr>
            <w:hyperlink w:anchor="page134">
              <w:r>
                <w:rPr>
                  <w:rFonts w:ascii="Arial" w:cs="Arial" w:eastAsia="Arial" w:hAnsi="Arial"/>
                  <w:sz w:val="18"/>
                  <w:szCs w:val="18"/>
                  <w:color w:val="0000FF"/>
                </w:rPr>
                <w:t>Exchange Act of 1934.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880" w:type="dxa"/>
            <w:vAlign w:val="bottom"/>
            <w:gridSpan w:val="5"/>
          </w:tcPr>
          <w:p>
            <w:pPr>
              <w:spacing w:after="0" w:line="20" w:lineRule="exact"/>
              <w:rPr>
                <w:sz w:val="1"/>
                <w:szCs w:val="1"/>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9540" w:type="dxa"/>
            <w:vAlign w:val="bottom"/>
            <w:tcBorders>
              <w:bottom w:val="single" w:sz="8" w:color="0000FF"/>
            </w:tcBorders>
            <w:gridSpan w:val="6"/>
          </w:tcPr>
          <w:p>
            <w:pPr>
              <w:ind w:left="20"/>
              <w:spacing w:after="0"/>
              <w:rPr>
                <w:rFonts w:ascii="Arial" w:cs="Arial" w:eastAsia="Arial" w:hAnsi="Arial"/>
                <w:sz w:val="18"/>
                <w:szCs w:val="18"/>
                <w:color w:val="0000FF"/>
                <w:w w:val="98"/>
              </w:rPr>
            </w:pPr>
            <w:hyperlink w:anchor="page136">
              <w:r>
                <w:rPr>
                  <w:rFonts w:ascii="Arial" w:cs="Arial" w:eastAsia="Arial" w:hAnsi="Arial"/>
                  <w:sz w:val="18"/>
                  <w:szCs w:val="18"/>
                  <w:color w:val="0000FF"/>
                  <w:w w:val="98"/>
                </w:rPr>
                <w:t>Certification of Chief Financial Officer of Civeo Corporation pursuant to Rules 13a-14(a) or 15d-14(a) under the Securities</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6"/>
          </w:tcPr>
          <w:p>
            <w:pPr>
              <w:ind w:left="20"/>
              <w:spacing w:after="0" w:line="196" w:lineRule="exact"/>
              <w:rPr>
                <w:rFonts w:ascii="Arial" w:cs="Arial" w:eastAsia="Arial" w:hAnsi="Arial"/>
                <w:sz w:val="18"/>
                <w:szCs w:val="18"/>
                <w:color w:val="0000FF"/>
              </w:rPr>
            </w:pPr>
            <w:hyperlink w:anchor="page136">
              <w:r>
                <w:rPr>
                  <w:rFonts w:ascii="Arial" w:cs="Arial" w:eastAsia="Arial" w:hAnsi="Arial"/>
                  <w:sz w:val="18"/>
                  <w:szCs w:val="18"/>
                  <w:color w:val="0000FF"/>
                </w:rPr>
                <w:t>Exchange Act of 1934.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880" w:type="dxa"/>
            <w:vAlign w:val="bottom"/>
            <w:gridSpan w:val="5"/>
          </w:tcPr>
          <w:p>
            <w:pPr>
              <w:spacing w:after="0" w:line="20" w:lineRule="exact"/>
              <w:rPr>
                <w:sz w:val="1"/>
                <w:szCs w:val="1"/>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9540" w:type="dxa"/>
            <w:vAlign w:val="bottom"/>
            <w:tcBorders>
              <w:bottom w:val="single" w:sz="8" w:color="0000FF"/>
            </w:tcBorders>
            <w:gridSpan w:val="6"/>
          </w:tcPr>
          <w:p>
            <w:pPr>
              <w:ind w:left="20"/>
              <w:spacing w:after="0"/>
              <w:rPr>
                <w:rFonts w:ascii="Arial" w:cs="Arial" w:eastAsia="Arial" w:hAnsi="Arial"/>
                <w:sz w:val="18"/>
                <w:szCs w:val="18"/>
                <w:color w:val="0000FF"/>
                <w:w w:val="97"/>
              </w:rPr>
            </w:pPr>
            <w:hyperlink w:anchor="page138">
              <w:r>
                <w:rPr>
                  <w:rFonts w:ascii="Arial" w:cs="Arial" w:eastAsia="Arial" w:hAnsi="Arial"/>
                  <w:sz w:val="18"/>
                  <w:szCs w:val="18"/>
                  <w:color w:val="0000FF"/>
                  <w:w w:val="97"/>
                </w:rPr>
                <w:t>Certification of Chief Executive Officer of Civeo Corporation pursuant to Rules 13a-14(b) or 15d-14(b) under the Securities</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6"/>
          </w:tcPr>
          <w:p>
            <w:pPr>
              <w:ind w:left="20"/>
              <w:spacing w:after="0" w:line="196" w:lineRule="exact"/>
              <w:rPr>
                <w:rFonts w:ascii="Arial" w:cs="Arial" w:eastAsia="Arial" w:hAnsi="Arial"/>
                <w:sz w:val="18"/>
                <w:szCs w:val="18"/>
                <w:color w:val="0000FF"/>
              </w:rPr>
            </w:pPr>
            <w:hyperlink w:anchor="page138">
              <w:r>
                <w:rPr>
                  <w:rFonts w:ascii="Arial" w:cs="Arial" w:eastAsia="Arial" w:hAnsi="Arial"/>
                  <w:sz w:val="18"/>
                  <w:szCs w:val="18"/>
                  <w:color w:val="0000FF"/>
                </w:rPr>
                <w:t>Exchange Act of 1934.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880" w:type="dxa"/>
            <w:vAlign w:val="bottom"/>
            <w:gridSpan w:val="5"/>
          </w:tcPr>
          <w:p>
            <w:pPr>
              <w:spacing w:after="0" w:line="20" w:lineRule="exact"/>
              <w:rPr>
                <w:sz w:val="1"/>
                <w:szCs w:val="1"/>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9540" w:type="dxa"/>
            <w:vAlign w:val="bottom"/>
            <w:tcBorders>
              <w:bottom w:val="single" w:sz="8" w:color="0000FF"/>
            </w:tcBorders>
            <w:gridSpan w:val="6"/>
          </w:tcPr>
          <w:p>
            <w:pPr>
              <w:ind w:left="20"/>
              <w:spacing w:after="0"/>
              <w:rPr>
                <w:rFonts w:ascii="Arial" w:cs="Arial" w:eastAsia="Arial" w:hAnsi="Arial"/>
                <w:sz w:val="18"/>
                <w:szCs w:val="18"/>
                <w:color w:val="0000FF"/>
                <w:w w:val="98"/>
              </w:rPr>
            </w:pPr>
            <w:hyperlink w:anchor="page139">
              <w:r>
                <w:rPr>
                  <w:rFonts w:ascii="Arial" w:cs="Arial" w:eastAsia="Arial" w:hAnsi="Arial"/>
                  <w:sz w:val="18"/>
                  <w:szCs w:val="18"/>
                  <w:color w:val="0000FF"/>
                  <w:w w:val="98"/>
                </w:rPr>
                <w:t>Certification of Chief Financial Officer of Civeo Corporation pursuant to Rules 13a-14(b) or 15d-14(b) under the Securities</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6"/>
          </w:tcPr>
          <w:p>
            <w:pPr>
              <w:ind w:left="20"/>
              <w:spacing w:after="0" w:line="196" w:lineRule="exact"/>
              <w:rPr>
                <w:rFonts w:ascii="Arial" w:cs="Arial" w:eastAsia="Arial" w:hAnsi="Arial"/>
                <w:sz w:val="18"/>
                <w:szCs w:val="18"/>
                <w:color w:val="0000FF"/>
              </w:rPr>
            </w:pPr>
            <w:hyperlink w:anchor="page139">
              <w:r>
                <w:rPr>
                  <w:rFonts w:ascii="Arial" w:cs="Arial" w:eastAsia="Arial" w:hAnsi="Arial"/>
                  <w:sz w:val="18"/>
                  <w:szCs w:val="18"/>
                  <w:color w:val="0000FF"/>
                </w:rPr>
                <w:t>Exchange Act of 1934.</w:t>
              </w:r>
            </w:hyperlink>
          </w:p>
        </w:tc>
      </w:tr>
      <w:tr>
        <w:trPr>
          <w:trHeight w:val="20"/>
        </w:trPr>
        <w:tc>
          <w:tcPr>
            <w:tcW w:w="1720" w:type="dxa"/>
            <w:vAlign w:val="bottom"/>
            <w:gridSpan w:val="2"/>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880" w:type="dxa"/>
            <w:vAlign w:val="bottom"/>
            <w:gridSpan w:val="5"/>
          </w:tcPr>
          <w:p>
            <w:pPr>
              <w:spacing w:after="0" w:line="20" w:lineRule="exact"/>
              <w:rPr>
                <w:sz w:val="1"/>
                <w:szCs w:val="1"/>
                <w:color w:val="auto"/>
              </w:rPr>
            </w:pPr>
          </w:p>
        </w:tc>
      </w:tr>
      <w:tr>
        <w:trPr>
          <w:trHeight w:val="41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101.INS*</w:t>
            </w:r>
          </w:p>
        </w:tc>
        <w:tc>
          <w:tcPr>
            <w:tcW w:w="9540" w:type="dxa"/>
            <w:vAlign w:val="bottom"/>
            <w:gridSpan w:val="6"/>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101.SCH*</w:t>
            </w:r>
          </w:p>
        </w:tc>
        <w:tc>
          <w:tcPr>
            <w:tcW w:w="954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101.CAL*</w:t>
            </w:r>
          </w:p>
        </w:tc>
        <w:tc>
          <w:tcPr>
            <w:tcW w:w="954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101.DEF*</w:t>
            </w:r>
          </w:p>
        </w:tc>
        <w:tc>
          <w:tcPr>
            <w:tcW w:w="954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101.LAB*</w:t>
            </w:r>
          </w:p>
        </w:tc>
        <w:tc>
          <w:tcPr>
            <w:tcW w:w="954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101.PRE*</w:t>
            </w:r>
          </w:p>
        </w:tc>
        <w:tc>
          <w:tcPr>
            <w:tcW w:w="954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96" w:lineRule="exact"/>
        <w:rPr>
          <w:sz w:val="20"/>
          <w:szCs w:val="20"/>
          <w:color w:val="auto"/>
        </w:rPr>
      </w:pPr>
    </w:p>
    <w:p>
      <w:pPr>
        <w:ind w:left="1180" w:hanging="1145"/>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180" w:hanging="1145"/>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w:t>
      </w:r>
    </w:p>
    <w:p>
      <w:pPr>
        <w:spacing w:after="0" w:line="63" w:lineRule="exact"/>
        <w:rPr>
          <w:sz w:val="20"/>
          <w:szCs w:val="20"/>
          <w:color w:val="auto"/>
        </w:rPr>
      </w:pPr>
    </w:p>
    <w:p>
      <w:pPr>
        <w:ind w:left="1180" w:hanging="1145"/>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ind w:firstLine="135"/>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108" w:right="2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 on February 27, 2019.</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60" w:type="dxa"/>
            <w:vAlign w:val="bottom"/>
            <w:gridSpan w:val="2"/>
          </w:tcPr>
          <w:p>
            <w:pPr>
              <w:ind w:left="228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5420" w:type="dxa"/>
            <w:vAlign w:val="bottom"/>
            <w:gridSpan w:val="4"/>
          </w:tcPr>
          <w:p>
            <w:pPr>
              <w:ind w:left="20"/>
              <w:spacing w:after="0"/>
              <w:rPr>
                <w:sz w:val="20"/>
                <w:szCs w:val="20"/>
                <w:color w:val="auto"/>
              </w:rPr>
            </w:pPr>
            <w:r>
              <w:rPr>
                <w:rFonts w:ascii="Arial" w:cs="Arial" w:eastAsia="Arial" w:hAnsi="Arial"/>
                <w:sz w:val="18"/>
                <w:szCs w:val="18"/>
                <w:color w:val="auto"/>
              </w:rPr>
              <w:t>/s/ FRANK C. STEININGER</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20" w:type="dxa"/>
            <w:vAlign w:val="bottom"/>
            <w:gridSpan w:val="4"/>
          </w:tcPr>
          <w:p>
            <w:pPr>
              <w:ind w:left="160"/>
              <w:spacing w:after="0"/>
              <w:rPr>
                <w:sz w:val="20"/>
                <w:szCs w:val="20"/>
                <w:color w:val="auto"/>
              </w:rPr>
            </w:pPr>
            <w:r>
              <w:rPr>
                <w:rFonts w:ascii="Arial" w:cs="Arial" w:eastAsia="Arial" w:hAnsi="Arial"/>
                <w:sz w:val="18"/>
                <w:szCs w:val="18"/>
                <w:color w:val="auto"/>
              </w:rPr>
              <w:t>Frank C. Steininger</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2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Executive Vice President, Chief Financial Officer and Treasurer (Duly</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20" w:type="dxa"/>
            <w:vAlign w:val="bottom"/>
            <w:gridSpan w:val="4"/>
          </w:tcPr>
          <w:p>
            <w:pPr>
              <w:ind w:left="740"/>
              <w:spacing w:after="0"/>
              <w:rPr>
                <w:sz w:val="20"/>
                <w:szCs w:val="20"/>
                <w:color w:val="auto"/>
              </w:rPr>
            </w:pPr>
            <w:r>
              <w:rPr>
                <w:rFonts w:ascii="Arial" w:cs="Arial" w:eastAsia="Arial" w:hAnsi="Arial"/>
                <w:sz w:val="18"/>
                <w:szCs w:val="18"/>
                <w:b w:val="1"/>
                <w:bCs w:val="1"/>
                <w:color w:val="auto"/>
              </w:rPr>
              <w:t>Authorized Officer and Principal Financial Officer)</w:t>
            </w:r>
          </w:p>
        </w:tc>
        <w:tc>
          <w:tcPr>
            <w:tcW w:w="0" w:type="dxa"/>
            <w:vAlign w:val="bottom"/>
          </w:tcPr>
          <w:p>
            <w:pPr>
              <w:spacing w:after="0"/>
              <w:rPr>
                <w:sz w:val="1"/>
                <w:szCs w:val="1"/>
                <w:color w:val="auto"/>
              </w:rPr>
            </w:pPr>
          </w:p>
        </w:tc>
      </w:tr>
      <w:tr>
        <w:trPr>
          <w:trHeight w:val="797"/>
        </w:trPr>
        <w:tc>
          <w:tcPr>
            <w:tcW w:w="25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5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800" w:type="dxa"/>
            <w:vAlign w:val="bottom"/>
            <w:gridSpan w:val="4"/>
          </w:tcPr>
          <w:p>
            <w:pPr>
              <w:jc w:val="center"/>
              <w:ind w:right="80"/>
              <w:spacing w:after="0"/>
              <w:rPr>
                <w:sz w:val="20"/>
                <w:szCs w:val="20"/>
                <w:color w:val="auto"/>
              </w:rPr>
            </w:pPr>
            <w:r>
              <w:rPr>
                <w:rFonts w:ascii="Arial" w:cs="Arial" w:eastAsia="Arial" w:hAnsi="Arial"/>
                <w:sz w:val="18"/>
                <w:szCs w:val="18"/>
                <w:color w:val="auto"/>
                <w:w w:val="96"/>
              </w:rPr>
              <w:t>/s/ RICHARD A. NAVARRE</w:t>
            </w:r>
          </w:p>
        </w:tc>
        <w:tc>
          <w:tcPr>
            <w:tcW w:w="5580" w:type="dxa"/>
            <w:vAlign w:val="bottom"/>
            <w:gridSpan w:val="5"/>
          </w:tcPr>
          <w:p>
            <w:pPr>
              <w:ind w:left="6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gridSpan w:val="4"/>
          </w:tcPr>
          <w:p>
            <w:pPr>
              <w:jc w:val="center"/>
              <w:ind w:right="60"/>
              <w:spacing w:after="0"/>
              <w:rPr>
                <w:sz w:val="20"/>
                <w:szCs w:val="20"/>
                <w:color w:val="auto"/>
              </w:rPr>
            </w:pPr>
            <w:r>
              <w:rPr>
                <w:rFonts w:ascii="Arial" w:cs="Arial" w:eastAsia="Arial" w:hAnsi="Arial"/>
                <w:sz w:val="18"/>
                <w:szCs w:val="18"/>
                <w:color w:val="auto"/>
                <w:w w:val="92"/>
              </w:rPr>
              <w:t>Richard A. Navarre</w:t>
            </w:r>
          </w:p>
        </w:tc>
        <w:tc>
          <w:tcPr>
            <w:tcW w:w="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00" w:type="dxa"/>
            <w:vAlign w:val="bottom"/>
            <w:gridSpan w:val="4"/>
          </w:tcPr>
          <w:p>
            <w:pPr>
              <w:jc w:val="center"/>
              <w:ind w:right="60"/>
              <w:spacing w:after="0"/>
              <w:rPr>
                <w:sz w:val="20"/>
                <w:szCs w:val="20"/>
                <w:color w:val="auto"/>
              </w:rPr>
            </w:pPr>
            <w:r>
              <w:rPr>
                <w:rFonts w:ascii="Arial" w:cs="Arial" w:eastAsia="Arial" w:hAnsi="Arial"/>
                <w:sz w:val="18"/>
                <w:szCs w:val="18"/>
                <w:color w:val="auto"/>
                <w:w w:val="95"/>
              </w:rPr>
              <w:t>/s/ BRADLEY J. DODSON</w:t>
            </w:r>
          </w:p>
        </w:tc>
        <w:tc>
          <w:tcPr>
            <w:tcW w:w="5580" w:type="dxa"/>
            <w:vAlign w:val="bottom"/>
            <w:gridSpan w:val="5"/>
          </w:tcPr>
          <w:p>
            <w:pPr>
              <w:ind w:left="60"/>
              <w:spacing w:after="0"/>
              <w:rPr>
                <w:sz w:val="20"/>
                <w:szCs w:val="20"/>
                <w:color w:val="auto"/>
              </w:rPr>
            </w:pPr>
            <w:r>
              <w:rPr>
                <w:rFonts w:ascii="Arial" w:cs="Arial" w:eastAsia="Arial" w:hAnsi="Arial"/>
                <w:sz w:val="18"/>
                <w:szCs w:val="18"/>
                <w:color w:val="auto"/>
              </w:rPr>
              <w:t>Director, President &amp; Chief Executive Officer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gridSpan w:val="5"/>
            <w:vMerge w:val="restart"/>
          </w:tcPr>
          <w:p>
            <w:pPr>
              <w:ind w:left="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5800" w:type="dxa"/>
            <w:vAlign w:val="bottom"/>
            <w:gridSpan w:val="4"/>
          </w:tcPr>
          <w:p>
            <w:pPr>
              <w:jc w:val="center"/>
              <w:ind w:right="60"/>
              <w:spacing w:after="0"/>
              <w:rPr>
                <w:sz w:val="20"/>
                <w:szCs w:val="20"/>
                <w:color w:val="auto"/>
              </w:rPr>
            </w:pPr>
            <w:r>
              <w:rPr>
                <w:rFonts w:ascii="Arial" w:cs="Arial" w:eastAsia="Arial" w:hAnsi="Arial"/>
                <w:sz w:val="18"/>
                <w:szCs w:val="18"/>
                <w:color w:val="auto"/>
                <w:w w:val="91"/>
              </w:rPr>
              <w:t>Bradley J. Dodson</w:t>
            </w:r>
          </w:p>
        </w:tc>
        <w:tc>
          <w:tcPr>
            <w:tcW w:w="55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00" w:type="dxa"/>
            <w:vAlign w:val="bottom"/>
            <w:gridSpan w:val="4"/>
          </w:tcPr>
          <w:p>
            <w:pPr>
              <w:jc w:val="center"/>
              <w:ind w:right="60"/>
              <w:spacing w:after="0"/>
              <w:rPr>
                <w:sz w:val="20"/>
                <w:szCs w:val="20"/>
                <w:color w:val="auto"/>
              </w:rPr>
            </w:pPr>
            <w:r>
              <w:rPr>
                <w:rFonts w:ascii="Arial" w:cs="Arial" w:eastAsia="Arial" w:hAnsi="Arial"/>
                <w:sz w:val="18"/>
                <w:szCs w:val="18"/>
                <w:color w:val="auto"/>
                <w:w w:val="95"/>
              </w:rPr>
              <w:t>/s/ FRANK C. STEININGER</w:t>
            </w:r>
          </w:p>
        </w:tc>
        <w:tc>
          <w:tcPr>
            <w:tcW w:w="5580" w:type="dxa"/>
            <w:vAlign w:val="bottom"/>
            <w:gridSpan w:val="5"/>
          </w:tcPr>
          <w:p>
            <w:pPr>
              <w:ind w:left="60"/>
              <w:spacing w:after="0"/>
              <w:rPr>
                <w:sz w:val="20"/>
                <w:szCs w:val="20"/>
                <w:color w:val="auto"/>
              </w:rPr>
            </w:pPr>
            <w:r>
              <w:rPr>
                <w:rFonts w:ascii="Arial" w:cs="Arial" w:eastAsia="Arial" w:hAnsi="Arial"/>
                <w:sz w:val="18"/>
                <w:szCs w:val="18"/>
                <w:color w:val="auto"/>
              </w:rPr>
              <w:t>Executive Vice President, Chief Financial Officer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gridSpan w:val="5"/>
            <w:vMerge w:val="restart"/>
          </w:tcPr>
          <w:p>
            <w:pPr>
              <w:ind w:left="60"/>
              <w:spacing w:after="0"/>
              <w:rPr>
                <w:sz w:val="20"/>
                <w:szCs w:val="20"/>
                <w:color w:val="auto"/>
              </w:rPr>
            </w:pPr>
            <w:r>
              <w:rPr>
                <w:rFonts w:ascii="Arial" w:cs="Arial" w:eastAsia="Arial" w:hAnsi="Arial"/>
                <w:sz w:val="18"/>
                <w:szCs w:val="18"/>
                <w:color w:val="auto"/>
              </w:rPr>
              <w:t>and Treasurer</w:t>
            </w:r>
          </w:p>
        </w:tc>
        <w:tc>
          <w:tcPr>
            <w:tcW w:w="0" w:type="dxa"/>
            <w:vAlign w:val="bottom"/>
          </w:tcPr>
          <w:p>
            <w:pPr>
              <w:spacing w:after="0"/>
              <w:rPr>
                <w:sz w:val="1"/>
                <w:szCs w:val="1"/>
                <w:color w:val="auto"/>
              </w:rPr>
            </w:pPr>
          </w:p>
        </w:tc>
      </w:tr>
      <w:tr>
        <w:trPr>
          <w:trHeight w:val="237"/>
        </w:trPr>
        <w:tc>
          <w:tcPr>
            <w:tcW w:w="5800" w:type="dxa"/>
            <w:vAlign w:val="bottom"/>
            <w:gridSpan w:val="4"/>
          </w:tcPr>
          <w:p>
            <w:pPr>
              <w:jc w:val="center"/>
              <w:ind w:right="60"/>
              <w:spacing w:after="0"/>
              <w:rPr>
                <w:sz w:val="20"/>
                <w:szCs w:val="20"/>
                <w:color w:val="auto"/>
              </w:rPr>
            </w:pPr>
            <w:r>
              <w:rPr>
                <w:rFonts w:ascii="Arial" w:cs="Arial" w:eastAsia="Arial" w:hAnsi="Arial"/>
                <w:sz w:val="18"/>
                <w:szCs w:val="18"/>
                <w:color w:val="auto"/>
                <w:w w:val="91"/>
              </w:rPr>
              <w:t>Frank C. Steininger</w:t>
            </w:r>
          </w:p>
        </w:tc>
        <w:tc>
          <w:tcPr>
            <w:tcW w:w="55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580" w:type="dxa"/>
            <w:vAlign w:val="bottom"/>
            <w:gridSpan w:val="5"/>
          </w:tcPr>
          <w:p>
            <w:pPr>
              <w:ind w:left="60"/>
              <w:spacing w:after="0"/>
              <w:rPr>
                <w:sz w:val="20"/>
                <w:szCs w:val="20"/>
                <w:color w:val="auto"/>
              </w:rPr>
            </w:pPr>
            <w:r>
              <w:rPr>
                <w:rFonts w:ascii="Arial" w:cs="Arial" w:eastAsia="Arial" w:hAnsi="Arial"/>
                <w:sz w:val="18"/>
                <w:szCs w:val="18"/>
                <w:color w:val="auto"/>
              </w:rPr>
              <w:t>(Principal Financial Officer and Accounting Officer)</w:t>
            </w:r>
          </w:p>
        </w:tc>
        <w:tc>
          <w:tcPr>
            <w:tcW w:w="0" w:type="dxa"/>
            <w:vAlign w:val="bottom"/>
          </w:tcPr>
          <w:p>
            <w:pPr>
              <w:spacing w:after="0"/>
              <w:rPr>
                <w:sz w:val="1"/>
                <w:szCs w:val="1"/>
                <w:color w:val="auto"/>
              </w:rPr>
            </w:pPr>
          </w:p>
        </w:tc>
      </w:tr>
      <w:tr>
        <w:trPr>
          <w:trHeight w:val="540"/>
        </w:trPr>
        <w:tc>
          <w:tcPr>
            <w:tcW w:w="5800" w:type="dxa"/>
            <w:vAlign w:val="bottom"/>
            <w:gridSpan w:val="4"/>
          </w:tcPr>
          <w:p>
            <w:pPr>
              <w:jc w:val="center"/>
              <w:ind w:right="80"/>
              <w:spacing w:after="0"/>
              <w:rPr>
                <w:sz w:val="20"/>
                <w:szCs w:val="20"/>
                <w:color w:val="auto"/>
              </w:rPr>
            </w:pPr>
            <w:r>
              <w:rPr>
                <w:rFonts w:ascii="Arial" w:cs="Arial" w:eastAsia="Arial" w:hAnsi="Arial"/>
                <w:sz w:val="18"/>
                <w:szCs w:val="18"/>
                <w:color w:val="auto"/>
                <w:w w:val="97"/>
              </w:rPr>
              <w:t>/s/ C. RONALD BLANKENSHIP</w:t>
            </w:r>
          </w:p>
        </w:tc>
        <w:tc>
          <w:tcPr>
            <w:tcW w:w="5580" w:type="dxa"/>
            <w:vAlign w:val="bottom"/>
            <w:gridSpan w:val="5"/>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C. Ronald Blankenship</w:t>
            </w:r>
          </w:p>
        </w:tc>
        <w:tc>
          <w:tcPr>
            <w:tcW w:w="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00" w:type="dxa"/>
            <w:vAlign w:val="bottom"/>
            <w:gridSpan w:val="4"/>
          </w:tcPr>
          <w:p>
            <w:pPr>
              <w:jc w:val="center"/>
              <w:ind w:right="80"/>
              <w:spacing w:after="0"/>
              <w:rPr>
                <w:sz w:val="20"/>
                <w:szCs w:val="20"/>
                <w:color w:val="auto"/>
              </w:rPr>
            </w:pPr>
            <w:r>
              <w:rPr>
                <w:rFonts w:ascii="Arial" w:cs="Arial" w:eastAsia="Arial" w:hAnsi="Arial"/>
                <w:sz w:val="18"/>
                <w:szCs w:val="18"/>
                <w:color w:val="auto"/>
                <w:w w:val="95"/>
              </w:rPr>
              <w:t>/s/ RONALD J. GILBERTSON</w:t>
            </w:r>
          </w:p>
        </w:tc>
        <w:tc>
          <w:tcPr>
            <w:tcW w:w="5580" w:type="dxa"/>
            <w:vAlign w:val="bottom"/>
            <w:gridSpan w:val="5"/>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Ronald J. Gilbertson</w:t>
            </w:r>
          </w:p>
        </w:tc>
        <w:tc>
          <w:tcPr>
            <w:tcW w:w="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0" w:type="dxa"/>
            <w:vAlign w:val="bottom"/>
            <w:gridSpan w:val="4"/>
          </w:tcPr>
          <w:p>
            <w:pPr>
              <w:jc w:val="center"/>
              <w:ind w:right="60"/>
              <w:spacing w:after="0"/>
              <w:rPr>
                <w:sz w:val="20"/>
                <w:szCs w:val="20"/>
                <w:color w:val="auto"/>
              </w:rPr>
            </w:pPr>
            <w:r>
              <w:rPr>
                <w:rFonts w:ascii="Arial" w:cs="Arial" w:eastAsia="Arial" w:hAnsi="Arial"/>
                <w:sz w:val="18"/>
                <w:szCs w:val="18"/>
                <w:color w:val="auto"/>
                <w:w w:val="98"/>
              </w:rPr>
              <w:t>/s/ MARTIN A. LAMBERT</w:t>
            </w:r>
          </w:p>
        </w:tc>
        <w:tc>
          <w:tcPr>
            <w:tcW w:w="5580" w:type="dxa"/>
            <w:vAlign w:val="bottom"/>
            <w:gridSpan w:val="5"/>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gridSpan w:val="4"/>
          </w:tcPr>
          <w:p>
            <w:pPr>
              <w:jc w:val="center"/>
              <w:ind w:right="80"/>
              <w:spacing w:after="0"/>
              <w:rPr>
                <w:sz w:val="20"/>
                <w:szCs w:val="20"/>
                <w:color w:val="auto"/>
              </w:rPr>
            </w:pPr>
            <w:r>
              <w:rPr>
                <w:rFonts w:ascii="Arial" w:cs="Arial" w:eastAsia="Arial" w:hAnsi="Arial"/>
                <w:sz w:val="18"/>
                <w:szCs w:val="18"/>
                <w:color w:val="auto"/>
                <w:w w:val="95"/>
              </w:rPr>
              <w:t>Martin A. Lambert</w:t>
            </w:r>
          </w:p>
        </w:tc>
        <w:tc>
          <w:tcPr>
            <w:tcW w:w="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00" w:type="dxa"/>
            <w:vAlign w:val="bottom"/>
            <w:gridSpan w:val="4"/>
          </w:tcPr>
          <w:p>
            <w:pPr>
              <w:jc w:val="center"/>
              <w:ind w:right="60"/>
              <w:spacing w:after="0"/>
              <w:rPr>
                <w:sz w:val="20"/>
                <w:szCs w:val="20"/>
                <w:color w:val="auto"/>
              </w:rPr>
            </w:pPr>
            <w:r>
              <w:rPr>
                <w:rFonts w:ascii="Arial" w:cs="Arial" w:eastAsia="Arial" w:hAnsi="Arial"/>
                <w:sz w:val="18"/>
                <w:szCs w:val="18"/>
                <w:color w:val="auto"/>
                <w:w w:val="93"/>
              </w:rPr>
              <w:t>/s/ CONSTANCE B. MOORE</w:t>
            </w:r>
          </w:p>
        </w:tc>
        <w:tc>
          <w:tcPr>
            <w:tcW w:w="5580" w:type="dxa"/>
            <w:vAlign w:val="bottom"/>
            <w:gridSpan w:val="5"/>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Constance B. Moore</w:t>
            </w:r>
          </w:p>
        </w:tc>
        <w:tc>
          <w:tcPr>
            <w:tcW w:w="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00" w:type="dxa"/>
            <w:vAlign w:val="bottom"/>
            <w:gridSpan w:val="4"/>
          </w:tcPr>
          <w:p>
            <w:pPr>
              <w:jc w:val="center"/>
              <w:ind w:right="80"/>
              <w:spacing w:after="0"/>
              <w:rPr>
                <w:sz w:val="20"/>
                <w:szCs w:val="20"/>
                <w:color w:val="auto"/>
              </w:rPr>
            </w:pPr>
            <w:r>
              <w:rPr>
                <w:rFonts w:ascii="Arial" w:cs="Arial" w:eastAsia="Arial" w:hAnsi="Arial"/>
                <w:sz w:val="18"/>
                <w:szCs w:val="18"/>
                <w:color w:val="auto"/>
                <w:w w:val="96"/>
              </w:rPr>
              <w:t>/s/ CHARLES SZALKOWSKI</w:t>
            </w:r>
          </w:p>
        </w:tc>
        <w:tc>
          <w:tcPr>
            <w:tcW w:w="5580" w:type="dxa"/>
            <w:vAlign w:val="bottom"/>
            <w:gridSpan w:val="5"/>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gridSpan w:val="4"/>
          </w:tcPr>
          <w:p>
            <w:pPr>
              <w:jc w:val="center"/>
              <w:ind w:right="60"/>
              <w:spacing w:after="0"/>
              <w:rPr>
                <w:sz w:val="20"/>
                <w:szCs w:val="20"/>
                <w:color w:val="auto"/>
              </w:rPr>
            </w:pPr>
            <w:r>
              <w:rPr>
                <w:rFonts w:ascii="Arial" w:cs="Arial" w:eastAsia="Arial" w:hAnsi="Arial"/>
                <w:sz w:val="18"/>
                <w:szCs w:val="18"/>
                <w:color w:val="auto"/>
                <w:w w:val="90"/>
              </w:rPr>
              <w:t>Charles Szalkowski</w:t>
            </w:r>
          </w:p>
        </w:tc>
        <w:tc>
          <w:tcPr>
            <w:tcW w:w="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00" w:type="dxa"/>
            <w:vAlign w:val="bottom"/>
            <w:gridSpan w:val="4"/>
          </w:tcPr>
          <w:p>
            <w:pPr>
              <w:jc w:val="center"/>
              <w:ind w:right="80"/>
              <w:spacing w:after="0"/>
              <w:rPr>
                <w:sz w:val="20"/>
                <w:szCs w:val="20"/>
                <w:color w:val="auto"/>
              </w:rPr>
            </w:pPr>
            <w:r>
              <w:rPr>
                <w:rFonts w:ascii="Arial" w:cs="Arial" w:eastAsia="Arial" w:hAnsi="Arial"/>
                <w:sz w:val="18"/>
                <w:szCs w:val="18"/>
                <w:color w:val="auto"/>
                <w:w w:val="98"/>
              </w:rPr>
              <w:t>/s/ TIMOTHY O. WALL</w:t>
            </w:r>
          </w:p>
        </w:tc>
        <w:tc>
          <w:tcPr>
            <w:tcW w:w="5580" w:type="dxa"/>
            <w:vAlign w:val="bottom"/>
            <w:gridSpan w:val="5"/>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gridSpan w:val="4"/>
          </w:tcPr>
          <w:p>
            <w:pPr>
              <w:jc w:val="center"/>
              <w:ind w:right="60"/>
              <w:spacing w:after="0"/>
              <w:rPr>
                <w:sz w:val="20"/>
                <w:szCs w:val="20"/>
                <w:color w:val="auto"/>
              </w:rPr>
            </w:pPr>
            <w:r>
              <w:rPr>
                <w:rFonts w:ascii="Arial" w:cs="Arial" w:eastAsia="Arial" w:hAnsi="Arial"/>
                <w:sz w:val="18"/>
                <w:szCs w:val="18"/>
                <w:color w:val="auto"/>
                <w:w w:val="95"/>
              </w:rPr>
              <w:t>Timothy O. Wall</w:t>
            </w:r>
          </w:p>
        </w:tc>
        <w:tc>
          <w:tcPr>
            <w:tcW w:w="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tcPr>
          <w:p>
            <w:pPr>
              <w:spacing w:after="0"/>
              <w:rPr>
                <w:sz w:val="17"/>
                <w:szCs w:val="17"/>
                <w:color w:val="auto"/>
              </w:rPr>
            </w:pPr>
          </w:p>
        </w:tc>
        <w:tc>
          <w:tcPr>
            <w:tcW w:w="218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Page No.</w:t>
            </w:r>
          </w:p>
        </w:tc>
      </w:tr>
      <w:tr>
        <w:trPr>
          <w:trHeight w:val="318"/>
        </w:trPr>
        <w:tc>
          <w:tcPr>
            <w:tcW w:w="9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924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87">
              <w:r>
                <w:rPr>
                  <w:rFonts w:ascii="Arial" w:cs="Arial" w:eastAsia="Arial" w:hAnsi="Arial"/>
                  <w:sz w:val="18"/>
                  <w:szCs w:val="18"/>
                  <w:color w:val="auto"/>
                </w:rPr>
                <w:t>Report of Independent Registered Public Accounting Firm on Consolidated Financial Statements</w:t>
              </w:r>
            </w:hyperlink>
          </w:p>
        </w:tc>
        <w:tc>
          <w:tcPr>
            <w:tcW w:w="218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87">
              <w:r>
                <w:rPr>
                  <w:rFonts w:ascii="Arial" w:cs="Arial" w:eastAsia="Arial" w:hAnsi="Arial"/>
                  <w:sz w:val="18"/>
                  <w:szCs w:val="18"/>
                  <w:color w:val="1335FF"/>
                </w:rPr>
                <w:t>84</w:t>
              </w:r>
            </w:hyperlink>
          </w:p>
        </w:tc>
      </w:tr>
      <w:tr>
        <w:trPr>
          <w:trHeight w:val="243"/>
        </w:trPr>
        <w:tc>
          <w:tcPr>
            <w:tcW w:w="9240" w:type="dxa"/>
            <w:vAlign w:val="bottom"/>
          </w:tcPr>
          <w:p>
            <w:pPr>
              <w:ind w:left="40"/>
              <w:spacing w:after="0"/>
              <w:rPr>
                <w:rFonts w:ascii="Arial" w:cs="Arial" w:eastAsia="Arial" w:hAnsi="Arial"/>
                <w:sz w:val="18"/>
                <w:szCs w:val="18"/>
                <w:color w:val="auto"/>
              </w:rPr>
            </w:pPr>
            <w:hyperlink w:anchor="page88">
              <w:r>
                <w:rPr>
                  <w:rFonts w:ascii="Arial" w:cs="Arial" w:eastAsia="Arial" w:hAnsi="Arial"/>
                  <w:sz w:val="18"/>
                  <w:szCs w:val="18"/>
                  <w:color w:val="auto"/>
                </w:rPr>
                <w:t>Report of Independent Registered Public Accounting Firm on Internal Control Over Financial Reporting</w:t>
              </w:r>
            </w:hyperlink>
          </w:p>
        </w:tc>
        <w:tc>
          <w:tcPr>
            <w:tcW w:w="2180" w:type="dxa"/>
            <w:vAlign w:val="bottom"/>
            <w:gridSpan w:val="3"/>
          </w:tcPr>
          <w:p>
            <w:pPr>
              <w:jc w:val="right"/>
              <w:ind w:right="20"/>
              <w:spacing w:after="0"/>
              <w:rPr>
                <w:rFonts w:ascii="Arial" w:cs="Arial" w:eastAsia="Arial" w:hAnsi="Arial"/>
                <w:sz w:val="18"/>
                <w:szCs w:val="18"/>
                <w:color w:val="1335FF"/>
              </w:rPr>
            </w:pPr>
            <w:hyperlink w:anchor="page88">
              <w:r>
                <w:rPr>
                  <w:rFonts w:ascii="Arial" w:cs="Arial" w:eastAsia="Arial" w:hAnsi="Arial"/>
                  <w:sz w:val="18"/>
                  <w:szCs w:val="18"/>
                  <w:color w:val="1335FF"/>
                </w:rPr>
                <w:t>85</w:t>
              </w:r>
            </w:hyperlink>
          </w:p>
        </w:tc>
      </w:tr>
      <w:tr>
        <w:trPr>
          <w:trHeight w:val="27"/>
        </w:trPr>
        <w:tc>
          <w:tcPr>
            <w:tcW w:w="9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89">
              <w:r>
                <w:rPr>
                  <w:rFonts w:ascii="Arial" w:cs="Arial" w:eastAsia="Arial" w:hAnsi="Arial"/>
                  <w:sz w:val="18"/>
                  <w:szCs w:val="18"/>
                  <w:color w:val="auto"/>
                </w:rPr>
                <w:t xml:space="preserve">Consolidated Statements of Operations for the Years Ended December 31, </w:t>
              </w:r>
            </w:hyperlink>
            <w:r>
              <w:rPr>
                <w:rFonts w:ascii="Arial" w:cs="Arial" w:eastAsia="Arial" w:hAnsi="Arial"/>
                <w:sz w:val="18"/>
                <w:szCs w:val="18"/>
                <w:color w:val="auto"/>
              </w:rPr>
              <w:t>2018, 2017 and 2016</w:t>
            </w:r>
          </w:p>
        </w:tc>
        <w:tc>
          <w:tcPr>
            <w:tcW w:w="218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89">
              <w:r>
                <w:rPr>
                  <w:rFonts w:ascii="Arial" w:cs="Arial" w:eastAsia="Arial" w:hAnsi="Arial"/>
                  <w:sz w:val="18"/>
                  <w:szCs w:val="18"/>
                  <w:color w:val="1335FF"/>
                </w:rPr>
                <w:t>86</w:t>
              </w:r>
            </w:hyperlink>
          </w:p>
        </w:tc>
      </w:tr>
      <w:tr>
        <w:trPr>
          <w:trHeight w:val="243"/>
        </w:trPr>
        <w:tc>
          <w:tcPr>
            <w:tcW w:w="9240" w:type="dxa"/>
            <w:vAlign w:val="bottom"/>
          </w:tcPr>
          <w:p>
            <w:pPr>
              <w:ind w:left="40"/>
              <w:spacing w:after="0"/>
              <w:rPr>
                <w:rFonts w:ascii="Arial" w:cs="Arial" w:eastAsia="Arial" w:hAnsi="Arial"/>
                <w:sz w:val="18"/>
                <w:szCs w:val="18"/>
                <w:color w:val="auto"/>
              </w:rPr>
            </w:pPr>
            <w:hyperlink w:anchor="page90">
              <w:r>
                <w:rPr>
                  <w:rFonts w:ascii="Arial" w:cs="Arial" w:eastAsia="Arial" w:hAnsi="Arial"/>
                  <w:sz w:val="18"/>
                  <w:szCs w:val="18"/>
                  <w:color w:val="auto"/>
                </w:rPr>
                <w:t xml:space="preserve">Consolidated Statements of Comprehensive Loss for the Years Ended December 31, </w:t>
              </w:r>
            </w:hyperlink>
            <w:r>
              <w:rPr>
                <w:rFonts w:ascii="Arial" w:cs="Arial" w:eastAsia="Arial" w:hAnsi="Arial"/>
                <w:sz w:val="18"/>
                <w:szCs w:val="18"/>
                <w:color w:val="auto"/>
              </w:rPr>
              <w:t>2018, 2017 and 2016</w:t>
            </w:r>
          </w:p>
        </w:tc>
        <w:tc>
          <w:tcPr>
            <w:tcW w:w="2180" w:type="dxa"/>
            <w:vAlign w:val="bottom"/>
            <w:gridSpan w:val="3"/>
          </w:tcPr>
          <w:p>
            <w:pPr>
              <w:jc w:val="right"/>
              <w:ind w:right="20"/>
              <w:spacing w:after="0"/>
              <w:rPr>
                <w:rFonts w:ascii="Arial" w:cs="Arial" w:eastAsia="Arial" w:hAnsi="Arial"/>
                <w:sz w:val="18"/>
                <w:szCs w:val="18"/>
                <w:color w:val="1335FF"/>
              </w:rPr>
            </w:pPr>
            <w:hyperlink w:anchor="page90">
              <w:r>
                <w:rPr>
                  <w:rFonts w:ascii="Arial" w:cs="Arial" w:eastAsia="Arial" w:hAnsi="Arial"/>
                  <w:sz w:val="18"/>
                  <w:szCs w:val="18"/>
                  <w:color w:val="1335FF"/>
                </w:rPr>
                <w:t>87</w:t>
              </w:r>
            </w:hyperlink>
          </w:p>
        </w:tc>
      </w:tr>
      <w:tr>
        <w:trPr>
          <w:trHeight w:val="27"/>
        </w:trPr>
        <w:tc>
          <w:tcPr>
            <w:tcW w:w="9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91">
              <w:r>
                <w:rPr>
                  <w:rFonts w:ascii="Arial" w:cs="Arial" w:eastAsia="Arial" w:hAnsi="Arial"/>
                  <w:sz w:val="18"/>
                  <w:szCs w:val="18"/>
                  <w:color w:val="auto"/>
                </w:rPr>
                <w:t xml:space="preserve">Consolidated Balance Sheets at December 31, 2018 </w:t>
              </w:r>
            </w:hyperlink>
            <w:r>
              <w:rPr>
                <w:rFonts w:ascii="Arial" w:cs="Arial" w:eastAsia="Arial" w:hAnsi="Arial"/>
                <w:sz w:val="18"/>
                <w:szCs w:val="18"/>
                <w:color w:val="auto"/>
              </w:rPr>
              <w:t>and 2017</w:t>
            </w:r>
          </w:p>
        </w:tc>
        <w:tc>
          <w:tcPr>
            <w:tcW w:w="218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91">
              <w:r>
                <w:rPr>
                  <w:rFonts w:ascii="Arial" w:cs="Arial" w:eastAsia="Arial" w:hAnsi="Arial"/>
                  <w:sz w:val="18"/>
                  <w:szCs w:val="18"/>
                  <w:color w:val="1335FF"/>
                </w:rPr>
                <w:t>88</w:t>
              </w:r>
            </w:hyperlink>
          </w:p>
        </w:tc>
      </w:tr>
      <w:tr>
        <w:trPr>
          <w:trHeight w:val="243"/>
        </w:trPr>
        <w:tc>
          <w:tcPr>
            <w:tcW w:w="9240" w:type="dxa"/>
            <w:vAlign w:val="bottom"/>
          </w:tcPr>
          <w:p>
            <w:pPr>
              <w:ind w:left="40"/>
              <w:spacing w:after="0"/>
              <w:rPr>
                <w:rFonts w:ascii="Arial" w:cs="Arial" w:eastAsia="Arial" w:hAnsi="Arial"/>
                <w:sz w:val="18"/>
                <w:szCs w:val="18"/>
                <w:color w:val="auto"/>
                <w:w w:val="96"/>
              </w:rPr>
            </w:pPr>
            <w:hyperlink w:anchor="page92">
              <w:r>
                <w:rPr>
                  <w:rFonts w:ascii="Arial" w:cs="Arial" w:eastAsia="Arial" w:hAnsi="Arial"/>
                  <w:sz w:val="18"/>
                  <w:szCs w:val="18"/>
                  <w:color w:val="auto"/>
                  <w:w w:val="96"/>
                </w:rPr>
                <w:t xml:space="preserve">Consolidated Statements of Changes in Shareholders’ Equity for the Years Ended December 31, </w:t>
              </w:r>
            </w:hyperlink>
            <w:r>
              <w:rPr>
                <w:rFonts w:ascii="Arial" w:cs="Arial" w:eastAsia="Arial" w:hAnsi="Arial"/>
                <w:sz w:val="18"/>
                <w:szCs w:val="18"/>
                <w:color w:val="auto"/>
                <w:w w:val="96"/>
              </w:rPr>
              <w:t>2018, 2017 and 2016</w:t>
            </w:r>
          </w:p>
        </w:tc>
        <w:tc>
          <w:tcPr>
            <w:tcW w:w="2180" w:type="dxa"/>
            <w:vAlign w:val="bottom"/>
            <w:gridSpan w:val="3"/>
          </w:tcPr>
          <w:p>
            <w:pPr>
              <w:jc w:val="right"/>
              <w:ind w:right="20"/>
              <w:spacing w:after="0"/>
              <w:rPr>
                <w:rFonts w:ascii="Arial" w:cs="Arial" w:eastAsia="Arial" w:hAnsi="Arial"/>
                <w:sz w:val="18"/>
                <w:szCs w:val="18"/>
                <w:color w:val="1335FF"/>
              </w:rPr>
            </w:pPr>
            <w:hyperlink w:anchor="page92">
              <w:r>
                <w:rPr>
                  <w:rFonts w:ascii="Arial" w:cs="Arial" w:eastAsia="Arial" w:hAnsi="Arial"/>
                  <w:sz w:val="18"/>
                  <w:szCs w:val="18"/>
                  <w:color w:val="1335FF"/>
                </w:rPr>
                <w:t>89</w:t>
              </w:r>
            </w:hyperlink>
          </w:p>
        </w:tc>
      </w:tr>
      <w:tr>
        <w:trPr>
          <w:trHeight w:val="27"/>
        </w:trPr>
        <w:tc>
          <w:tcPr>
            <w:tcW w:w="9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93">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2018, 2017 and 2016</w:t>
            </w:r>
          </w:p>
        </w:tc>
        <w:tc>
          <w:tcPr>
            <w:tcW w:w="218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93">
              <w:r>
                <w:rPr>
                  <w:rFonts w:ascii="Arial" w:cs="Arial" w:eastAsia="Arial" w:hAnsi="Arial"/>
                  <w:sz w:val="18"/>
                  <w:szCs w:val="18"/>
                  <w:color w:val="1335FF"/>
                </w:rPr>
                <w:t>90</w:t>
              </w:r>
            </w:hyperlink>
          </w:p>
        </w:tc>
      </w:tr>
      <w:tr>
        <w:trPr>
          <w:trHeight w:val="243"/>
        </w:trPr>
        <w:tc>
          <w:tcPr>
            <w:tcW w:w="9240" w:type="dxa"/>
            <w:vAlign w:val="bottom"/>
          </w:tcPr>
          <w:p>
            <w:pPr>
              <w:ind w:left="40"/>
              <w:spacing w:after="0"/>
              <w:rPr>
                <w:rFonts w:ascii="Arial" w:cs="Arial" w:eastAsia="Arial" w:hAnsi="Arial"/>
                <w:sz w:val="18"/>
                <w:szCs w:val="18"/>
                <w:color w:val="auto"/>
              </w:rPr>
            </w:pPr>
            <w:hyperlink w:anchor="page94">
              <w:r>
                <w:rPr>
                  <w:rFonts w:ascii="Arial" w:cs="Arial" w:eastAsia="Arial" w:hAnsi="Arial"/>
                  <w:sz w:val="18"/>
                  <w:szCs w:val="18"/>
                  <w:color w:val="auto"/>
                </w:rPr>
                <w:t>Notes to Consolidated Financial Statements</w:t>
              </w:r>
            </w:hyperlink>
          </w:p>
        </w:tc>
        <w:tc>
          <w:tcPr>
            <w:tcW w:w="2180" w:type="dxa"/>
            <w:vAlign w:val="bottom"/>
            <w:gridSpan w:val="3"/>
          </w:tcPr>
          <w:p>
            <w:pPr>
              <w:jc w:val="right"/>
              <w:ind w:right="20"/>
              <w:spacing w:after="0"/>
              <w:rPr>
                <w:rFonts w:ascii="Arial" w:cs="Arial" w:eastAsia="Arial" w:hAnsi="Arial"/>
                <w:sz w:val="18"/>
                <w:szCs w:val="18"/>
                <w:color w:val="1335FF"/>
              </w:rPr>
            </w:pPr>
            <w:hyperlink w:anchor="page94">
              <w:r>
                <w:rPr>
                  <w:rFonts w:ascii="Arial" w:cs="Arial" w:eastAsia="Arial" w:hAnsi="Arial"/>
                  <w:sz w:val="18"/>
                  <w:szCs w:val="18"/>
                  <w:color w:val="1335FF"/>
                </w:rPr>
                <w:t>91</w:t>
              </w:r>
            </w:hyperlink>
          </w:p>
        </w:tc>
      </w:tr>
      <w:tr>
        <w:trPr>
          <w:trHeight w:val="702"/>
        </w:trPr>
        <w:tc>
          <w:tcPr>
            <w:tcW w:w="9240" w:type="dxa"/>
            <w:vAlign w:val="bottom"/>
          </w:tcPr>
          <w:p>
            <w:pPr>
              <w:ind w:left="5620"/>
              <w:spacing w:after="0"/>
              <w:rPr>
                <w:sz w:val="20"/>
                <w:szCs w:val="20"/>
                <w:color w:val="auto"/>
              </w:rPr>
            </w:pPr>
            <w:r>
              <w:rPr>
                <w:rFonts w:ascii="Arial" w:cs="Arial" w:eastAsia="Arial" w:hAnsi="Arial"/>
                <w:sz w:val="18"/>
                <w:szCs w:val="18"/>
                <w:color w:val="auto"/>
              </w:rPr>
              <w:t>83</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Civeo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have audited the accompanying consolidated balance sheets of Civeo Corporation (“the Company”) as of December 31, 2018 and 2017, and the related consolidated statements of operations, comprehensive loss, changes in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27,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00"/>
          </w:cols>
          <w:pgMar w:left="240" w:top="125"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Civeo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audited Civeo Corporation’s internal control over financial reporting as of December 31, 2018, based on criteria established in Internal Control-Integrated Framework issued by the Committee of Sponsoring Organizations of the Treadway Commission (2013 framework) (the COSO criteria). In our opinion, Civeo Corporation (“the Company”) maintained, in all material respects, effective internal control over financial reporting as of December 31, 2018, based on the COSO criteria.</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consolidated balance sheets of the Company as of December 31, 2018 and 2017, and the related consolidated statements of operations, comprehensive loss, changes in shareholders' equity and cash flows for each of the three years in the period ended December 31, 2018, and the related notes and our report dated February 27,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Service and other</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448,908</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371,462</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378,585</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18,645</w:t>
            </w:r>
          </w:p>
        </w:tc>
      </w:tr>
      <w:tr>
        <w:trPr>
          <w:trHeight w:val="217"/>
        </w:trPr>
        <w:tc>
          <w:tcPr>
            <w:tcW w:w="64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466,692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382,276</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397,230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Service and other costs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315,537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244,978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238,037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costs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21,613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69,068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63,431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55,297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125,846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131,302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Impairment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28,661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31,604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46,129</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operating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17"/>
        </w:trPr>
        <w:tc>
          <w:tcPr>
            <w:tcW w:w="64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554,747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480,247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492,990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(88,055)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(97,971)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(95,760)</w:t>
            </w:r>
          </w:p>
        </w:tc>
      </w:tr>
      <w:tr>
        <w:trPr>
          <w:trHeight w:val="230"/>
        </w:trPr>
        <w:tc>
          <w:tcPr>
            <w:tcW w:w="6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(22,667)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2,645</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(113,212)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(118,744)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(115,932)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31,365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13,490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20,105</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(105,254)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(95,827)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561</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Civeo Corporation</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(105,713)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(96,388)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Dividends attributable to Class A preferred shares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49,589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Civeo common shareholders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(96,388)</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Per Share Data (see Note 8)</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loss per share attributable to Civeo Corporation common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r>
      <w:tr>
        <w:trPr>
          <w:trHeight w:val="230"/>
        </w:trPr>
        <w:tc>
          <w:tcPr>
            <w:tcW w:w="6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per share attributable to Civeo Corporation common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r>
      <w:tr>
        <w:trPr>
          <w:trHeight w:val="230"/>
        </w:trPr>
        <w:tc>
          <w:tcPr>
            <w:tcW w:w="6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number of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157,231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128,365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107,024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157,231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128,365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107,024</w:t>
            </w:r>
          </w:p>
        </w:tc>
      </w:tr>
      <w:tr>
        <w:trPr>
          <w:trHeight w:val="33"/>
        </w:trPr>
        <w:tc>
          <w:tcPr>
            <w:tcW w:w="6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(81,847)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(105,254)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(95,827)</w:t>
            </w:r>
          </w:p>
        </w:tc>
      </w:tr>
      <w:tr>
        <w:trPr>
          <w:trHeight w:val="183"/>
        </w:trPr>
        <w:tc>
          <w:tcPr>
            <w:tcW w:w="67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 net of taxes zero</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(43,036)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35,038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3,389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3,389</w:t>
            </w:r>
          </w:p>
        </w:tc>
      </w:tr>
      <w:tr>
        <w:trPr>
          <w:trHeight w:val="183"/>
        </w:trPr>
        <w:tc>
          <w:tcPr>
            <w:tcW w:w="67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(124,883)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(92,438)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Civeo Corporation</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(93,009)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4"/>
                <w:szCs w:val="14"/>
                <w:b w:val="1"/>
                <w:bCs w:val="1"/>
                <w:color w:val="auto"/>
                <w:w w:val="90"/>
              </w:rPr>
              <w:t>December 31, 2017</w:t>
            </w:r>
          </w:p>
        </w:tc>
      </w:tr>
      <w:tr>
        <w:trPr>
          <w:trHeight w:val="250"/>
        </w:trPr>
        <w:tc>
          <w:tcPr>
            <w:tcW w:w="8160" w:type="dxa"/>
            <w:vAlign w:val="bottom"/>
            <w:tcBorders>
              <w:top w:val="single" w:sz="8" w:color="CCEEFF"/>
              <w:bottom w:val="single" w:sz="8" w:color="CCEEFF"/>
            </w:tcBorders>
            <w:shd w:val="clear" w:color="auto" w:fill="CCEEFF"/>
          </w:tcPr>
          <w:p>
            <w:pPr>
              <w:ind w:left="3740"/>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16"/>
        </w:trPr>
        <w:tc>
          <w:tcPr>
            <w:tcW w:w="8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12,372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32,647</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66,823</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7,246</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14,481</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1,553</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9,462</w:t>
            </w:r>
          </w:p>
        </w:tc>
      </w:tr>
      <w:tr>
        <w:trPr>
          <w:trHeight w:val="217"/>
        </w:trPr>
        <w:tc>
          <w:tcPr>
            <w:tcW w:w="81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107,797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132,212</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8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658,905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693,833</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119,409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22,753</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5,114</w:t>
            </w:r>
          </w:p>
        </w:tc>
      </w:tr>
      <w:tr>
        <w:trPr>
          <w:trHeight w:val="284"/>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1,001,677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853,912</w:t>
            </w:r>
          </w:p>
        </w:tc>
      </w:tr>
      <w:tr>
        <w:trPr>
          <w:trHeight w:val="203"/>
        </w:trPr>
        <w:tc>
          <w:tcPr>
            <w:tcW w:w="8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7"/>
        </w:trPr>
        <w:tc>
          <w:tcPr>
            <w:tcW w:w="8160" w:type="dxa"/>
            <w:vAlign w:val="bottom"/>
          </w:tcPr>
          <w:p>
            <w:pPr>
              <w:ind w:left="2360"/>
              <w:spacing w:after="0"/>
              <w:rPr>
                <w:sz w:val="20"/>
                <w:szCs w:val="20"/>
                <w:color w:val="auto"/>
              </w:rPr>
            </w:pPr>
            <w:r>
              <w:rPr>
                <w:rFonts w:ascii="Arial" w:cs="Arial" w:eastAsia="Arial" w:hAnsi="Arial"/>
                <w:sz w:val="16"/>
                <w:szCs w:val="16"/>
                <w:color w:val="auto"/>
              </w:rPr>
              <w:t>LIABILITIES AND SHAREHOLDERS’ EQUITY</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8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27,812</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15,956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22,208</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1,728</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33,329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16,596</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5,442</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1,843</w:t>
            </w:r>
          </w:p>
        </w:tc>
      </w:tr>
      <w:tr>
        <w:trPr>
          <w:trHeight w:val="33"/>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75,629</w:t>
            </w:r>
          </w:p>
        </w:tc>
      </w:tr>
      <w:tr>
        <w:trPr>
          <w:trHeight w:val="216"/>
        </w:trPr>
        <w:tc>
          <w:tcPr>
            <w:tcW w:w="8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less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342,908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277,990</w:t>
            </w: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18,442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23,926</w:t>
            </w:r>
          </w:p>
        </w:tc>
      </w:tr>
      <w:tr>
        <w:trPr>
          <w:trHeight w:val="217"/>
        </w:trPr>
        <w:tc>
          <w:tcPr>
            <w:tcW w:w="816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466,253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377,545</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8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Commitments and contingencies (Note 17)</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8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81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Preferred shares (Class A Series 1, no par value; 50,000,000 shares authorized, 9,679 shares and zero shares issued and</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outstanding, respectively; aggregate liquidation preference of $98,243,690 as of December 31, 2018)</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56,280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160" w:type="dxa"/>
            <w:vAlign w:val="bottom"/>
          </w:tcPr>
          <w:p>
            <w:pPr>
              <w:ind w:left="180"/>
              <w:spacing w:after="0"/>
              <w:rPr>
                <w:sz w:val="20"/>
                <w:szCs w:val="20"/>
                <w:color w:val="auto"/>
              </w:rPr>
            </w:pPr>
            <w:r>
              <w:rPr>
                <w:rFonts w:ascii="Arial" w:cs="Arial" w:eastAsia="Arial" w:hAnsi="Arial"/>
                <w:sz w:val="16"/>
                <w:szCs w:val="16"/>
                <w:color w:val="auto"/>
                <w:w w:val="96"/>
              </w:rPr>
              <w:t>Common shares (no par value; 550,000,000 shares authorized, 166,392,479 shares and 132,427,885 shares issued,</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8160" w:type="dxa"/>
            <w:vAlign w:val="bottom"/>
          </w:tcPr>
          <w:p>
            <w:pPr>
              <w:ind w:left="180"/>
              <w:spacing w:after="0"/>
              <w:rPr>
                <w:sz w:val="20"/>
                <w:szCs w:val="20"/>
                <w:color w:val="auto"/>
              </w:rPr>
            </w:pPr>
            <w:r>
              <w:rPr>
                <w:rFonts w:ascii="Arial" w:cs="Arial" w:eastAsia="Arial" w:hAnsi="Arial"/>
                <w:sz w:val="16"/>
                <w:szCs w:val="16"/>
                <w:color w:val="auto"/>
              </w:rPr>
              <w:t>respectively, and 165,932,334 shares and 132,262,434 shares outstanding, respectively)</w:t>
            </w:r>
          </w:p>
        </w:tc>
        <w:tc>
          <w:tcPr>
            <w:tcW w:w="14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1,562,133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1,383,934</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(710,551)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(579,113)</w:t>
            </w:r>
          </w:p>
        </w:tc>
      </w:tr>
      <w:tr>
        <w:trPr>
          <w:trHeight w:val="3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Common shares held in treasury at cost, 460,145 and 165,451 shares,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(371,249)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(328,213)</w:t>
            </w:r>
          </w:p>
        </w:tc>
      </w:tr>
      <w:tr>
        <w:trPr>
          <w:trHeight w:val="33"/>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Civeo Corporation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535,424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476,250</w:t>
            </w:r>
          </w:p>
        </w:tc>
      </w:tr>
      <w:tr>
        <w:trPr>
          <w:trHeight w:val="217"/>
        </w:trPr>
        <w:tc>
          <w:tcPr>
            <w:tcW w:w="8160" w:type="dxa"/>
            <w:vAlign w:val="bottom"/>
          </w:tcPr>
          <w:p>
            <w:pPr>
              <w:ind w:left="4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r>
      <w:tr>
        <w:trPr>
          <w:trHeight w:val="33"/>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535,424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476,367</w:t>
            </w:r>
          </w:p>
        </w:tc>
      </w:tr>
      <w:tr>
        <w:trPr>
          <w:trHeight w:val="244"/>
        </w:trPr>
        <w:tc>
          <w:tcPr>
            <w:tcW w:w="8160" w:type="dxa"/>
            <w:vAlign w:val="bottom"/>
          </w:tcPr>
          <w:p>
            <w:pPr>
              <w:ind w:left="36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1,001,677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853,912</w:t>
            </w:r>
          </w:p>
        </w:tc>
      </w:tr>
      <w:tr>
        <w:trPr>
          <w:trHeight w:val="20"/>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60"/>
          </w:cols>
          <w:pgMar w:left="240" w:top="125" w:right="499" w:bottom="1028"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60"/>
          </w:cols>
          <w:pgMar w:left="240" w:top="125" w:right="499" w:bottom="1028"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Attributable to Civeo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34290</wp:posOffset>
            </wp:positionV>
            <wp:extent cx="4776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1">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Preferred</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4"/>
        </w:trPr>
        <w:tc>
          <w:tcPr>
            <w:tcW w:w="2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30"/>
        </w:trPr>
        <w:tc>
          <w:tcPr>
            <w:tcW w:w="2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900" w:type="dxa"/>
            <w:vAlign w:val="bottom"/>
          </w:tcPr>
          <w:p>
            <w:pPr>
              <w:jc w:val="right"/>
              <w:ind w:right="87"/>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900" w:type="dxa"/>
            <w:vAlign w:val="bottom"/>
            <w:gridSpan w:val="5"/>
          </w:tcPr>
          <w:p>
            <w:pPr>
              <w:ind w:left="16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1"/>
                <w:szCs w:val="11"/>
                <w:color w:val="auto"/>
              </w:rPr>
            </w:pPr>
          </w:p>
        </w:tc>
        <w:tc>
          <w:tcPr>
            <w:tcW w:w="9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7"/>
              </w:rPr>
              <w:t>Shareholders’</w:t>
            </w:r>
          </w:p>
        </w:tc>
      </w:tr>
      <w:tr>
        <w:trPr>
          <w:trHeight w:val="174"/>
        </w:trPr>
        <w:tc>
          <w:tcPr>
            <w:tcW w:w="23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7"/>
              </w:rPr>
              <w:t>Par Value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Interest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0"/>
              </w:rPr>
              <w:t>Equity</w:t>
            </w:r>
          </w:p>
        </w:tc>
      </w:tr>
      <w:tr>
        <w:trPr>
          <w:trHeight w:val="257"/>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1,305,930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(376,376)</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(366,309)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563,770</w:t>
            </w:r>
          </w:p>
        </w:tc>
      </w:tr>
      <w:tr>
        <w:trPr>
          <w:trHeight w:val="264"/>
        </w:trPr>
        <w:tc>
          <w:tcPr>
            <w:tcW w:w="23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(96,388)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(95,827)</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jc w:val="right"/>
              <w:ind w:right="67"/>
              <w:spacing w:after="0"/>
              <w:rPr>
                <w:sz w:val="20"/>
                <w:szCs w:val="20"/>
                <w:color w:val="auto"/>
              </w:rPr>
            </w:pPr>
            <w:r>
              <w:rPr>
                <w:rFonts w:ascii="Arial" w:cs="Arial" w:eastAsia="Arial" w:hAnsi="Arial"/>
                <w:sz w:val="14"/>
                <w:szCs w:val="14"/>
                <w:color w:val="auto"/>
              </w:rPr>
              <w:t>3,379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3,389</w:t>
            </w:r>
          </w:p>
        </w:tc>
      </w:tr>
      <w:tr>
        <w:trPr>
          <w:trHeight w:val="264"/>
        </w:trPr>
        <w:tc>
          <w:tcPr>
            <w:tcW w:w="236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(573)</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3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5,296</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CCEEFF"/>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5,231</w:t>
            </w:r>
          </w:p>
        </w:tc>
      </w:tr>
      <w:tr>
        <w:trPr>
          <w:trHeight w:val="298"/>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December 31, 2016</w:t>
            </w:r>
          </w:p>
        </w:tc>
        <w:tc>
          <w:tcPr>
            <w:tcW w:w="3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1,311,226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(472,764)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(362,930)</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475,990</w:t>
            </w:r>
          </w:p>
        </w:tc>
      </w:tr>
      <w:tr>
        <w:trPr>
          <w:trHeight w:val="257"/>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(105,254)</w:t>
            </w:r>
          </w:p>
        </w:tc>
      </w:tr>
      <w:tr>
        <w:trPr>
          <w:trHeight w:val="264"/>
        </w:trPr>
        <w:tc>
          <w:tcPr>
            <w:tcW w:w="236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67"/>
              <w:spacing w:after="0"/>
              <w:rPr>
                <w:sz w:val="20"/>
                <w:szCs w:val="20"/>
                <w:color w:val="auto"/>
              </w:rPr>
            </w:pPr>
            <w:r>
              <w:rPr>
                <w:rFonts w:ascii="Arial" w:cs="Arial" w:eastAsia="Arial" w:hAnsi="Arial"/>
                <w:sz w:val="14"/>
                <w:szCs w:val="14"/>
                <w:color w:val="auto"/>
              </w:rPr>
              <w:t>34,717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35,038</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r>
      <w:tr>
        <w:trPr>
          <w:trHeight w:val="220"/>
        </w:trPr>
        <w:tc>
          <w:tcPr>
            <w:tcW w:w="2900" w:type="dxa"/>
            <w:vAlign w:val="bottom"/>
            <w:gridSpan w:val="3"/>
          </w:tcPr>
          <w:p>
            <w:pPr>
              <w:ind w:left="20"/>
              <w:spacing w:after="0"/>
              <w:rPr>
                <w:sz w:val="20"/>
                <w:szCs w:val="20"/>
                <w:color w:val="auto"/>
              </w:rPr>
            </w:pPr>
            <w:r>
              <w:rPr>
                <w:rFonts w:ascii="Arial" w:cs="Arial" w:eastAsia="Arial" w:hAnsi="Arial"/>
                <w:sz w:val="16"/>
                <w:szCs w:val="16"/>
                <w:color w:val="auto"/>
              </w:rPr>
              <w:t>Cumulative effect of implementation of</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3"/>
        </w:trPr>
        <w:tc>
          <w:tcPr>
            <w:tcW w:w="2360" w:type="dxa"/>
            <w:vAlign w:val="bottom"/>
          </w:tcPr>
          <w:p>
            <w:pPr>
              <w:ind w:left="20"/>
              <w:spacing w:after="0"/>
              <w:rPr>
                <w:sz w:val="20"/>
                <w:szCs w:val="20"/>
                <w:color w:val="auto"/>
              </w:rPr>
            </w:pPr>
            <w:r>
              <w:rPr>
                <w:rFonts w:ascii="Arial" w:cs="Arial" w:eastAsia="Arial" w:hAnsi="Arial"/>
                <w:sz w:val="16"/>
                <w:szCs w:val="16"/>
                <w:color w:val="auto"/>
              </w:rPr>
              <w:t>ASU 2016-09</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636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shares</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64,734</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64,734</w:t>
            </w:r>
          </w:p>
        </w:tc>
      </w:tr>
      <w:tr>
        <w:trPr>
          <w:trHeight w:val="264"/>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Share-based compensation</w:t>
            </w:r>
          </w:p>
        </w:tc>
        <w:tc>
          <w:tcPr>
            <w:tcW w:w="3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7,338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7,045</w:t>
            </w:r>
          </w:p>
        </w:tc>
      </w:tr>
      <w:tr>
        <w:trPr>
          <w:trHeight w:val="23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2017</w:t>
            </w:r>
          </w:p>
        </w:tc>
        <w:tc>
          <w:tcPr>
            <w:tcW w:w="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1,383,934</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(579,113)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right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(328,213)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476,367</w:t>
            </w:r>
          </w:p>
        </w:tc>
      </w:tr>
      <w:tr>
        <w:trPr>
          <w:trHeight w:val="20"/>
        </w:trPr>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23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(82,243)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(81,847)</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(43,036)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(43,036)</w:t>
            </w:r>
          </w:p>
        </w:tc>
      </w:tr>
      <w:tr>
        <w:trPr>
          <w:trHeight w:val="264"/>
        </w:trPr>
        <w:tc>
          <w:tcPr>
            <w:tcW w:w="236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(513)</w:t>
            </w:r>
          </w:p>
        </w:tc>
      </w:tr>
      <w:tr>
        <w:trPr>
          <w:trHeight w:val="163"/>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Cumulative effect of implementation of ASU</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2014-09</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w:t>
            </w:r>
          </w:p>
        </w:tc>
      </w:tr>
      <w:tr>
        <w:trPr>
          <w:trHeight w:val="264"/>
        </w:trPr>
        <w:tc>
          <w:tcPr>
            <w:tcW w:w="2360" w:type="dxa"/>
            <w:vAlign w:val="bottom"/>
          </w:tcPr>
          <w:p>
            <w:pPr>
              <w:ind w:left="20"/>
              <w:spacing w:after="0"/>
              <w:rPr>
                <w:sz w:val="20"/>
                <w:szCs w:val="20"/>
                <w:color w:val="auto"/>
              </w:rPr>
            </w:pPr>
            <w:r>
              <w:rPr>
                <w:rFonts w:ascii="Arial" w:cs="Arial" w:eastAsia="Arial" w:hAnsi="Arial"/>
                <w:sz w:val="14"/>
                <w:szCs w:val="14"/>
                <w:color w:val="auto"/>
              </w:rPr>
              <w:t>Issuance of shares for acquisitions</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6,972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166,882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173,854</w:t>
            </w:r>
          </w:p>
        </w:tc>
      </w:tr>
      <w:tr>
        <w:trPr>
          <w:trHeight w:val="163"/>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attributable to Class A preferred</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(Note 13)</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49,308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3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11,036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(831)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10,205</w:t>
            </w:r>
          </w:p>
        </w:tc>
      </w:tr>
      <w:tr>
        <w:trPr>
          <w:trHeight w:val="237"/>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56,280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1,562,133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(710,551)</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(1,189)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(371,249)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535,424</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769"/>
        </w:trPr>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left="7"/>
              <w:spacing w:after="0"/>
              <w:rPr>
                <w:sz w:val="20"/>
                <w:szCs w:val="20"/>
                <w:color w:val="auto"/>
              </w:rPr>
            </w:pPr>
            <w:r>
              <w:rPr>
                <w:rFonts w:ascii="Arial" w:cs="Arial" w:eastAsia="Arial" w:hAnsi="Arial"/>
                <w:sz w:val="16"/>
                <w:szCs w:val="16"/>
                <w:b w:val="1"/>
                <w:bCs w:val="1"/>
                <w:color w:val="auto"/>
                <w:w w:val="90"/>
              </w:rPr>
              <w:t>Shares (in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Common Shares (in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360" w:type="dxa"/>
            <w:vAlign w:val="bottom"/>
          </w:tcPr>
          <w:p>
            <w:pPr>
              <w:spacing w:after="0"/>
              <w:rPr>
                <w:sz w:val="2"/>
                <w:szCs w:val="2"/>
                <w:color w:val="auto"/>
              </w:rPr>
            </w:pPr>
          </w:p>
        </w:tc>
        <w:tc>
          <w:tcPr>
            <w:tcW w:w="2480" w:type="dxa"/>
            <w:vAlign w:val="bottom"/>
            <w:tcBorders>
              <w:bottom w:val="single" w:sz="8" w:color="CCEEFF"/>
            </w:tcBorders>
            <w:gridSpan w:val="7"/>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2360" w:type="dxa"/>
            <w:vAlign w:val="bottom"/>
          </w:tcPr>
          <w:p>
            <w:pPr>
              <w:spacing w:after="0"/>
              <w:rPr>
                <w:sz w:val="20"/>
                <w:szCs w:val="20"/>
                <w:color w:val="auto"/>
              </w:rPr>
            </w:pPr>
          </w:p>
        </w:tc>
        <w:tc>
          <w:tcPr>
            <w:tcW w:w="248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2015</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right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b w:val="1"/>
                <w:bCs w:val="1"/>
                <w:color w:val="auto"/>
              </w:rPr>
              <w:t>107,471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7"/>
        </w:trPr>
        <w:tc>
          <w:tcPr>
            <w:tcW w:w="2360" w:type="dxa"/>
            <w:vAlign w:val="bottom"/>
          </w:tcPr>
          <w:p>
            <w:pPr>
              <w:spacing w:after="0"/>
              <w:rPr>
                <w:sz w:val="20"/>
                <w:szCs w:val="20"/>
                <w:color w:val="auto"/>
              </w:rPr>
            </w:pPr>
          </w:p>
        </w:tc>
        <w:tc>
          <w:tcPr>
            <w:tcW w:w="2480" w:type="dxa"/>
            <w:vAlign w:val="bottom"/>
            <w:gridSpan w:val="7"/>
          </w:tcPr>
          <w:p>
            <w:pPr>
              <w:ind w:left="20"/>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
              <w:spacing w:after="0"/>
              <w:rPr>
                <w:sz w:val="20"/>
                <w:szCs w:val="20"/>
                <w:color w:val="auto"/>
              </w:rPr>
            </w:pPr>
            <w:r>
              <w:rPr>
                <w:rFonts w:ascii="Arial" w:cs="Arial" w:eastAsia="Arial" w:hAnsi="Arial"/>
                <w:sz w:val="16"/>
                <w:szCs w:val="16"/>
                <w:color w:val="auto"/>
              </w:rPr>
              <w:t>632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360" w:type="dxa"/>
            <w:vAlign w:val="bottom"/>
          </w:tcPr>
          <w:p>
            <w:pPr>
              <w:spacing w:after="0"/>
              <w:rPr>
                <w:sz w:val="2"/>
                <w:szCs w:val="2"/>
                <w:color w:val="auto"/>
              </w:rPr>
            </w:pPr>
          </w:p>
        </w:tc>
        <w:tc>
          <w:tcPr>
            <w:tcW w:w="2480" w:type="dxa"/>
            <w:vAlign w:val="bottom"/>
            <w:tcBorders>
              <w:bottom w:val="single" w:sz="8" w:color="CCEEFF"/>
            </w:tcBorders>
            <w:gridSpan w:val="7"/>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2360" w:type="dxa"/>
            <w:vAlign w:val="bottom"/>
          </w:tcPr>
          <w:p>
            <w:pPr>
              <w:spacing w:after="0"/>
              <w:rPr>
                <w:sz w:val="20"/>
                <w:szCs w:val="20"/>
                <w:color w:val="auto"/>
              </w:rPr>
            </w:pPr>
          </w:p>
        </w:tc>
        <w:tc>
          <w:tcPr>
            <w:tcW w:w="248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2016</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right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b w:val="1"/>
                <w:bCs w:val="1"/>
                <w:color w:val="auto"/>
              </w:rPr>
              <w:t>108,103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7"/>
        </w:trPr>
        <w:tc>
          <w:tcPr>
            <w:tcW w:w="2360" w:type="dxa"/>
            <w:vAlign w:val="bottom"/>
          </w:tcPr>
          <w:p>
            <w:pPr>
              <w:spacing w:after="0"/>
              <w:rPr>
                <w:sz w:val="20"/>
                <w:szCs w:val="20"/>
                <w:color w:val="auto"/>
              </w:rPr>
            </w:pPr>
          </w:p>
        </w:tc>
        <w:tc>
          <w:tcPr>
            <w:tcW w:w="2480" w:type="dxa"/>
            <w:vAlign w:val="bottom"/>
            <w:gridSpan w:val="7"/>
          </w:tcPr>
          <w:p>
            <w:pPr>
              <w:ind w:left="20"/>
              <w:spacing w:after="0"/>
              <w:rPr>
                <w:sz w:val="20"/>
                <w:szCs w:val="20"/>
                <w:color w:val="auto"/>
              </w:rPr>
            </w:pPr>
            <w:r>
              <w:rPr>
                <w:rFonts w:ascii="Arial" w:cs="Arial" w:eastAsia="Arial" w:hAnsi="Arial"/>
                <w:sz w:val="16"/>
                <w:szCs w:val="16"/>
                <w:color w:val="auto"/>
              </w:rPr>
              <w:t>Issuance of common shares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
              <w:spacing w:after="0"/>
              <w:rPr>
                <w:sz w:val="20"/>
                <w:szCs w:val="20"/>
                <w:color w:val="auto"/>
              </w:rPr>
            </w:pPr>
            <w:r>
              <w:rPr>
                <w:rFonts w:ascii="Arial" w:cs="Arial" w:eastAsia="Arial" w:hAnsi="Arial"/>
                <w:sz w:val="16"/>
                <w:szCs w:val="16"/>
                <w:color w:val="auto"/>
              </w:rPr>
              <w:t>23,000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360" w:type="dxa"/>
            <w:vAlign w:val="bottom"/>
          </w:tcPr>
          <w:p>
            <w:pPr>
              <w:spacing w:after="0"/>
              <w:rPr>
                <w:sz w:val="2"/>
                <w:szCs w:val="2"/>
                <w:color w:val="auto"/>
              </w:rPr>
            </w:pPr>
          </w:p>
        </w:tc>
        <w:tc>
          <w:tcPr>
            <w:tcW w:w="2480" w:type="dxa"/>
            <w:vAlign w:val="bottom"/>
            <w:gridSpan w:val="7"/>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360" w:type="dxa"/>
            <w:vAlign w:val="bottom"/>
          </w:tcPr>
          <w:p>
            <w:pPr>
              <w:spacing w:after="0"/>
              <w:rPr>
                <w:sz w:val="23"/>
                <w:szCs w:val="23"/>
                <w:color w:val="auto"/>
              </w:rPr>
            </w:pPr>
          </w:p>
        </w:tc>
        <w:tc>
          <w:tcPr>
            <w:tcW w:w="248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1,159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17"/>
        </w:trPr>
        <w:tc>
          <w:tcPr>
            <w:tcW w:w="2360" w:type="dxa"/>
            <w:vAlign w:val="bottom"/>
          </w:tcPr>
          <w:p>
            <w:pPr>
              <w:spacing w:after="0"/>
              <w:rPr>
                <w:sz w:val="18"/>
                <w:szCs w:val="18"/>
                <w:color w:val="auto"/>
              </w:rPr>
            </w:pPr>
          </w:p>
        </w:tc>
        <w:tc>
          <w:tcPr>
            <w:tcW w:w="2480" w:type="dxa"/>
            <w:vAlign w:val="bottom"/>
            <w:gridSpan w:val="7"/>
          </w:tcPr>
          <w:p>
            <w:pPr>
              <w:ind w:left="20"/>
              <w:spacing w:after="0"/>
              <w:rPr>
                <w:sz w:val="20"/>
                <w:szCs w:val="20"/>
                <w:color w:val="auto"/>
              </w:rPr>
            </w:pPr>
            <w:r>
              <w:rPr>
                <w:rFonts w:ascii="Arial" w:cs="Arial" w:eastAsia="Arial" w:hAnsi="Arial"/>
                <w:sz w:val="16"/>
                <w:szCs w:val="16"/>
                <w:b w:val="1"/>
                <w:bCs w:val="1"/>
                <w:color w:val="auto"/>
              </w:rPr>
              <w:t>Balance, December 31, 2017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7"/>
              <w:spacing w:after="0"/>
              <w:rPr>
                <w:sz w:val="20"/>
                <w:szCs w:val="20"/>
                <w:color w:val="auto"/>
              </w:rPr>
            </w:pPr>
            <w:r>
              <w:rPr>
                <w:rFonts w:ascii="Arial" w:cs="Arial" w:eastAsia="Arial" w:hAnsi="Arial"/>
                <w:sz w:val="16"/>
                <w:szCs w:val="16"/>
                <w:b w:val="1"/>
                <w:bCs w:val="1"/>
                <w:color w:val="auto"/>
              </w:rPr>
              <w:t>132,262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360" w:type="dxa"/>
            <w:vAlign w:val="bottom"/>
          </w:tcPr>
          <w:p>
            <w:pPr>
              <w:spacing w:after="0"/>
              <w:rPr>
                <w:sz w:val="2"/>
                <w:szCs w:val="2"/>
                <w:color w:val="auto"/>
              </w:rPr>
            </w:pPr>
          </w:p>
        </w:tc>
        <w:tc>
          <w:tcPr>
            <w:tcW w:w="2480" w:type="dxa"/>
            <w:vAlign w:val="bottom"/>
            <w:gridSpan w:val="7"/>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60" w:type="dxa"/>
            <w:vAlign w:val="bottom"/>
          </w:tcPr>
          <w:p>
            <w:pPr>
              <w:spacing w:after="0"/>
              <w:rPr>
                <w:sz w:val="21"/>
                <w:szCs w:val="21"/>
                <w:color w:val="auto"/>
              </w:rPr>
            </w:pPr>
          </w:p>
        </w:tc>
        <w:tc>
          <w:tcPr>
            <w:tcW w:w="248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w w:val="99"/>
              </w:rPr>
              <w:t>Issuance of shares for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9,042</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31,974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7"/>
        </w:trPr>
        <w:tc>
          <w:tcPr>
            <w:tcW w:w="2360" w:type="dxa"/>
            <w:vAlign w:val="bottom"/>
          </w:tcPr>
          <w:p>
            <w:pPr>
              <w:spacing w:after="0"/>
              <w:rPr>
                <w:sz w:val="20"/>
                <w:szCs w:val="20"/>
                <w:color w:val="auto"/>
              </w:rPr>
            </w:pPr>
          </w:p>
        </w:tc>
        <w:tc>
          <w:tcPr>
            <w:tcW w:w="2480" w:type="dxa"/>
            <w:vAlign w:val="bottom"/>
            <w:gridSpan w:val="7"/>
          </w:tcPr>
          <w:p>
            <w:pPr>
              <w:ind w:left="20"/>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
              <w:spacing w:after="0"/>
              <w:rPr>
                <w:sz w:val="20"/>
                <w:szCs w:val="20"/>
                <w:color w:val="auto"/>
              </w:rPr>
            </w:pPr>
            <w:r>
              <w:rPr>
                <w:rFonts w:ascii="Arial" w:cs="Arial" w:eastAsia="Arial" w:hAnsi="Arial"/>
                <w:sz w:val="16"/>
                <w:szCs w:val="16"/>
                <w:color w:val="auto"/>
              </w:rPr>
              <w:t>1,696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360" w:type="dxa"/>
            <w:vAlign w:val="bottom"/>
          </w:tcPr>
          <w:p>
            <w:pPr>
              <w:spacing w:after="0"/>
              <w:rPr>
                <w:sz w:val="2"/>
                <w:szCs w:val="2"/>
                <w:color w:val="auto"/>
              </w:rPr>
            </w:pPr>
          </w:p>
        </w:tc>
        <w:tc>
          <w:tcPr>
            <w:tcW w:w="2480" w:type="dxa"/>
            <w:vAlign w:val="bottom"/>
            <w:tcBorders>
              <w:bottom w:val="single" w:sz="8" w:color="CCEEFF"/>
            </w:tcBorders>
            <w:gridSpan w:val="7"/>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4"/>
        </w:trPr>
        <w:tc>
          <w:tcPr>
            <w:tcW w:w="2360" w:type="dxa"/>
            <w:vAlign w:val="bottom"/>
          </w:tcPr>
          <w:p>
            <w:pPr>
              <w:spacing w:after="0"/>
              <w:rPr>
                <w:sz w:val="21"/>
                <w:szCs w:val="21"/>
                <w:color w:val="auto"/>
              </w:rPr>
            </w:pPr>
          </w:p>
        </w:tc>
        <w:tc>
          <w:tcPr>
            <w:tcW w:w="248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9,042</w:t>
            </w:r>
          </w:p>
        </w:tc>
        <w:tc>
          <w:tcPr>
            <w:tcW w:w="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b w:val="1"/>
                <w:bCs w:val="1"/>
                <w:color w:val="auto"/>
              </w:rPr>
              <w:t>165,932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125" w:right="25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(95,827)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131,302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Impairment charges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28,661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31,604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 write-down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Non-cash compensation charge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7,338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5,296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disposals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Provision (benefit) for loss on receivables, net of recoveries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(4,398)</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Taxes payable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5,310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(10,239)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 and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(7,334)</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cash flows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54,391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56,826</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62,169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(19,779)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Payments related to acquisitions, net of cash acquired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(171,337)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disposition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flows used in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(181,947)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(12,689)</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Proceeds from issuance of common shares, net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64,734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Revolving credit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358,312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310,539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Revolving credit repayments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(217,339)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(84,462)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(325,738)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 repayments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Debt issuance costs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7"/>
        </w:trPr>
        <w:tc>
          <w:tcPr>
            <w:tcW w:w="6740" w:type="dxa"/>
            <w:vAlign w:val="bottom"/>
          </w:tcPr>
          <w:p>
            <w:pPr>
              <w:ind w:left="360"/>
              <w:spacing w:after="0"/>
              <w:rPr>
                <w:sz w:val="20"/>
                <w:szCs w:val="20"/>
                <w:color w:val="auto"/>
              </w:rPr>
            </w:pPr>
            <w:r>
              <w:rPr>
                <w:rFonts w:ascii="Arial" w:cs="Arial" w:eastAsia="Arial" w:hAnsi="Arial"/>
                <w:sz w:val="16"/>
                <w:szCs w:val="16"/>
                <w:color w:val="auto"/>
              </w:rPr>
              <w:t>Net cash flows provided by (used in)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109,523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(18,072)</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(58,349)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30,862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32,647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1,785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7,837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12,372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32,647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Value of common shares issued as consideration for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119,797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Value of preferred shares issued as consideration for acquisition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54,821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Non-cash financing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dividends paid-in-kind</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5" w:right="239" w:bottom="70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703"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We also, in many cases, provide services that support the day-to-day operations of accommodation facilities, such as laundry, facility management and maintenance, water and wastewater treatment, power generation, communication systems, security and group logistics. We also offer development activities for workforce accommodation facilities, including site selection, permitting, engineering and design, manufacturing management and site construction, along with providing hospitality services once the facility is constructed. We operate in some of the world’s most active oil, coal and iron ore producing regions, and our customers include major and independent oil companies, mining companies and oilfield and mining service companies. We operate in three principal reportable business segments – Canada, Australia and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459"/>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3"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225" w:lineRule="exact"/>
        <w:rPr>
          <w:sz w:val="20"/>
          <w:szCs w:val="20"/>
          <w:color w:val="auto"/>
        </w:rPr>
      </w:pPr>
    </w:p>
    <w:p>
      <w:pPr>
        <w:ind w:right="140" w:firstLine="459"/>
        <w:spacing w:after="0" w:line="290"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required payments. If a trade receivable is deemed to be uncollectible, such receivable is charged-off against the allowance for doubtful accounts. We consider the following factors when determining if collection of revenue is reasonably assured: customer credit-worthiness, past transaction history with the customer, current economic industry trends, customer solvency and changes in customer payment terms.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 that the customer has the means of making payment. If these factors do not indicate collection is reasonably assured, we generally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0" w:firstLine="459"/>
        <w:spacing w:after="0" w:line="312" w:lineRule="auto"/>
        <w:rPr>
          <w:sz w:val="20"/>
          <w:szCs w:val="20"/>
          <w:color w:val="auto"/>
        </w:rPr>
      </w:pPr>
      <w:r>
        <w:rPr>
          <w:rFonts w:ascii="Arial" w:cs="Arial" w:eastAsia="Arial" w:hAnsi="Arial"/>
          <w:sz w:val="16"/>
          <w:szCs w:val="16"/>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an average cost or specific-identification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140" w:firstLine="459"/>
        <w:spacing w:after="0" w:line="259" w:lineRule="auto"/>
        <w:rPr>
          <w:sz w:val="20"/>
          <w:szCs w:val="20"/>
          <w:color w:val="auto"/>
        </w:rPr>
      </w:pPr>
      <w:r>
        <w:rPr>
          <w:rFonts w:ascii="Arial" w:cs="Arial" w:eastAsia="Arial" w:hAnsi="Arial"/>
          <w:sz w:val="18"/>
          <w:szCs w:val="18"/>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187"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increasing the carrying amount of the related property, plant and equipment. Please see Asset Retirement Obligations, below, for further discussion.</w:t>
      </w:r>
    </w:p>
    <w:p>
      <w:pPr>
        <w:spacing w:after="0" w:line="237" w:lineRule="exact"/>
        <w:rPr>
          <w:sz w:val="20"/>
          <w:szCs w:val="20"/>
          <w:color w:val="auto"/>
        </w:rPr>
      </w:pPr>
    </w:p>
    <w:p>
      <w:pPr>
        <w:ind w:right="240" w:firstLine="459"/>
        <w:spacing w:after="0" w:line="312" w:lineRule="auto"/>
        <w:rPr>
          <w:sz w:val="20"/>
          <w:szCs w:val="20"/>
          <w:color w:val="auto"/>
        </w:rPr>
      </w:pPr>
      <w:r>
        <w:rPr>
          <w:rFonts w:ascii="Arial" w:cs="Arial" w:eastAsia="Arial" w:hAnsi="Arial"/>
          <w:sz w:val="16"/>
          <w:szCs w:val="16"/>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Capitalization</w:t>
      </w:r>
    </w:p>
    <w:p>
      <w:pPr>
        <w:spacing w:after="0" w:line="225" w:lineRule="exact"/>
        <w:rPr>
          <w:sz w:val="20"/>
          <w:szCs w:val="20"/>
          <w:color w:val="auto"/>
        </w:rPr>
      </w:pPr>
    </w:p>
    <w:p>
      <w:pPr>
        <w:ind w:right="240" w:firstLine="459"/>
        <w:spacing w:after="0" w:line="277" w:lineRule="auto"/>
        <w:rPr>
          <w:sz w:val="20"/>
          <w:szCs w:val="20"/>
          <w:color w:val="auto"/>
        </w:rPr>
      </w:pPr>
      <w:r>
        <w:rPr>
          <w:rFonts w:ascii="Arial" w:cs="Arial" w:eastAsia="Arial" w:hAnsi="Arial"/>
          <w:sz w:val="18"/>
          <w:szCs w:val="18"/>
          <w:color w:val="auto"/>
        </w:rPr>
        <w:t>Interest costs for the construction of certain long-term assets are capitalized and amortized over the related assets’ estimated useful lives. For each of the years ended December 31, 2018, 2017 and 2016, capitalized interest totaled zero.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80" w:firstLine="459"/>
        <w:spacing w:after="0" w:line="255" w:lineRule="auto"/>
        <w:rPr>
          <w:sz w:val="20"/>
          <w:szCs w:val="20"/>
          <w:color w:val="auto"/>
        </w:rPr>
      </w:pPr>
      <w:r>
        <w:rPr>
          <w:rFonts w:ascii="Arial" w:cs="Arial" w:eastAsia="Arial" w:hAnsi="Arial"/>
          <w:sz w:val="18"/>
          <w:szCs w:val="18"/>
          <w:color w:val="auto"/>
        </w:rPr>
        <w:t>We evaluate acquisitions of assets and other similar transactions to assess whether or not the transaction should be accounted for as a business combination by assessing whether or not we have acquired inputs and processes that have the ability to create outputs. If determined to be a business combination, we account for a business acquisition under the acquisition method of accounting. The accounting rules governing business combinations require the acquiring entity in a business combination to recognize the fair value of all assets acquired and liabilities assumed and establish the acquisition date as the fair value measurement point. Accordingly, we recognize assets acquired and liabilities assumed in a business combination based on the fair value estimates as of the date of acquisition. Goodwill is measured as the excess of the fair value of the consideration paid over the fair value of the identified net assets, including intangible assets, acquired.</w:t>
      </w:r>
    </w:p>
    <w:p>
      <w:pPr>
        <w:spacing w:after="0" w:line="189" w:lineRule="exact"/>
        <w:rPr>
          <w:sz w:val="20"/>
          <w:szCs w:val="20"/>
          <w:color w:val="auto"/>
        </w:rPr>
      </w:pPr>
    </w:p>
    <w:p>
      <w:pPr>
        <w:ind w:right="20" w:firstLine="459"/>
        <w:spacing w:after="0" w:line="257" w:lineRule="auto"/>
        <w:rPr>
          <w:sz w:val="20"/>
          <w:szCs w:val="20"/>
          <w:color w:val="auto"/>
        </w:rPr>
      </w:pPr>
      <w:r>
        <w:rPr>
          <w:rFonts w:ascii="Arial" w:cs="Arial" w:eastAsia="Arial" w:hAnsi="Arial"/>
          <w:sz w:val="18"/>
          <w:szCs w:val="18"/>
          <w:color w:val="auto"/>
        </w:rPr>
        <w:t>The fair value measurement of the identified net assets requires the significant use of estimates and is based on information that was available to management at the time these consolidated financial statements were prepared. We utilized recognized valuation techniques, including the cost approach, the market approach and the income approach to value the net assets acquired. The impact of changes to the estimated fair values of assets acquired and liabilities assumed is recorded in the reporting period in which the adjustment is identified. Final valuations of assets and liabilities are obtained and recorded within one year from the date of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459"/>
        <w:spacing w:after="0" w:line="276" w:lineRule="auto"/>
        <w:rPr>
          <w:sz w:val="20"/>
          <w:szCs w:val="20"/>
          <w:color w:val="auto"/>
        </w:rPr>
      </w:pPr>
      <w:r>
        <w:rPr>
          <w:rFonts w:ascii="Arial" w:cs="Arial" w:eastAsia="Arial" w:hAnsi="Arial"/>
          <w:sz w:val="17"/>
          <w:szCs w:val="17"/>
          <w:color w:val="auto"/>
        </w:rPr>
        <w:t>The recoverability of the carrying values of long-lived assets, including amortizable intangible assets, is assessed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w:t>
      </w:r>
    </w:p>
    <w:p>
      <w:pPr>
        <w:spacing w:after="0" w:line="173" w:lineRule="exact"/>
        <w:rPr>
          <w:sz w:val="20"/>
          <w:szCs w:val="20"/>
          <w:color w:val="auto"/>
        </w:rPr>
      </w:pPr>
    </w:p>
    <w:p>
      <w:pPr>
        <w:ind w:firstLine="459"/>
        <w:spacing w:after="0" w:line="289" w:lineRule="auto"/>
        <w:rPr>
          <w:sz w:val="20"/>
          <w:szCs w:val="20"/>
          <w:color w:val="auto"/>
        </w:rPr>
      </w:pPr>
      <w:r>
        <w:rPr>
          <w:rFonts w:ascii="Arial" w:cs="Arial" w:eastAsia="Arial" w:hAnsi="Arial"/>
          <w:sz w:val="16"/>
          <w:szCs w:val="16"/>
          <w:color w:val="auto"/>
        </w:rPr>
        <w:t>In performing this analysis, the first step is to review asset groups at the lowest level for which identifiable cash flows are largely independent of the cash flows of other assets and liabilities. For each asset group, we compare its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Goodwill and Other Intangible Assets, below. Based on the assessment, if the carrying values of certain of our asset groups are determined to not be recoverable, we proceed to the second step. In this step, we compare the fair value of the respective asset group to its carrying value. The fair value of the asset groups are based on prices of similar assets, as applicable, or discounted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see Note 4 – Impairment Charges for a discussion of impairment charges we recognized in 2018, 2017 and 2016 related to our long-lived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right="180" w:firstLine="459"/>
        <w:spacing w:after="0" w:line="277"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the purchase price paid for acquired businesses over the allocated fair value of the related net assets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impairments, if applicable.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59"/>
        <w:spacing w:after="0" w:line="257" w:lineRule="auto"/>
        <w:rPr>
          <w:sz w:val="20"/>
          <w:szCs w:val="20"/>
          <w:color w:val="auto"/>
        </w:rPr>
      </w:pPr>
      <w:r>
        <w:rPr>
          <w:rFonts w:ascii="Arial" w:cs="Arial" w:eastAsia="Arial" w:hAnsi="Arial"/>
          <w:sz w:val="18"/>
          <w:szCs w:val="18"/>
          <w:color w:val="auto"/>
        </w:rPr>
        <w:t>We do not amortize goodwill.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We recognize an impairment loss for any amount by which the carrying amount of a reporting unit’s goodwill exceeds the reporting unit’s implied fair value (IFV) of goodwill.</w:t>
      </w:r>
    </w:p>
    <w:p>
      <w:pPr>
        <w:spacing w:after="0" w:line="188" w:lineRule="exact"/>
        <w:rPr>
          <w:sz w:val="20"/>
          <w:szCs w:val="20"/>
          <w:color w:val="auto"/>
        </w:rPr>
      </w:pPr>
    </w:p>
    <w:p>
      <w:pPr>
        <w:jc w:val="both"/>
        <w:ind w:right="560" w:firstLine="459"/>
        <w:spacing w:after="0" w:line="342" w:lineRule="auto"/>
        <w:rPr>
          <w:sz w:val="20"/>
          <w:szCs w:val="20"/>
          <w:color w:val="auto"/>
        </w:rPr>
      </w:pPr>
      <w:r>
        <w:rPr>
          <w:rFonts w:ascii="Arial" w:cs="Arial" w:eastAsia="Arial" w:hAnsi="Arial"/>
          <w:sz w:val="16"/>
          <w:szCs w:val="16"/>
          <w:color w:val="auto"/>
        </w:rPr>
        <w:t>In connection with our acquisition of Noralta Lodge Ltd. (Noralta), referred to herein as the Noralta Acquisition, we recorded $120.9 million of goodwill in our Canadian reporting unit. For further discussion, please see Note 7 - Acquisitions and Note 11 - Goodwill and Other Intangible Assets.</w:t>
      </w:r>
    </w:p>
    <w:p>
      <w:pPr>
        <w:spacing w:after="0" w:line="124" w:lineRule="exact"/>
        <w:rPr>
          <w:sz w:val="20"/>
          <w:szCs w:val="20"/>
          <w:color w:val="auto"/>
        </w:rPr>
      </w:pPr>
    </w:p>
    <w:p>
      <w:pPr>
        <w:ind w:right="20" w:firstLine="459"/>
        <w:spacing w:after="0" w:line="257" w:lineRule="auto"/>
        <w:rPr>
          <w:sz w:val="20"/>
          <w:szCs w:val="20"/>
          <w:color w:val="auto"/>
        </w:rPr>
      </w:pPr>
      <w:r>
        <w:rPr>
          <w:rFonts w:ascii="Arial" w:cs="Arial" w:eastAsia="Arial" w:hAnsi="Arial"/>
          <w:sz w:val="18"/>
          <w:szCs w:val="18"/>
          <w:color w:val="auto"/>
        </w:rPr>
        <w:t>We conduct our annual impairment test as of November 30 of each year. Our assessment consists of a two-step impairment test. In the first step, we compare each reporting unit’s carrying amount, including goodwill, to the IFV of the reporting unit. If the carrying amount of the reporting unit exceeds its fair value, goodwill is potentially impaired, and a second step is performed to determine the amount of impairment, if any. Future impairment tests will be impacted by new accounting guidance which eliminates the second step of the goodwill impairment test, as discussed in Recent Accounting Pronouncements below.</w:t>
      </w:r>
    </w:p>
    <w:p>
      <w:pPr>
        <w:spacing w:after="0" w:line="188" w:lineRule="exact"/>
        <w:rPr>
          <w:sz w:val="20"/>
          <w:szCs w:val="20"/>
          <w:color w:val="auto"/>
        </w:rPr>
      </w:pPr>
    </w:p>
    <w:p>
      <w:pPr>
        <w:ind w:right="100" w:firstLine="459"/>
        <w:spacing w:after="0" w:line="293" w:lineRule="auto"/>
        <w:rPr>
          <w:sz w:val="20"/>
          <w:szCs w:val="20"/>
          <w:color w:val="auto"/>
        </w:rPr>
      </w:pPr>
      <w:r>
        <w:rPr>
          <w:rFonts w:ascii="Arial" w:cs="Arial" w:eastAsia="Arial" w:hAnsi="Arial"/>
          <w:sz w:val="16"/>
          <w:szCs w:val="16"/>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first step of the two-step goodwill impairment test.</w:t>
      </w:r>
    </w:p>
    <w:p>
      <w:pPr>
        <w:spacing w:after="0" w:line="165" w:lineRule="exact"/>
        <w:rPr>
          <w:sz w:val="20"/>
          <w:szCs w:val="20"/>
          <w:color w:val="auto"/>
        </w:rPr>
      </w:pPr>
    </w:p>
    <w:p>
      <w:pPr>
        <w:ind w:firstLine="459"/>
        <w:spacing w:after="0" w:line="308" w:lineRule="auto"/>
        <w:rPr>
          <w:sz w:val="20"/>
          <w:szCs w:val="20"/>
          <w:color w:val="auto"/>
        </w:rPr>
      </w:pPr>
      <w:r>
        <w:rPr>
          <w:rFonts w:ascii="Arial" w:cs="Arial" w:eastAsia="Arial" w:hAnsi="Arial"/>
          <w:sz w:val="17"/>
          <w:szCs w:val="17"/>
          <w:color w:val="auto"/>
        </w:rPr>
        <w:t>When performing our annual assessment on November 30, 2018, due to a reduction in our share price in the fourth quarter of 2018, we chose to bypass the qualitative assessment and proceed directly to the first step of the impairment test for goodwill in our Canadian reporting unit.</w:t>
      </w:r>
    </w:p>
    <w:p>
      <w:pPr>
        <w:spacing w:after="0" w:line="147" w:lineRule="exact"/>
        <w:rPr>
          <w:sz w:val="20"/>
          <w:szCs w:val="20"/>
          <w:color w:val="auto"/>
        </w:rPr>
      </w:pPr>
    </w:p>
    <w:p>
      <w:pPr>
        <w:ind w:right="100" w:firstLine="459"/>
        <w:spacing w:after="0" w:line="255" w:lineRule="auto"/>
        <w:rPr>
          <w:sz w:val="20"/>
          <w:szCs w:val="20"/>
          <w:color w:val="auto"/>
        </w:rPr>
      </w:pPr>
      <w:r>
        <w:rPr>
          <w:rFonts w:ascii="Arial" w:cs="Arial" w:eastAsia="Arial" w:hAnsi="Arial"/>
          <w:sz w:val="18"/>
          <w:szCs w:val="18"/>
          <w:color w:val="auto"/>
        </w:rPr>
        <w:t>In performing the two-step impairment test, we compare each reporting unit’s carrying amount, including goodwill, to the IFV of the reporting unit. Because none of our reporting units has a publicly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 analysis of trading multiples of comparable companies (Market Approach) and (ii) discounted projected cash flows (Income Approach). The relative weighting of each approach reflects current industry and market conditions.</w:t>
      </w:r>
    </w:p>
    <w:p>
      <w:pPr>
        <w:spacing w:after="0" w:line="189" w:lineRule="exact"/>
        <w:rPr>
          <w:sz w:val="20"/>
          <w:szCs w:val="20"/>
          <w:color w:val="auto"/>
        </w:rPr>
      </w:pPr>
    </w:p>
    <w:p>
      <w:pPr>
        <w:ind w:right="380" w:firstLine="459"/>
        <w:spacing w:after="0" w:line="264" w:lineRule="auto"/>
        <w:rPr>
          <w:sz w:val="20"/>
          <w:szCs w:val="20"/>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This valuation approach utilizes publicly traded comparable companies’ enterprise values, as compared to their recent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forecasted earnings before interest, taxes and depreciation (EBITDA) information. We use EBITDA because it is a widely used key indicator of the cash generating capacity of companies in our industry.</w:t>
      </w:r>
    </w:p>
    <w:p>
      <w:pPr>
        <w:spacing w:after="0" w:line="181"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This valuation approach derives a present value of the reporting unit’s projected future annual cash flows over the next five years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terminal value assumption. We use 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125" w:right="2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59"/>
        <w:spacing w:after="0" w:line="291" w:lineRule="auto"/>
        <w:rPr>
          <w:sz w:val="20"/>
          <w:szCs w:val="20"/>
          <w:color w:val="auto"/>
        </w:rPr>
      </w:pPr>
      <w:r>
        <w:rPr>
          <w:rFonts w:ascii="Arial" w:cs="Arial" w:eastAsia="Arial" w:hAnsi="Arial"/>
          <w:sz w:val="16"/>
          <w:szCs w:val="16"/>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167"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b w:val="1"/>
          <w:bCs w:val="1"/>
          <w:i w:val="1"/>
          <w:iCs w:val="1"/>
          <w:color w:val="auto"/>
        </w:rPr>
        <w:t xml:space="preserve">Other Intangible Assets. </w:t>
      </w:r>
      <w:r>
        <w:rPr>
          <w:rFonts w:ascii="Arial" w:cs="Arial" w:eastAsia="Arial" w:hAnsi="Arial"/>
          <w:sz w:val="17"/>
          <w:szCs w:val="17"/>
          <w:color w:val="auto"/>
        </w:rPr>
        <w:t>We amortize the cost of other intangible assets using the straight-line method over their estimated useful lives unless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lives are deemed indefinite. For 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w:t>
      </w:r>
    </w:p>
    <w:p>
      <w:pPr>
        <w:spacing w:after="0" w:line="171" w:lineRule="exact"/>
        <w:rPr>
          <w:sz w:val="20"/>
          <w:szCs w:val="20"/>
          <w:color w:val="auto"/>
        </w:rPr>
      </w:pPr>
    </w:p>
    <w:p>
      <w:pPr>
        <w:ind w:right="20" w:firstLine="459"/>
        <w:spacing w:after="0" w:line="286" w:lineRule="auto"/>
        <w:rPr>
          <w:sz w:val="20"/>
          <w:szCs w:val="20"/>
          <w:color w:val="auto"/>
        </w:rPr>
      </w:pPr>
      <w:r>
        <w:rPr>
          <w:rFonts w:ascii="Arial" w:cs="Arial" w:eastAsia="Arial" w:hAnsi="Arial"/>
          <w:sz w:val="17"/>
          <w:szCs w:val="17"/>
          <w:color w:val="auto"/>
        </w:rPr>
        <w:t>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Comprehensive Income</w:t>
      </w:r>
    </w:p>
    <w:p>
      <w:pPr>
        <w:spacing w:after="0" w:line="225" w:lineRule="exact"/>
        <w:rPr>
          <w:sz w:val="20"/>
          <w:szCs w:val="20"/>
          <w:color w:val="auto"/>
        </w:rPr>
      </w:pPr>
    </w:p>
    <w:p>
      <w:pPr>
        <w:ind w:right="20" w:firstLine="459"/>
        <w:spacing w:after="0" w:line="291" w:lineRule="auto"/>
        <w:rPr>
          <w:sz w:val="20"/>
          <w:szCs w:val="20"/>
          <w:color w:val="auto"/>
        </w:rPr>
      </w:pPr>
      <w:r>
        <w:rPr>
          <w:rFonts w:ascii="Arial" w:cs="Arial" w:eastAsia="Arial" w:hAnsi="Arial"/>
          <w:sz w:val="16"/>
          <w:szCs w:val="16"/>
          <w:color w:val="auto"/>
        </w:rPr>
        <w:t>Gains and losses resulting from consolidated balance sheet translation of foreign operations where a foreign currency is the functional currency are included as a separate component of accumulated other comprehensive income within shareholders’ equity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shareholders’ equity.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 For the years ended December 31, 2018, 2017, and 2016, we recognized approximately $0.8 million, $1.5 million and $0.6 million in foreign currency losses,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40" w:firstLine="459"/>
        <w:spacing w:after="0" w:line="286" w:lineRule="auto"/>
        <w:rPr>
          <w:sz w:val="20"/>
          <w:szCs w:val="20"/>
          <w:color w:val="auto"/>
        </w:rPr>
      </w:pPr>
      <w:r>
        <w:rPr>
          <w:rFonts w:ascii="Arial" w:cs="Arial" w:eastAsia="Arial" w:hAnsi="Arial"/>
          <w:sz w:val="17"/>
          <w:szCs w:val="17"/>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225" w:lineRule="exact"/>
        <w:rPr>
          <w:sz w:val="20"/>
          <w:szCs w:val="20"/>
          <w:color w:val="auto"/>
        </w:rPr>
      </w:pPr>
    </w:p>
    <w:p>
      <w:pPr>
        <w:ind w:right="40" w:firstLine="459"/>
        <w:spacing w:after="0" w:line="271" w:lineRule="auto"/>
        <w:rPr>
          <w:sz w:val="20"/>
          <w:szCs w:val="20"/>
          <w:color w:val="auto"/>
        </w:rPr>
      </w:pPr>
      <w:r>
        <w:rPr>
          <w:rFonts w:ascii="Arial" w:cs="Arial" w:eastAsia="Arial" w:hAnsi="Arial"/>
          <w:sz w:val="17"/>
          <w:szCs w:val="17"/>
          <w:color w:val="auto"/>
        </w:rPr>
        <w:t>We generally recognize accommodation, mobile facility rental and food service and other services revenues over time due to the continuous transfer of control to the customers as they simultaneously receive and consume benefits of our hospitality services.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such as in connection with small modular construction and manufacturing contracts, minor food service arrangements and optional purchases our customers make for incidental services offered at our accommodation and mobile facilities.</w:t>
      </w:r>
    </w:p>
    <w:p>
      <w:pPr>
        <w:spacing w:after="0" w:line="179" w:lineRule="exact"/>
        <w:rPr>
          <w:sz w:val="20"/>
          <w:szCs w:val="20"/>
          <w:color w:val="auto"/>
        </w:rPr>
      </w:pPr>
    </w:p>
    <w:p>
      <w:pPr>
        <w:ind w:right="120" w:firstLine="459"/>
        <w:spacing w:after="0" w:line="297" w:lineRule="auto"/>
        <w:rPr>
          <w:sz w:val="20"/>
          <w:szCs w:val="20"/>
          <w:color w:val="auto"/>
        </w:rPr>
      </w:pPr>
      <w:r>
        <w:rPr>
          <w:rFonts w:ascii="Arial" w:cs="Arial" w:eastAsia="Arial" w:hAnsi="Arial"/>
          <w:sz w:val="16"/>
          <w:szCs w:val="16"/>
          <w:color w:val="auto"/>
        </w:rPr>
        <w:t>For significant projects, manufacturing revenues are recognized over time with progress towards completion measured using the cost based input method as the basis to recognize revenue and an estimated profit.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71" w:lineRule="exact"/>
        <w:rPr>
          <w:sz w:val="20"/>
          <w:szCs w:val="20"/>
          <w:color w:val="auto"/>
        </w:rPr>
      </w:pPr>
    </w:p>
    <w:p>
      <w:pPr>
        <w:ind w:right="60" w:firstLine="459"/>
        <w:spacing w:after="0" w:line="272" w:lineRule="auto"/>
        <w:rPr>
          <w:sz w:val="20"/>
          <w:szCs w:val="20"/>
          <w:color w:val="auto"/>
        </w:rPr>
      </w:pPr>
      <w:r>
        <w:rPr>
          <w:rFonts w:ascii="Arial" w:cs="Arial" w:eastAsia="Arial" w:hAnsi="Arial"/>
          <w:sz w:val="17"/>
          <w:szCs w:val="17"/>
          <w:color w:val="auto"/>
        </w:rPr>
        <w:t>As a result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exclude taxes assessed based on revenues such as sales or value added taxes.</w:t>
      </w:r>
    </w:p>
    <w:p>
      <w:pPr>
        <w:spacing w:after="0" w:line="225" w:lineRule="exact"/>
        <w:rPr>
          <w:sz w:val="20"/>
          <w:szCs w:val="20"/>
          <w:color w:val="auto"/>
        </w:rPr>
      </w:pPr>
    </w:p>
    <w:p>
      <w:pPr>
        <w:ind w:right="140" w:firstLine="459"/>
        <w:spacing w:after="0" w:line="264" w:lineRule="auto"/>
        <w:rPr>
          <w:sz w:val="20"/>
          <w:szCs w:val="20"/>
          <w:color w:val="auto"/>
        </w:rPr>
      </w:pPr>
      <w:r>
        <w:rPr>
          <w:rFonts w:ascii="Arial" w:cs="Arial" w:eastAsia="Arial" w:hAnsi="Arial"/>
          <w:sz w:val="18"/>
          <w:szCs w:val="18"/>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80" w:firstLine="459"/>
        <w:spacing w:after="0" w:line="264" w:lineRule="auto"/>
        <w:rPr>
          <w:sz w:val="20"/>
          <w:szCs w:val="20"/>
          <w:color w:val="auto"/>
        </w:rPr>
      </w:pPr>
      <w:r>
        <w:rPr>
          <w:rFonts w:ascii="Arial" w:cs="Arial" w:eastAsia="Arial" w:hAnsi="Arial"/>
          <w:sz w:val="18"/>
          <w:szCs w:val="18"/>
          <w:color w:val="auto"/>
        </w:rPr>
        <w:t>Our operations are subject to Canadian federal and provincial income taxes, as well as foreign income taxes. 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81"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187" w:lineRule="exact"/>
        <w:rPr>
          <w:sz w:val="20"/>
          <w:szCs w:val="20"/>
          <w:color w:val="auto"/>
        </w:rPr>
      </w:pPr>
    </w:p>
    <w:p>
      <w:pPr>
        <w:ind w:right="200" w:firstLine="459"/>
        <w:spacing w:after="0" w:line="259"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 Please see Note 16 – Income Taxes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Concentration of Credit Risk</w:t>
      </w:r>
    </w:p>
    <w:p>
      <w:pPr>
        <w:spacing w:after="0" w:line="225" w:lineRule="exact"/>
        <w:rPr>
          <w:sz w:val="20"/>
          <w:szCs w:val="20"/>
          <w:color w:val="auto"/>
        </w:rPr>
      </w:pPr>
    </w:p>
    <w:p>
      <w:pPr>
        <w:ind w:right="20" w:firstLine="459"/>
        <w:spacing w:after="0" w:line="257" w:lineRule="auto"/>
        <w:rPr>
          <w:sz w:val="20"/>
          <w:szCs w:val="20"/>
          <w:color w:val="auto"/>
        </w:rPr>
      </w:pPr>
      <w:r>
        <w:rPr>
          <w:rFonts w:ascii="Arial" w:cs="Arial" w:eastAsia="Arial" w:hAnsi="Arial"/>
          <w:sz w:val="18"/>
          <w:szCs w:val="18"/>
          <w:color w:val="auto"/>
        </w:rPr>
        <w:t>Based on the nature of our customer base, we do not believe that we have any significant concentrations of credit risk other than our concentration in the Canadian oil sands and Australian mining industries. We evaluate the credit-worthiness of our significant, new and existing customers’ financial condition and, generally, we do not require collateral from our customers. For the year ended December 31, 2018, each of Imperial Oil, Fort Hills Energy LP and Suncor Energy Inc. accounted for more than 10% of our revenues. For the years ended December 31, 2017 and 2016, each of Imperial Oil and Fort Hills Energy LP accounted for more than 10% of our revenues.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20" w:firstLine="459"/>
        <w:spacing w:after="0" w:line="290" w:lineRule="auto"/>
        <w:rPr>
          <w:sz w:val="20"/>
          <w:szCs w:val="20"/>
          <w:color w:val="auto"/>
        </w:rPr>
      </w:pPr>
      <w:r>
        <w:rPr>
          <w:rFonts w:ascii="Arial" w:cs="Arial" w:eastAsia="Arial" w:hAnsi="Arial"/>
          <w:sz w:val="16"/>
          <w:szCs w:val="16"/>
          <w:color w:val="auto"/>
        </w:rPr>
        <w:t>We record the fair value of a liability,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spacing w:after="0" w:line="166" w:lineRule="exact"/>
        <w:rPr>
          <w:sz w:val="20"/>
          <w:szCs w:val="20"/>
          <w:color w:val="auto"/>
        </w:rPr>
      </w:pPr>
    </w:p>
    <w:p>
      <w:pPr>
        <w:ind w:right="100" w:firstLine="459"/>
        <w:spacing w:after="0" w:line="286" w:lineRule="auto"/>
        <w:rPr>
          <w:sz w:val="20"/>
          <w:szCs w:val="20"/>
          <w:color w:val="auto"/>
        </w:rPr>
      </w:pPr>
      <w:r>
        <w:rPr>
          <w:rFonts w:ascii="Arial" w:cs="Arial" w:eastAsia="Arial" w:hAnsi="Arial"/>
          <w:sz w:val="17"/>
          <w:szCs w:val="17"/>
          <w:color w:val="auto"/>
        </w:rPr>
        <w:t>We relieve ARO liabilities when the related obligations are settled. We have AROs that we are required to perform under law or contract once an asset is permanently taken out of service. Most of these obligations are not expected to be paid until several years in the future and will be funded from general company resources at the time of removal. Please see Note 15 – Asset Retirement Obligations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We sponsor an equity participation plan in which certain of our employees participate. We measure the cost of employee services received in exchange for an award of equity instruments (typically restricted share awards and deferred share awards) based on the grant-date fair value of the award. The fair value is calculated based on our share price on the grant-date. The resulting cost is recognized over the period during which an employee is required to provide service in exchange for the awards, usually the vesting period.</w:t>
      </w:r>
    </w:p>
    <w:p>
      <w:pPr>
        <w:spacing w:after="0" w:line="187" w:lineRule="exact"/>
        <w:rPr>
          <w:sz w:val="20"/>
          <w:szCs w:val="20"/>
          <w:color w:val="auto"/>
        </w:rPr>
      </w:pPr>
    </w:p>
    <w:p>
      <w:pPr>
        <w:jc w:val="both"/>
        <w:ind w:right="300" w:firstLine="459"/>
        <w:spacing w:after="0" w:line="264" w:lineRule="auto"/>
        <w:rPr>
          <w:sz w:val="20"/>
          <w:szCs w:val="20"/>
          <w:color w:val="auto"/>
        </w:rPr>
      </w:pPr>
      <w:r>
        <w:rPr>
          <w:rFonts w:ascii="Arial" w:cs="Arial" w:eastAsia="Arial" w:hAnsi="Arial"/>
          <w:sz w:val="18"/>
          <w:szCs w:val="18"/>
          <w:color w:val="auto"/>
        </w:rPr>
        <w:t>We also grant phantom shares. All of the awards vest in equal annual installments and are accounted for as a liability based on the fair value of our share price. Participants granted units of phantom shares are entitled to a lump sum cash payment equal to the fair market value of a common share on the vesting date.</w:t>
      </w:r>
    </w:p>
    <w:p>
      <w:pPr>
        <w:spacing w:after="0" w:line="181"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We also grant performance share awards. These awards are earned in amounts between 0% and 200% of the participant’s target performance share award, based on the payout percentage associated with Civeo’s relative total shareholder return rank among a peer group of other companies. The fair value is estimated using option-pricing models. The resulting cost is recognized over the period during which an employee is required to provide service in exchange for the awards, usually the vesting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Substantially all of our Canadian and U.S. subsidiaries are guarantors under our Amended Credit Agreement. See Note 12 - Debt.</w:t>
      </w:r>
    </w:p>
    <w:p>
      <w:pPr>
        <w:spacing w:after="0" w:line="225"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During the ordinary course of business, we also provide standby letters of credit or other guarantee instruments to certain parties as required for certain transactions initiated by us or our subsidiaries. As of December 31, 2018, the maximum potential amount of future payments that we could be required to make under these guarantee agreements (letters of credit) was approximately $4.0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firstLine="459"/>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revenue and income recognized on the cost-based input method, estimates of the amount and timing of costs to be incurred for asset retirement obligations, any valuation allowance recorded on net deferred tax assets, warranty claims, long-lived asset and goodwill impairments and allowance for doubtful accounts. Actual results could materially differ from those estimates.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Contingencies</w:t>
      </w:r>
    </w:p>
    <w:p>
      <w:pPr>
        <w:spacing w:after="0" w:line="225"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warranty claims, contract claims and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459"/>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66" w:lineRule="exact"/>
        <w:rPr>
          <w:sz w:val="20"/>
          <w:szCs w:val="20"/>
          <w:color w:val="auto"/>
        </w:rPr>
      </w:pPr>
    </w:p>
    <w:p>
      <w:pPr>
        <w:ind w:right="100" w:firstLine="459"/>
        <w:spacing w:after="0" w:line="255" w:lineRule="auto"/>
        <w:rPr>
          <w:sz w:val="20"/>
          <w:szCs w:val="20"/>
          <w:color w:val="auto"/>
        </w:rPr>
      </w:pPr>
      <w:r>
        <w:rPr>
          <w:rFonts w:ascii="Arial" w:cs="Arial" w:eastAsia="Arial" w:hAnsi="Arial"/>
          <w:sz w:val="18"/>
          <w:szCs w:val="18"/>
          <w:color w:val="auto"/>
        </w:rPr>
        <w:t>In January 2017, the FASB issued Accounting Standards Update (ASU) 2017-01, “Business Combinations (Topic 805): Clarifying the Definition of a Business” which changes the definition of a business to assist entities with evaluating when a set of transferred assets and activities is a business. ASU 2017-01 requires an entity to evaluate if substantially all of the fair value of the gross assets acquired is concentrated in a single identifiable asset or a group of similar identifiable assets. If so, the set of transferred assets and activities is not a business. The standard is effective for interim and annual reporting periods beginning after December 15, 2017. Effective with our quarterly report on Form 10-Q for the quarter ended March 31, 2018, we have adopted this standard effective January 1, 2018.</w:t>
      </w:r>
    </w:p>
    <w:p>
      <w:pPr>
        <w:spacing w:after="0" w:line="193" w:lineRule="exact"/>
        <w:rPr>
          <w:sz w:val="20"/>
          <w:szCs w:val="20"/>
          <w:color w:val="auto"/>
        </w:rPr>
      </w:pPr>
    </w:p>
    <w:p>
      <w:pPr>
        <w:ind w:right="80" w:firstLine="459"/>
        <w:spacing w:after="0" w:line="271"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The standard simplifies the accounting for goodwill impairment by requiring a goodwill impairment to be measured using a single step impairment model, whereby the impairment equals the difference between the carrying amount and the fair value of the specified reporting units in their entirety. This eliminates the second step of the current impairment model that requires companies to first estimate the fair value of all assets in a reporting unit and measure impairments based on those fair values and a residual measurement approach. It also specifies that any loss recognized should not exceed the total amount of goodwill allocated to that reporting unit. ASU 2017-04 is effective prospectively for public business entities for annual reporting periods beginning after December 15, 2019, and early adoption is permitted. We will adopt this new standard no later than January 1, 2020. The impact of the new standard will be dependent on the specific facts and circumstances of future individual goodwill impairments, if any.</w:t>
      </w:r>
    </w:p>
    <w:p>
      <w:pPr>
        <w:spacing w:after="0" w:line="179"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In June 2016, the FASB issued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are currently evaluating the impact of this new standard on our consolidated financial statements.</w:t>
      </w:r>
    </w:p>
    <w:p>
      <w:pPr>
        <w:spacing w:after="0" w:line="187" w:lineRule="exact"/>
        <w:rPr>
          <w:sz w:val="20"/>
          <w:szCs w:val="20"/>
          <w:color w:val="auto"/>
        </w:rPr>
      </w:pPr>
    </w:p>
    <w:p>
      <w:pPr>
        <w:ind w:right="80" w:firstLine="459"/>
        <w:spacing w:after="0" w:line="286" w:lineRule="auto"/>
        <w:rPr>
          <w:sz w:val="20"/>
          <w:szCs w:val="20"/>
          <w:color w:val="auto"/>
        </w:rPr>
      </w:pPr>
      <w:r>
        <w:rPr>
          <w:rFonts w:ascii="Arial" w:cs="Arial" w:eastAsia="Arial" w:hAnsi="Arial"/>
          <w:sz w:val="16"/>
          <w:szCs w:val="16"/>
          <w:color w:val="auto"/>
        </w:rPr>
        <w:t>In February 2016, the FASB issued ASU 2016-02, “Leases” (Topic 842), which replaces the existing guidance for lease accounting. The guidance is effective for financial statements issued for reporting periods beginning after December 15, 2018 and interim periods within the reporting periods. We will adopt ASU 2016-02 and all related amendments as of January 1, 2019 and will elect the optional transition method, which allows us upon adoption to recognize a cumulative-effect adjustment to the opening balance of accumulated deficit for the application of the standard to our existing leases. ASU 2016-02 requires lessees to recognize a lease liability and a right-of-use asset for all leases. We have elected the short-term lease recognition exemption for all leases that qualify. Accordingly, we will not recognize right-of-use assets or lease liabilities for leases with terms shorter than 12 months. Our evaluation process includes reviewing all forms of leases, performing a completeness assessment over the lease population and analyzing the available practical expedients in order to determine the best implementation strategy. We have determined that certain of our accommodation contracts with customers contain both a lease and non-lease or service component and in those instances have concluded the service component is the predominant component. As a result, we will elect the practical expedient under ASU 2018-11, which allows us to combine the lease and non-lease components of revenues for presentation purposes in accordance with Accounting Standards Codification (ASC) Topic 606, “Revenue from Contracts with Customers” (ASC 606). We also have identified certain arrangements with customers whereby we are a lessor for the rental of mobile camp assets primarily in our U.S segment. We expect the adoption of this new standard will result in an immaterial increase on our consolidated balance sheet for right-of-use assets and corresponding lease liabilities. For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arrangements where we are the lessor, we do not expect the adoption of the new lease standard to have any material impact on our financial statements as all of our leases are operating leases, which will result in straight-line recognition of rental revenue.</w:t>
      </w:r>
    </w:p>
    <w:p>
      <w:pPr>
        <w:spacing w:after="0" w:line="170" w:lineRule="exact"/>
        <w:rPr>
          <w:sz w:val="20"/>
          <w:szCs w:val="20"/>
          <w:color w:val="auto"/>
        </w:rPr>
      </w:pPr>
    </w:p>
    <w:p>
      <w:pPr>
        <w:ind w:firstLine="459"/>
        <w:spacing w:after="0" w:line="270" w:lineRule="auto"/>
        <w:rPr>
          <w:sz w:val="20"/>
          <w:szCs w:val="20"/>
          <w:color w:val="auto"/>
        </w:rPr>
      </w:pPr>
      <w:r>
        <w:rPr>
          <w:rFonts w:ascii="Arial" w:cs="Arial" w:eastAsia="Arial" w:hAnsi="Arial"/>
          <w:sz w:val="17"/>
          <w:szCs w:val="17"/>
          <w:color w:val="auto"/>
        </w:rPr>
        <w:t>In May 2014, the FASB issued ASU 2014-09 establishing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and interim reporting periods beginning after December 15, 2017. Effective with our quarterly report on Form 10-Q for the quarter ended March 31, 2018, we have adopted this standard effective January 1, 2018 using the modified retrospective method as applied to customer contracts that were not completed as of January 1, 2018. As a result, financial information for reporting periods beginning after January 1, 2018 is presented under ASC 606, while comparative financial information has not been adjusted and continues to be reported in accordance with the Company’s historical accounting policy for revenue recognition prior to the adoption of ASC 606. Upon adoption of this standard, we recognized a cumulative effect adjustment of $0.4 million to accumulated deficit in the accompanying consolidated balance sheet as of December 31, 2018. We expect the impact of the adoption of the new standard to be immaterial to our consolidated financial statements on an ongoing basis.</w:t>
      </w:r>
    </w:p>
    <w:p>
      <w:pPr>
        <w:spacing w:after="0" w:line="174"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disaggregates our revenue by our three reportable segments: Canada, Australia and U.S., and major categories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(in thousands):</w:t>
      </w:r>
    </w:p>
    <w:p>
      <w:pPr>
        <w:spacing w:after="0" w:line="171"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Canada</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 revenues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228,062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238,221</w:t>
            </w: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Mobile facility rental revenues</w:t>
            </w:r>
          </w:p>
        </w:tc>
        <w:tc>
          <w:tcPr>
            <w:tcW w:w="3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9,316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9,217</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14,280</w:t>
            </w: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Manufacturing revenues</w:t>
            </w:r>
          </w:p>
        </w:tc>
        <w:tc>
          <w:tcPr>
            <w:tcW w:w="3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16,746</w:t>
            </w:r>
          </w:p>
        </w:tc>
        <w:tc>
          <w:tcPr>
            <w:tcW w:w="0" w:type="dxa"/>
            <w:vAlign w:val="bottom"/>
          </w:tcPr>
          <w:p>
            <w:pPr>
              <w:spacing w:after="0"/>
              <w:rPr>
                <w:sz w:val="1"/>
                <w:szCs w:val="1"/>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Canada revenues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296,012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245,595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278,464</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Australia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Accommodation revenues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117,896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111,221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106,815</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680" w:type="dxa"/>
            <w:vAlign w:val="bottom"/>
          </w:tcPr>
          <w:p>
            <w:pPr>
              <w:ind w:left="160"/>
              <w:spacing w:after="0"/>
              <w:rPr>
                <w:sz w:val="20"/>
                <w:szCs w:val="20"/>
                <w:color w:val="auto"/>
              </w:rPr>
            </w:pPr>
            <w:r>
              <w:rPr>
                <w:rFonts w:ascii="Arial" w:cs="Arial" w:eastAsia="Arial" w:hAnsi="Arial"/>
                <w:sz w:val="16"/>
                <w:szCs w:val="16"/>
                <w:color w:val="auto"/>
              </w:rPr>
              <w:t>Total Australia revenues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119,238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111,221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106,815</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b w:val="1"/>
                <w:bCs w:val="1"/>
                <w:color w:val="auto"/>
              </w:rPr>
              <w:t>United States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 revenues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3,806</w:t>
            </w: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Mobile facility rental revenues</w:t>
            </w:r>
          </w:p>
        </w:tc>
        <w:tc>
          <w:tcPr>
            <w:tcW w:w="3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20,389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6,243</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United States revenues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25,460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11,951</w:t>
            </w:r>
          </w:p>
        </w:tc>
        <w:tc>
          <w:tcPr>
            <w:tcW w:w="0" w:type="dxa"/>
            <w:vAlign w:val="bottom"/>
          </w:tcPr>
          <w:p>
            <w:pPr>
              <w:spacing w:after="0"/>
              <w:rPr>
                <w:sz w:val="1"/>
                <w:szCs w:val="1"/>
                <w:color w:val="auto"/>
              </w:rPr>
            </w:pPr>
          </w:p>
        </w:tc>
      </w:tr>
      <w:tr>
        <w:trPr>
          <w:trHeight w:val="162"/>
        </w:trPr>
        <w:tc>
          <w:tcPr>
            <w:tcW w:w="56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466,692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382,276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397,230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80" w:firstLine="459"/>
        <w:spacing w:after="0" w:line="264" w:lineRule="auto"/>
        <w:rPr>
          <w:sz w:val="20"/>
          <w:szCs w:val="20"/>
          <w:color w:val="auto"/>
        </w:rPr>
      </w:pPr>
      <w:r>
        <w:rPr>
          <w:rFonts w:ascii="Arial" w:cs="Arial" w:eastAsia="Arial" w:hAnsi="Arial"/>
          <w:sz w:val="18"/>
          <w:szCs w:val="18"/>
          <w:color w:val="auto"/>
        </w:rPr>
        <w:t>Our payment terms vary by the type and location of our customer and the products or services offered. The term between invoicing and when our performance obligations are satisfied is not significant. Payment terms are generally within 30 days. We do not have significant financing components or significant payment terms.</w:t>
      </w:r>
    </w:p>
    <w:p>
      <w:pPr>
        <w:spacing w:after="0" w:line="181" w:lineRule="exact"/>
        <w:rPr>
          <w:sz w:val="20"/>
          <w:szCs w:val="20"/>
          <w:color w:val="auto"/>
        </w:rPr>
      </w:pPr>
    </w:p>
    <w:p>
      <w:pPr>
        <w:ind w:right="700" w:firstLine="459"/>
        <w:spacing w:after="0" w:line="277" w:lineRule="auto"/>
        <w:rPr>
          <w:sz w:val="20"/>
          <w:szCs w:val="20"/>
          <w:color w:val="auto"/>
        </w:rPr>
      </w:pPr>
      <w:r>
        <w:rPr>
          <w:rFonts w:ascii="Arial" w:cs="Arial" w:eastAsia="Arial" w:hAnsi="Arial"/>
          <w:sz w:val="18"/>
          <w:szCs w:val="18"/>
          <w:color w:val="auto"/>
        </w:rPr>
        <w:t>As of December 31, 2018, for contracts that are greater than one year, the table below discloses the estimated revenues related to performance obligations that are unsatisfied (or partially unsatisfied) and when we expect to recognize the revenue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For the years ending December 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3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33"/>
        </w:trPr>
        <w:tc>
          <w:tcPr>
            <w:tcW w:w="3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0"/>
        </w:trPr>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Revenue expected to be recognized as of December 31,</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6"/>
        </w:trPr>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97,611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50,693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6,679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154,983</w:t>
            </w:r>
          </w:p>
        </w:tc>
      </w:tr>
      <w:tr>
        <w:trPr>
          <w:trHeight w:val="33"/>
        </w:trPr>
        <w:tc>
          <w:tcPr>
            <w:tcW w:w="3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Impairment Charges</w:t>
      </w:r>
    </w:p>
    <w:p>
      <w:pPr>
        <w:spacing w:after="0" w:line="225"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The following summarizes pre-tax impairment charges recorded during 2018, which are included in Impairment expense in our consolidated statements of operations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Canada</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Australia</w:t>
            </w:r>
          </w:p>
        </w:tc>
        <w:tc>
          <w:tcPr>
            <w:tcW w:w="36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U.S.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 2018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Long-lived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28,661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28,661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28,661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28,661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59"/>
        <w:spacing w:after="0" w:line="272" w:lineRule="auto"/>
        <w:rPr>
          <w:sz w:val="20"/>
          <w:szCs w:val="20"/>
          <w:color w:val="auto"/>
        </w:rPr>
      </w:pPr>
      <w:r>
        <w:rPr>
          <w:rFonts w:ascii="Arial" w:cs="Arial" w:eastAsia="Arial" w:hAnsi="Arial"/>
          <w:sz w:val="17"/>
          <w:szCs w:val="17"/>
          <w:b w:val="1"/>
          <w:bCs w:val="1"/>
          <w:i w:val="1"/>
          <w:iCs w:val="1"/>
          <w:color w:val="auto"/>
        </w:rPr>
        <w:t>Quarter ended March 31, 2018</w:t>
      </w:r>
      <w:r>
        <w:rPr>
          <w:rFonts w:ascii="Arial" w:cs="Arial" w:eastAsia="Arial" w:hAnsi="Arial"/>
          <w:sz w:val="17"/>
          <w:szCs w:val="17"/>
          <w:color w:val="auto"/>
        </w:rPr>
        <w:t>. During the first quarter of 2018, we identified an indicator that certain long-lived assets used in the Canadian oil sands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impaired due to market developments, including expected customer commitments, occurring in the first quarter of 2018. For purposes of our impairment assessment, we separated two lodges that were previously treated as a single asset group due to the lodges no longer being used together to generate joint cash flows. We assessed the carrying value of the asset group to determine if it continued to be recoverable based on estimated future cash flows. Based on the assessment, the carrying value was determined to not be fully recoverable, and we proceeded to compare the estimated fair value of the asset group to its respective carrying value. Accordingly, the value of a Canadian lodge was written down to its estimated fair value of zero. As a result of the analysis described above, we recorded an impairment expense of $28.7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Impairment Charges</w:t>
      </w:r>
    </w:p>
    <w:p>
      <w:pPr>
        <w:spacing w:after="0" w:line="225"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The following summarizes pre-tax impairment charges recorded during 2017, which are included in Impairment expense in our consolidated statements of operations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Canada</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Australia</w:t>
            </w:r>
          </w:p>
        </w:tc>
        <w:tc>
          <w:tcPr>
            <w:tcW w:w="36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U.S.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Long-lived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4,360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Long-lived assets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27,244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27,244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31,604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59"/>
        <w:spacing w:after="0" w:line="273" w:lineRule="auto"/>
        <w:rPr>
          <w:sz w:val="20"/>
          <w:szCs w:val="20"/>
          <w:color w:val="auto"/>
        </w:rPr>
      </w:pPr>
      <w:r>
        <w:rPr>
          <w:rFonts w:ascii="Arial" w:cs="Arial" w:eastAsia="Arial" w:hAnsi="Arial"/>
          <w:sz w:val="17"/>
          <w:szCs w:val="17"/>
          <w:b w:val="1"/>
          <w:bCs w:val="1"/>
          <w:i w:val="1"/>
          <w:iCs w:val="1"/>
          <w:color w:val="auto"/>
        </w:rPr>
        <w:t xml:space="preserve">Quarter ended December 31, 2017. </w:t>
      </w:r>
      <w:r>
        <w:rPr>
          <w:rFonts w:ascii="Arial" w:cs="Arial" w:eastAsia="Arial" w:hAnsi="Arial"/>
          <w:sz w:val="17"/>
          <w:szCs w:val="17"/>
          <w:color w:val="auto"/>
        </w:rPr>
        <w:t>During the fourth quarter of 2017, we identified an indicator that certain asset groups used in the southern oil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sands may be impaired due to market developments, including project delays, occurring in the fourth quarter of 2017. We assessed the carrying value of each of the asset groups in the southern portion of the region to determine if they continued to be recoverable based on their estimated future cash flows. Based on the assessment, the carrying values of two of our lodges were determined to not be fully recoverable, and we proceeded to compare the estimated fair value of those assets groups to their respective carrying values. Accordingly, the value of the two lodges was written down to their estimated fair values of zero. As a result of the analysis described above, we recorded an impairment expense of $27.2 million.</w:t>
      </w:r>
    </w:p>
    <w:p>
      <w:pPr>
        <w:spacing w:after="0" w:line="178" w:lineRule="exact"/>
        <w:rPr>
          <w:sz w:val="20"/>
          <w:szCs w:val="20"/>
          <w:color w:val="auto"/>
        </w:rPr>
      </w:pPr>
    </w:p>
    <w:p>
      <w:pPr>
        <w:ind w:right="60" w:firstLine="459"/>
        <w:spacing w:after="0" w:line="273" w:lineRule="auto"/>
        <w:rPr>
          <w:sz w:val="20"/>
          <w:szCs w:val="20"/>
          <w:color w:val="auto"/>
        </w:rPr>
      </w:pPr>
      <w:r>
        <w:rPr>
          <w:rFonts w:ascii="Arial" w:cs="Arial" w:eastAsia="Arial" w:hAnsi="Arial"/>
          <w:sz w:val="17"/>
          <w:szCs w:val="17"/>
          <w:b w:val="1"/>
          <w:bCs w:val="1"/>
          <w:i w:val="1"/>
          <w:iCs w:val="1"/>
          <w:color w:val="auto"/>
        </w:rPr>
        <w:t xml:space="preserve">Quarter ended September 30, 2017. </w:t>
      </w:r>
      <w:r>
        <w:rPr>
          <w:rFonts w:ascii="Arial" w:cs="Arial" w:eastAsia="Arial" w:hAnsi="Arial"/>
          <w:sz w:val="17"/>
          <w:szCs w:val="17"/>
          <w:color w:val="auto"/>
        </w:rPr>
        <w:t>During the third quarter of 2017, we made the decision to vacate a mobile camp facility in Canada and relocated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assets to a newly awarded contract for a Canadian mobile camp. We assessed the carrying value of the remaining assets to determine if they continued to be recoverable based on their estimated future cash flows. Based on the assessment, the carrying values of certain leasehold improvements were determined to not be fully recoverable, and we proceeded to compare the estimated fair value of those assets to their respective carrying values. Accordingly, the value of the remaining leasehold improvements were written down to their estimated fair value of zero. As a result of the analysis described above, we recorded an impairment expense of $3.2 million associated with our leased properties in Canada.</w:t>
      </w:r>
    </w:p>
    <w:p>
      <w:pPr>
        <w:spacing w:after="0" w:line="178" w:lineRule="exact"/>
        <w:rPr>
          <w:sz w:val="20"/>
          <w:szCs w:val="20"/>
          <w:color w:val="auto"/>
        </w:rPr>
      </w:pPr>
    </w:p>
    <w:p>
      <w:pPr>
        <w:ind w:right="780" w:firstLine="459"/>
        <w:spacing w:after="0" w:line="277" w:lineRule="auto"/>
        <w:rPr>
          <w:sz w:val="20"/>
          <w:szCs w:val="20"/>
          <w:color w:val="auto"/>
        </w:rPr>
      </w:pPr>
      <w:r>
        <w:rPr>
          <w:rFonts w:ascii="Arial" w:cs="Arial" w:eastAsia="Arial" w:hAnsi="Arial"/>
          <w:sz w:val="18"/>
          <w:szCs w:val="18"/>
          <w:color w:val="auto"/>
        </w:rPr>
        <w:t>We also recorded an impairment expense of $1.2 million related to undeveloped land positions in Canada, the fair market value of which was negatively impacted by the recent cancellation of an LNG project in British Columbia.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Impairment Charges</w:t>
      </w:r>
    </w:p>
    <w:p>
      <w:pPr>
        <w:spacing w:after="0" w:line="225"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The following summarizes pre-tax impairment charges recorded during 2016, which are included in Impairment expense in our consolidated statements of operations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Canada</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Australia</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U.S.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 2016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Long-lived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8,400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8,400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Long-lived assets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37,729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37,729</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8,400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46,129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59"/>
        <w:spacing w:after="0" w:line="257" w:lineRule="auto"/>
        <w:rPr>
          <w:sz w:val="20"/>
          <w:szCs w:val="20"/>
          <w:color w:val="auto"/>
        </w:rPr>
      </w:pPr>
      <w:r>
        <w:rPr>
          <w:rFonts w:ascii="Arial" w:cs="Arial" w:eastAsia="Arial" w:hAnsi="Arial"/>
          <w:sz w:val="18"/>
          <w:szCs w:val="18"/>
          <w:b w:val="1"/>
          <w:bCs w:val="1"/>
          <w:i w:val="1"/>
          <w:iCs w:val="1"/>
          <w:color w:val="auto"/>
        </w:rPr>
        <w:t>Quarter ended March 31, 2016</w:t>
      </w:r>
      <w:r>
        <w:rPr>
          <w:rFonts w:ascii="Arial" w:cs="Arial" w:eastAsia="Arial" w:hAnsi="Arial"/>
          <w:sz w:val="18"/>
          <w:szCs w:val="18"/>
          <w:color w:val="auto"/>
        </w:rPr>
        <w:t>. During the first quarter of 2016, we recorded an impairment expense of $8.4 million, resulting from the impairment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assets in our U.S. segment, due to a continued reduction of U.S. drilling activity in the Bakken Shale region. These fixed assets were written down to their estimated fair value of $3.8 million. We assessed the carrying values of the asset groups to determine if they continued to be recoverable based on estimated future cash flows. Based on the assessment, the carrying values were determined to not be recoverable, and we proceeded to compare the estimated fair value of those assets groups to their respective carrying values.</w:t>
      </w:r>
    </w:p>
    <w:p>
      <w:pPr>
        <w:spacing w:after="0" w:line="188"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b w:val="1"/>
          <w:bCs w:val="1"/>
          <w:i w:val="1"/>
          <w:iCs w:val="1"/>
          <w:color w:val="auto"/>
        </w:rPr>
        <w:t>Quarter ended September 30, 2016</w:t>
      </w:r>
      <w:r>
        <w:rPr>
          <w:rFonts w:ascii="Arial" w:cs="Arial" w:eastAsia="Arial" w:hAnsi="Arial"/>
          <w:sz w:val="17"/>
          <w:szCs w:val="17"/>
          <w:color w:val="auto"/>
        </w:rPr>
        <w:t>. During the third quarter of 2016, we identified an indicator that certain asset groups used, or expected to be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conjunction with potential LNG projects in British Columbia may be impaired due to market developments occurring in the third quarter of 2016, including the delay in the final investment decision regarding an LNG project in British Columbia. We assessed the carrying value of each of the asset groups to determine if they continued to be recoverable based on their estimated future cash flows. Based on the assessment, the carrying values of the mobile camp assets and certain undeveloped land positions in British Columbia were determined to not be fully recoverable, and we proceeded to compare the estimated fair value of those assets groups to their respective carrying values. Accordingly, the mobile camp assets and undeveloped land positions were written down to their estimated fair values of $26.6 million and $5.6 million, respectively.</w:t>
      </w:r>
    </w:p>
    <w:p>
      <w:pPr>
        <w:spacing w:after="0" w:line="178" w:lineRule="exact"/>
        <w:rPr>
          <w:sz w:val="20"/>
          <w:szCs w:val="20"/>
          <w:color w:val="auto"/>
        </w:rPr>
      </w:pPr>
    </w:p>
    <w:p>
      <w:pPr>
        <w:ind w:right="40" w:firstLine="459"/>
        <w:spacing w:after="0" w:line="277" w:lineRule="auto"/>
        <w:rPr>
          <w:sz w:val="20"/>
          <w:szCs w:val="20"/>
          <w:color w:val="auto"/>
        </w:rPr>
      </w:pPr>
      <w:r>
        <w:rPr>
          <w:rFonts w:ascii="Arial" w:cs="Arial" w:eastAsia="Arial" w:hAnsi="Arial"/>
          <w:sz w:val="18"/>
          <w:szCs w:val="18"/>
          <w:color w:val="auto"/>
        </w:rPr>
        <w:t>As a result of the analysis described above, we recorded an impairment expense of $37.7 million associated with our mobile camp assets in Canada and undeveloped land positions in the British Columbia LNG market.</w:t>
      </w:r>
    </w:p>
    <w:p>
      <w:pPr>
        <w:spacing w:after="0" w:line="19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3"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As of December 31, 2018 and 2017,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jc w:val="both"/>
        <w:ind w:firstLine="459"/>
        <w:spacing w:after="0" w:line="272" w:lineRule="auto"/>
        <w:rPr>
          <w:sz w:val="20"/>
          <w:szCs w:val="20"/>
          <w:color w:val="auto"/>
        </w:rPr>
      </w:pPr>
      <w:r>
        <w:rPr>
          <w:rFonts w:ascii="Arial" w:cs="Arial" w:eastAsia="Arial" w:hAnsi="Arial"/>
          <w:sz w:val="17"/>
          <w:szCs w:val="17"/>
          <w:color w:val="auto"/>
        </w:rPr>
        <w:t>During 2018, 2017 and 2016, we wrote down certain long-lived assets to fair value.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coal and natural gas prices, anticipated spending by our customers, the cost of capital, and industry and/or local market conditions. During the third quarter of 2017 and 2016, our estimates of fair value of certain undeveloped land positions in British Columbia were based on appraisals from third parties. Please see Note 2 – Summary of Significant Accounting Policies – Impairment of Long-Lived Assets for further discussion of the significant judgments and assumptions used in calculating their fair value.</w:t>
      </w:r>
    </w:p>
    <w:p>
      <w:pPr>
        <w:spacing w:after="0" w:line="178" w:lineRule="exact"/>
        <w:rPr>
          <w:sz w:val="20"/>
          <w:szCs w:val="20"/>
          <w:color w:val="auto"/>
        </w:rPr>
      </w:pPr>
    </w:p>
    <w:p>
      <w:pPr>
        <w:ind w:right="20" w:firstLine="459"/>
        <w:spacing w:after="0" w:line="276" w:lineRule="auto"/>
        <w:rPr>
          <w:sz w:val="20"/>
          <w:szCs w:val="20"/>
          <w:color w:val="auto"/>
        </w:rPr>
      </w:pPr>
      <w:r>
        <w:rPr>
          <w:rFonts w:ascii="Arial" w:cs="Arial" w:eastAsia="Arial" w:hAnsi="Arial"/>
          <w:sz w:val="17"/>
          <w:szCs w:val="17"/>
          <w:color w:val="auto"/>
        </w:rPr>
        <w:t>During the first half of 2018, we acquired certain assets and businesses and recorded them at fair value. Determining the fair value of assets acquired and liabilities assumed requires the exercise of significant judgment, including the amount and timing of expected future cash flows, long-term growth rates and discount rates. The cash flows employed in the valuation are based on our best estimates of future sales, earnings and cash flows after considering factors such as general market conditions, expected future customer orders, contracts with suppliers, labor costs, changes in working capital, long term business plans and recent operating performance. Please see Note 7 – Acquisitions for further information.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regarding selected balance sheet accounts at December 31, 2018 and 2017 is presented below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Trade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48,875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46,692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914</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(1,338)</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66,823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December 31,</w:t>
      </w:r>
    </w:p>
    <w:p>
      <w:pPr>
        <w:spacing w:after="0" w:line="50"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2017</w:t>
      </w:r>
    </w:p>
    <w:p>
      <w:pPr>
        <w:spacing w:after="0" w:line="58" w:lineRule="exact"/>
        <w:rPr>
          <w:sz w:val="20"/>
          <w:szCs w:val="20"/>
          <w:color w:val="auto"/>
        </w:rPr>
      </w:pPr>
    </w:p>
    <w:p>
      <w:pPr>
        <w:sectPr>
          <w:pgSz w:w="11900" w:h="16838" w:orient="portrait"/>
          <w:cols w:equalWidth="0" w:num="2">
            <w:col w:w="9620" w:space="540"/>
            <w:col w:w="12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Inventories: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 and purchased products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2,211</w:t>
            </w: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7,246</w:t>
            </w:r>
          </w:p>
        </w:tc>
      </w:tr>
      <w:tr>
        <w:trPr>
          <w:trHeight w:val="20"/>
        </w:trPr>
        <w:tc>
          <w:tcPr>
            <w:tcW w:w="8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0" w:firstLine="459"/>
        <w:spacing w:after="0" w:line="264" w:lineRule="auto"/>
        <w:rPr>
          <w:sz w:val="20"/>
          <w:szCs w:val="20"/>
          <w:color w:val="auto"/>
        </w:rPr>
      </w:pPr>
      <w:r>
        <w:rPr>
          <w:rFonts w:ascii="Arial" w:cs="Arial" w:eastAsia="Arial" w:hAnsi="Arial"/>
          <w:sz w:val="18"/>
          <w:szCs w:val="18"/>
          <w:color w:val="auto"/>
        </w:rPr>
        <w:t>During the fourth quarter of 2017 and the third quarter of 2016, we recorded a $0.5 million and $0.9 million, respectively, write-down of inventory at our modular construction and manufacturing plant in Canada, which is included in Service and other costs in our accompanying consolidated statements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Arial" w:cs="Arial" w:eastAsia="Arial" w:hAnsi="Arial"/>
                <w:sz w:val="18"/>
                <w:szCs w:val="18"/>
                <w:b w:val="1"/>
                <w:bCs w:val="1"/>
                <w:color w:val="auto"/>
              </w:rPr>
              <w:t>Useful Life</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74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years)</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Land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46,805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40,567</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Accommodations assets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1,650,758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1,658,867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7-20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24,181</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53,688</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2,770</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1,802,790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(1,150,686)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(1,108,957)</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658,905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693,833</w:t>
            </w:r>
          </w:p>
        </w:tc>
      </w:tr>
      <w:tr>
        <w:trPr>
          <w:trHeight w:val="20"/>
        </w:trPr>
        <w:tc>
          <w:tcPr>
            <w:tcW w:w="6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376"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December 31,</w:t>
      </w:r>
    </w:p>
    <w:p>
      <w:pPr>
        <w:spacing w:after="0" w:line="50"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2017</w:t>
      </w:r>
    </w:p>
    <w:p>
      <w:pPr>
        <w:spacing w:after="0" w:line="58" w:lineRule="exact"/>
        <w:rPr>
          <w:sz w:val="20"/>
          <w:szCs w:val="20"/>
          <w:color w:val="auto"/>
        </w:rPr>
      </w:pPr>
    </w:p>
    <w:p>
      <w:pPr>
        <w:sectPr>
          <w:pgSz w:w="11900" w:h="16838" w:orient="portrait"/>
          <w:cols w:equalWidth="0" w:num="2">
            <w:col w:w="9620" w:space="540"/>
            <w:col w:w="12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Accrued liabilities: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13,545</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20,424</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taxes, other than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15,956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22,208</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5"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Noralta</w:t>
      </w:r>
    </w:p>
    <w:p>
      <w:pPr>
        <w:spacing w:after="0" w:line="225" w:lineRule="exact"/>
        <w:rPr>
          <w:sz w:val="20"/>
          <w:szCs w:val="20"/>
          <w:color w:val="auto"/>
        </w:rPr>
      </w:pPr>
    </w:p>
    <w:p>
      <w:pPr>
        <w:ind w:firstLine="459"/>
        <w:spacing w:after="0" w:line="269" w:lineRule="auto"/>
        <w:rPr>
          <w:sz w:val="20"/>
          <w:szCs w:val="20"/>
          <w:color w:val="auto"/>
        </w:rPr>
      </w:pPr>
      <w:r>
        <w:rPr>
          <w:rFonts w:ascii="Arial" w:cs="Arial" w:eastAsia="Arial" w:hAnsi="Arial"/>
          <w:sz w:val="17"/>
          <w:szCs w:val="17"/>
          <w:b w:val="1"/>
          <w:bCs w:val="1"/>
          <w:i w:val="1"/>
          <w:iCs w:val="1"/>
          <w:color w:val="auto"/>
        </w:rPr>
        <w:t>Description of Transaction</w:t>
      </w:r>
      <w:r>
        <w:rPr>
          <w:rFonts w:ascii="Arial" w:cs="Arial" w:eastAsia="Arial" w:hAnsi="Arial"/>
          <w:sz w:val="17"/>
          <w:szCs w:val="17"/>
          <w:color w:val="auto"/>
        </w:rPr>
        <w:t>. On April 2, 2018, we acquired the equity of Noralta, located in Alberta, Canada. The total consideration, which is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adjustment in accordance with the terms of the definitive agreement, included (i) C$207.7 million (or approximately US$161.2 million) in cash, of which C$43.5 million was initially held in escrow by Alliance Trust Company (the Escrow Agent) to cover purchase price adjustments related to any closing date working capital shortfall and to support the sellers’ indemnification obligations under the definitive agreement and certain obligations of the sellers to compensate us for certain increased employee compensation costs that are expected to be incurred as a result of the union certification of certain classes of Noralta employees, (ii) 32.8 million of our common shares, of which (a) 13.5 million shares are held in escrow by the Escrow Agent and will be released based on certain conditions related to Noralta customer contracts remaining in place and (b) 2.4 million shares were held in escrow by the Escrow Agent and were released based on the employee compensation cost increases described above, and (iii) 9,679 Class A Series 1 Preferred Shares (the Preferred Shares) with an initial liquidation preference of $96.8 million, of which 692 shares were held in escrow by the Escrow Agent and were released based on the employee compensation cost increases described above. As a result of the Noralta Acquisition, we expanded our existing accommodations business in the Canadian oil sands market. We funded the cash consideration with cash on hand and borrowings under the Amended Credit Agreement (as defined in Note 12 - Debt).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third quarter of 2018, $3.6 million in cash was released to us from escrow to cover purchase price adjustments related to a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shortfall at closing. During the fourth quarter of 2018, $10.4 million in cash, 2.2 million common shares and 637 Preferred Shares were released to us,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in cash, 0.2 million common shares and 55 Preferred Shares were released to the sellers, from escrow to cover purchase price adjustments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employee compensation cost increases described above.</w:t>
      </w:r>
    </w:p>
    <w:p>
      <w:pPr>
        <w:spacing w:after="0" w:line="211" w:lineRule="exact"/>
        <w:rPr>
          <w:sz w:val="20"/>
          <w:szCs w:val="20"/>
          <w:color w:val="auto"/>
        </w:rPr>
      </w:pPr>
    </w:p>
    <w:p>
      <w:pPr>
        <w:ind w:right="60" w:firstLine="459"/>
        <w:spacing w:after="0" w:line="279" w:lineRule="auto"/>
        <w:rPr>
          <w:sz w:val="20"/>
          <w:szCs w:val="20"/>
          <w:color w:val="auto"/>
        </w:rPr>
      </w:pPr>
      <w:r>
        <w:rPr>
          <w:rFonts w:ascii="Arial" w:cs="Arial" w:eastAsia="Arial" w:hAnsi="Arial"/>
          <w:sz w:val="17"/>
          <w:szCs w:val="17"/>
          <w:color w:val="auto"/>
        </w:rPr>
        <w:t>The Noralta Acquisition was accounted for in accordance with the acquisition method of accounting for business combinations, and accordingly, the results of operations of Noralta were reported in our financial statements as part of our Canadian reportable business segment beginning on April 2, 2018, the date of acquisition. During the year ended December 31, 2018, we recorded approximately $85.8 million of revenue and $31.5 million of gross margin in the accompanying consolidated statements of operations related to the Noralta Acquisition.</w:t>
      </w:r>
    </w:p>
    <w:p>
      <w:pPr>
        <w:spacing w:after="0" w:line="171"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b w:val="1"/>
          <w:bCs w:val="1"/>
          <w:i w:val="1"/>
          <w:iCs w:val="1"/>
          <w:color w:val="auto"/>
        </w:rPr>
        <w:t>Calculation of Purchase Consideration</w:t>
      </w:r>
      <w:r>
        <w:rPr>
          <w:rFonts w:ascii="Arial" w:cs="Arial" w:eastAsia="Arial" w:hAnsi="Arial"/>
          <w:sz w:val="16"/>
          <w:szCs w:val="16"/>
          <w:color w:val="auto"/>
        </w:rPr>
        <w:t>. The total purchase consideration received by the Noralta shareholders was based on the cash consideration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fair value of our common shares and Preferred Shares issued on April 2, 2018. The purchase consideration below reflects the fair value of common shares issued, which is based on the closing price on March 29, 2018 (the last business day prior to April 2, 2018) of our common shares of $3.77 per share and the estimated fair value of Preferred Shares issued, which are valued at 61% of the initial liquidation preference of the Preferred Shares of $96.8 million.</w:t>
      </w:r>
    </w:p>
    <w:p>
      <w:pPr>
        <w:spacing w:after="0" w:line="154" w:lineRule="exact"/>
        <w:rPr>
          <w:sz w:val="20"/>
          <w:szCs w:val="20"/>
          <w:color w:val="auto"/>
        </w:rPr>
      </w:pPr>
    </w:p>
    <w:p>
      <w:pPr>
        <w:ind w:right="120" w:firstLine="459"/>
        <w:spacing w:after="0" w:line="291" w:lineRule="auto"/>
        <w:rPr>
          <w:sz w:val="20"/>
          <w:szCs w:val="20"/>
          <w:color w:val="auto"/>
        </w:rPr>
      </w:pPr>
      <w:r>
        <w:rPr>
          <w:rFonts w:ascii="Arial" w:cs="Arial" w:eastAsia="Arial" w:hAnsi="Arial"/>
          <w:sz w:val="16"/>
          <w:szCs w:val="16"/>
          <w:color w:val="auto"/>
        </w:rPr>
        <w:t>As discussed above, a portion of the consideration paid, $11.6 million cash, 2.4 million common shares and 692 Preferred Shares, was initially held in escrow to support certain obligations of the sellers to compensate us for certain increased employee compensation costs that are expected to be incurred as a result of the union certification of certain classes of Noralta employees. As of April 2, 2018, we expected the escrowed amounts to be released to us within 12 months, and therefore, a receivable of $11.6 million related to the cash expected to be released was established. Additionally, no fair value has been allocated to such common shares or Preferred Shares portion of the consideration. As the $10.4 million of cash released to us during the fourth quarter of 2018 was less than the cash expected to be released as of April 2, 2018, we recognized a loss equal to the difference, adjusted for exchange rate changes, totaling $0.8 million. The loss is included in Other income in the accompanying consolidated statement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purchase consideration and estimated fair value of Noralta’s net assets acquired as of April 2, 2018 is presented as follows:</w:t>
      </w: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 thousands, except per share data)</w:t>
      </w:r>
    </w:p>
    <w:p>
      <w:pPr>
        <w:spacing w:after="0" w:line="55" w:lineRule="exact"/>
        <w:rPr>
          <w:sz w:val="20"/>
          <w:szCs w:val="20"/>
          <w:color w:val="auto"/>
        </w:rPr>
      </w:pPr>
    </w:p>
    <w:tbl>
      <w:tblPr>
        <w:tblLayout w:type="fixed"/>
        <w:tblInd w:w="180" w:type="dxa"/>
        <w:tblCellMar>
          <w:top w:w="0" w:type="dxa"/>
          <w:left w:w="0" w:type="dxa"/>
          <w:bottom w:w="0" w:type="dxa"/>
          <w:right w:w="0" w:type="dxa"/>
        </w:tblCellMar>
      </w:tblP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w:t>
            </w: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6"/>
                <w:szCs w:val="16"/>
                <w:color w:val="auto"/>
              </w:rPr>
              <w:t>Common share price as of March 29, 2018</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Common share consideration</w:t>
            </w:r>
          </w:p>
        </w:tc>
        <w:tc>
          <w:tcPr>
            <w:tcW w:w="6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123,622</w:t>
            </w:r>
          </w:p>
        </w:tc>
      </w:tr>
      <w:tr>
        <w:trPr>
          <w:trHeight w:val="237"/>
        </w:trPr>
        <w:tc>
          <w:tcPr>
            <w:tcW w:w="7440" w:type="dxa"/>
            <w:vAlign w:val="bottom"/>
          </w:tcPr>
          <w:p>
            <w:pPr>
              <w:ind w:left="160"/>
              <w:spacing w:after="0"/>
              <w:rPr>
                <w:sz w:val="20"/>
                <w:szCs w:val="20"/>
                <w:color w:val="auto"/>
              </w:rPr>
            </w:pPr>
            <w:r>
              <w:rPr>
                <w:rFonts w:ascii="Arial" w:cs="Arial" w:eastAsia="Arial" w:hAnsi="Arial"/>
                <w:sz w:val="16"/>
                <w:szCs w:val="16"/>
                <w:color w:val="auto"/>
              </w:rPr>
              <w:t>Cash consideration (1)</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157,539</w:t>
            </w:r>
          </w:p>
        </w:tc>
      </w:tr>
      <w:tr>
        <w:trPr>
          <w:trHeight w:val="33"/>
        </w:trPr>
        <w:tc>
          <w:tcPr>
            <w:tcW w:w="7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Preferred Share consideration</w:t>
            </w:r>
          </w:p>
        </w:tc>
        <w:tc>
          <w:tcPr>
            <w:tcW w:w="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59,042</w:t>
            </w:r>
          </w:p>
        </w:tc>
      </w:tr>
      <w:tr>
        <w:trPr>
          <w:trHeight w:val="217"/>
        </w:trPr>
        <w:tc>
          <w:tcPr>
            <w:tcW w:w="7440" w:type="dxa"/>
            <w:vAlign w:val="bottom"/>
          </w:tcPr>
          <w:p>
            <w:pPr>
              <w:ind w:left="20"/>
              <w:spacing w:after="0"/>
              <w:rPr>
                <w:sz w:val="20"/>
                <w:szCs w:val="20"/>
                <w:color w:val="auto"/>
              </w:rPr>
            </w:pPr>
            <w:r>
              <w:rPr>
                <w:rFonts w:ascii="Arial" w:cs="Arial" w:eastAsia="Arial" w:hAnsi="Arial"/>
                <w:sz w:val="16"/>
                <w:szCs w:val="16"/>
                <w:color w:val="auto"/>
              </w:rPr>
              <w:t>Total purchase consideration</w:t>
            </w:r>
          </w:p>
        </w:tc>
        <w:tc>
          <w:tcPr>
            <w:tcW w:w="6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340,203</w:t>
            </w:r>
          </w:p>
        </w:tc>
      </w:tr>
      <w:tr>
        <w:trPr>
          <w:trHeight w:val="33"/>
        </w:trPr>
        <w:tc>
          <w:tcPr>
            <w:tcW w:w="7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Common shares held in escrow</w:t>
            </w: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(8,825)</w:t>
            </w:r>
          </w:p>
        </w:tc>
      </w:tr>
      <w:tr>
        <w:trPr>
          <w:trHeight w:val="237"/>
        </w:trPr>
        <w:tc>
          <w:tcPr>
            <w:tcW w:w="7440" w:type="dxa"/>
            <w:vAlign w:val="bottom"/>
          </w:tcPr>
          <w:p>
            <w:pPr>
              <w:ind w:left="160"/>
              <w:spacing w:after="0"/>
              <w:rPr>
                <w:sz w:val="20"/>
                <w:szCs w:val="20"/>
                <w:color w:val="auto"/>
              </w:rPr>
            </w:pPr>
            <w:r>
              <w:rPr>
                <w:rFonts w:ascii="Arial" w:cs="Arial" w:eastAsia="Arial" w:hAnsi="Arial"/>
                <w:sz w:val="16"/>
                <w:szCs w:val="16"/>
                <w:color w:val="auto"/>
              </w:rPr>
              <w:t>Less: Cash held in escrow</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(11,607)</w:t>
            </w:r>
          </w:p>
        </w:tc>
      </w:tr>
      <w:tr>
        <w:trPr>
          <w:trHeight w:val="33"/>
        </w:trPr>
        <w:tc>
          <w:tcPr>
            <w:tcW w:w="7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Preferred Shares held in escrow</w:t>
            </w:r>
          </w:p>
        </w:tc>
        <w:tc>
          <w:tcPr>
            <w:tcW w:w="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(4,221)</w:t>
            </w:r>
          </w:p>
        </w:tc>
      </w:tr>
      <w:tr>
        <w:trPr>
          <w:trHeight w:val="244"/>
        </w:trPr>
        <w:tc>
          <w:tcPr>
            <w:tcW w:w="7440" w:type="dxa"/>
            <w:vAlign w:val="bottom"/>
          </w:tcPr>
          <w:p>
            <w:pPr>
              <w:ind w:left="20"/>
              <w:spacing w:after="0"/>
              <w:rPr>
                <w:sz w:val="20"/>
                <w:szCs w:val="20"/>
                <w:color w:val="auto"/>
              </w:rPr>
            </w:pPr>
            <w:r>
              <w:rPr>
                <w:rFonts w:ascii="Arial" w:cs="Arial" w:eastAsia="Arial" w:hAnsi="Arial"/>
                <w:sz w:val="16"/>
                <w:szCs w:val="16"/>
                <w:color w:val="auto"/>
              </w:rPr>
              <w:t>Total purchase consideration</w:t>
            </w:r>
          </w:p>
        </w:tc>
        <w:tc>
          <w:tcPr>
            <w:tcW w:w="66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315,550</w:t>
            </w:r>
          </w:p>
        </w:tc>
      </w:tr>
      <w:tr>
        <w:trPr>
          <w:trHeight w:val="20"/>
        </w:trPr>
        <w:tc>
          <w:tcPr>
            <w:tcW w:w="7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860" w:hanging="528"/>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Net of $3.6 million in cash released to us to cover purchase price adjustments related to a working capital shortfall at closing.</w:t>
      </w:r>
    </w:p>
    <w:p>
      <w:pPr>
        <w:spacing w:after="0" w:line="239"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At the time the Preferred Shares were issued, we determined that a beneficial conversion feature existed because the fair value of the securities into which the Preferred Shares were convertible was greater than the effective conversion price on the issuance date. Accordingly, we recorded a beneficial conversion feature of $47.8 million. The beneficial conversion feature was recorded as an increase to additional paid-in capital with the offset recorded as a discount on the Preferred Shares. For further discussion of the Preferred Shares, including dividends on the Preferred Shares, please see Note 13 – Preferred Shares.</w:t>
      </w:r>
    </w:p>
    <w:p>
      <w:pPr>
        <w:spacing w:after="0" w:line="188" w:lineRule="exact"/>
        <w:rPr>
          <w:sz w:val="20"/>
          <w:szCs w:val="20"/>
          <w:color w:val="auto"/>
        </w:rPr>
      </w:pPr>
    </w:p>
    <w:p>
      <w:pPr>
        <w:ind w:right="20" w:firstLine="459"/>
        <w:spacing w:after="0" w:line="272" w:lineRule="auto"/>
        <w:rPr>
          <w:sz w:val="20"/>
          <w:szCs w:val="20"/>
          <w:color w:val="auto"/>
        </w:rPr>
      </w:pPr>
      <w:r>
        <w:rPr>
          <w:rFonts w:ascii="Arial" w:cs="Arial" w:eastAsia="Arial" w:hAnsi="Arial"/>
          <w:sz w:val="17"/>
          <w:szCs w:val="17"/>
          <w:b w:val="1"/>
          <w:bCs w:val="1"/>
          <w:i w:val="1"/>
          <w:iCs w:val="1"/>
          <w:color w:val="auto"/>
        </w:rPr>
        <w:t xml:space="preserve">Purchase Price Allocation. </w:t>
      </w:r>
      <w:r>
        <w:rPr>
          <w:rFonts w:ascii="Arial" w:cs="Arial" w:eastAsia="Arial" w:hAnsi="Arial"/>
          <w:sz w:val="17"/>
          <w:szCs w:val="17"/>
          <w:color w:val="auto"/>
        </w:rPr>
        <w:t>The application of purchase accounting under ASC 805 requires that the total purchase price be allocated to the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assets acquired and liabilities assumed based on their fair values at April 2, 2018, with amounts exceeding the fair values being recorded as goodwill. The allocation process requires an analysis of acquired fixed assets, contracts, and contingencies to identify and record the fair value of all assets acquired and liabilities assumed. The purchase price allocation is preliminary, as we are finalizing our valuation of tangible and intangible assets acquired. We expect to complete our purchase price allocation in the first quarter of 2019. However, the differences between the final and preliminary purchase price allocations, if any, are not expected to have a material effect on our financial position or results of operations. The following table summarizes the estimated fair values of the assets acquired and liabilities assumed at April 2, 2018 (in thousands):</w:t>
      </w:r>
    </w:p>
    <w:p>
      <w:pPr>
        <w:spacing w:after="0" w:line="111" w:lineRule="exact"/>
        <w:rPr>
          <w:sz w:val="20"/>
          <w:szCs w:val="20"/>
          <w:color w:val="auto"/>
        </w:rPr>
      </w:pPr>
    </w:p>
    <w:tbl>
      <w:tblPr>
        <w:tblLayout w:type="fixed"/>
        <w:tblInd w:w="140" w:type="dxa"/>
        <w:tblCellMar>
          <w:top w:w="0" w:type="dxa"/>
          <w:left w:w="0" w:type="dxa"/>
          <w:bottom w:w="0" w:type="dxa"/>
          <w:right w:w="0" w:type="dxa"/>
        </w:tblCellMar>
      </w:tblP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Accounts receivable (1)</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21,456</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w:t>
            </w: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4,266</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129,424</w:t>
            </w: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Goodwill</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120,893</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6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114,383</w:t>
            </w:r>
          </w:p>
        </w:tc>
      </w:tr>
      <w:tr>
        <w:trPr>
          <w:trHeight w:val="217"/>
        </w:trPr>
        <w:tc>
          <w:tcPr>
            <w:tcW w:w="9380" w:type="dxa"/>
            <w:vAlign w:val="bottom"/>
          </w:tcPr>
          <w:p>
            <w:pPr>
              <w:ind w:left="160"/>
              <w:spacing w:after="0"/>
              <w:rPr>
                <w:sz w:val="20"/>
                <w:szCs w:val="20"/>
                <w:color w:val="auto"/>
              </w:rPr>
            </w:pPr>
            <w:r>
              <w:rPr>
                <w:rFonts w:ascii="Arial" w:cs="Arial" w:eastAsia="Arial" w:hAnsi="Arial"/>
                <w:sz w:val="16"/>
                <w:szCs w:val="16"/>
                <w:color w:val="auto"/>
              </w:rPr>
              <w:t>Total assets acquired</w:t>
            </w:r>
          </w:p>
        </w:tc>
        <w:tc>
          <w:tcPr>
            <w:tcW w:w="6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391,285</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9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15,023</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w:t>
            </w: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2,027</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52,514</w:t>
            </w: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5,133</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 assumed</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75,735</w:t>
            </w:r>
          </w:p>
        </w:tc>
      </w:tr>
      <w:tr>
        <w:trPr>
          <w:trHeight w:val="244"/>
        </w:trPr>
        <w:tc>
          <w:tcPr>
            <w:tcW w:w="9380" w:type="dxa"/>
            <w:vAlign w:val="bottom"/>
          </w:tcPr>
          <w:p>
            <w:pPr>
              <w:ind w:left="380"/>
              <w:spacing w:after="0"/>
              <w:rPr>
                <w:sz w:val="20"/>
                <w:szCs w:val="20"/>
                <w:color w:val="auto"/>
              </w:rPr>
            </w:pPr>
            <w:r>
              <w:rPr>
                <w:rFonts w:ascii="Arial" w:cs="Arial" w:eastAsia="Arial" w:hAnsi="Arial"/>
                <w:sz w:val="16"/>
                <w:szCs w:val="16"/>
                <w:color w:val="auto"/>
              </w:rPr>
              <w:t>Net assets acquired</w:t>
            </w: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315,550</w:t>
            </w:r>
          </w:p>
        </w:tc>
      </w:tr>
      <w:tr>
        <w:trPr>
          <w:trHeight w:val="20"/>
        </w:trPr>
        <w:tc>
          <w:tcPr>
            <w:tcW w:w="9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aggregate fair value of the acquired accounts receivable approximated the aggregate gross contractual amount.</w:t>
      </w:r>
    </w:p>
    <w:p>
      <w:pPr>
        <w:spacing w:after="0" w:line="225" w:lineRule="exact"/>
        <w:rPr>
          <w:sz w:val="20"/>
          <w:szCs w:val="20"/>
          <w:color w:val="auto"/>
        </w:rPr>
      </w:pPr>
    </w:p>
    <w:p>
      <w:pPr>
        <w:ind w:right="220" w:firstLine="459"/>
        <w:spacing w:after="0" w:line="264" w:lineRule="auto"/>
        <w:rPr>
          <w:sz w:val="20"/>
          <w:szCs w:val="20"/>
          <w:color w:val="auto"/>
        </w:rPr>
      </w:pPr>
      <w:r>
        <w:rPr>
          <w:rFonts w:ascii="Arial" w:cs="Arial" w:eastAsia="Arial" w:hAnsi="Arial"/>
          <w:sz w:val="18"/>
          <w:szCs w:val="18"/>
          <w:color w:val="auto"/>
        </w:rPr>
        <w:t>Goodwill has been recorded based on the amount by which the purchase price exceeded the fair value of the net assets acquired. The goodwill is primarily attributable to synergies expected to arise from the Noralta Acquisition. The goodwill is not expected to be deductible for tax purposes. The fair value of the assets acquired and liabilities assumed were determined using</w:t>
      </w:r>
    </w:p>
    <w:p>
      <w:pPr>
        <w:sectPr>
          <w:pgSz w:w="11900" w:h="16838" w:orient="portrait"/>
          <w:cols w:equalWidth="0" w:num="1">
            <w:col w:w="11300"/>
          </w:cols>
          <w:pgMar w:left="240" w:top="125" w:right="359" w:bottom="1440" w:gutter="0" w:footer="0" w:header="0"/>
        </w:sect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300"/>
          </w:cols>
          <w:pgMar w:left="240" w:top="125" w:right="35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income, market and cost valuation methodologies. The fair value measurements were estimated using significant inputs that are not observable in the market and thus represent a Level 3 measurement. Fair values of property, plant and equipment, excluding land, were determined using the cost approach. The cost approach estimates value by determining the current cost of replacing an asset with another of equivalent economic utility. The cost to replace a given asset reflects the estimated reproduction or replacement cost for the asset, less an allowance for loss in value due to depreciation. Fair values of land were determined using the market approach. The market approach is a valuation technique that uses prices and other relevant information generated by market transactions involving identical or comparable assets. The income approach was used to value the intangible assets, consisting primarily of customer contracts, trade name and favorable/unfavorable lease contracts. The income approach indicates value for an asset or liability based on present value of cash flows projected to be generated over the remaining economic life of the asset or liability being measured. Projected cash flows are discounted at a required market rate of return that reflects the relative risk of achieving the cash flows and the time value of money.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purchase price allocation to the identifiable intangible assets and liabilities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Fair Value at</w:t>
            </w:r>
          </w:p>
        </w:tc>
      </w:tr>
      <w:tr>
        <w:trPr>
          <w:trHeight w:val="210"/>
        </w:trPr>
        <w:tc>
          <w:tcPr>
            <w:tcW w:w="9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April 2, 2018</w:t>
            </w:r>
          </w:p>
        </w:tc>
      </w:tr>
      <w:tr>
        <w:trPr>
          <w:trHeight w:val="33"/>
        </w:trPr>
        <w:tc>
          <w:tcPr>
            <w:tcW w:w="9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Amortizable Intangible Assets</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24"/>
        </w:trPr>
        <w:tc>
          <w:tcPr>
            <w:tcW w:w="9380" w:type="dxa"/>
            <w:vAlign w:val="bottom"/>
          </w:tcPr>
          <w:p>
            <w:pPr>
              <w:ind w:left="380"/>
              <w:spacing w:after="0"/>
              <w:rPr>
                <w:sz w:val="20"/>
                <w:szCs w:val="20"/>
                <w:color w:val="auto"/>
              </w:rPr>
            </w:pPr>
            <w:r>
              <w:rPr>
                <w:rFonts w:ascii="Arial" w:cs="Arial" w:eastAsia="Arial" w:hAnsi="Arial"/>
                <w:sz w:val="16"/>
                <w:szCs w:val="16"/>
                <w:color w:val="auto"/>
              </w:rPr>
              <w:t>Trade name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1,474</w:t>
            </w:r>
          </w:p>
        </w:tc>
      </w:tr>
      <w:tr>
        <w:trPr>
          <w:trHeight w:val="33"/>
        </w:trPr>
        <w:tc>
          <w:tcPr>
            <w:tcW w:w="9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Contracts</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110,413</w:t>
            </w:r>
          </w:p>
        </w:tc>
      </w:tr>
      <w:tr>
        <w:trPr>
          <w:trHeight w:val="224"/>
        </w:trPr>
        <w:tc>
          <w:tcPr>
            <w:tcW w:w="9380" w:type="dxa"/>
            <w:vAlign w:val="bottom"/>
          </w:tcPr>
          <w:p>
            <w:pPr>
              <w:ind w:left="380"/>
              <w:spacing w:after="0"/>
              <w:rPr>
                <w:sz w:val="20"/>
                <w:szCs w:val="20"/>
                <w:color w:val="auto"/>
              </w:rPr>
            </w:pPr>
            <w:r>
              <w:rPr>
                <w:rFonts w:ascii="Arial" w:cs="Arial" w:eastAsia="Arial" w:hAnsi="Arial"/>
                <w:sz w:val="16"/>
                <w:szCs w:val="16"/>
                <w:color w:val="auto"/>
              </w:rPr>
              <w:t>Favorable lease contract</w:t>
            </w:r>
          </w:p>
        </w:tc>
        <w:tc>
          <w:tcPr>
            <w:tcW w:w="2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2,496</w:t>
            </w:r>
          </w:p>
        </w:tc>
      </w:tr>
      <w:tr>
        <w:trPr>
          <w:trHeight w:val="33"/>
        </w:trPr>
        <w:tc>
          <w:tcPr>
            <w:tcW w:w="9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amortizable intangible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114,383</w:t>
            </w:r>
          </w:p>
        </w:tc>
      </w:tr>
      <w:tr>
        <w:trPr>
          <w:trHeight w:val="270"/>
        </w:trPr>
        <w:tc>
          <w:tcPr>
            <w:tcW w:w="9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Amortizable Intangible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4"/>
        </w:trPr>
        <w:tc>
          <w:tcPr>
            <w:tcW w:w="9380" w:type="dxa"/>
            <w:vAlign w:val="bottom"/>
          </w:tcPr>
          <w:p>
            <w:pPr>
              <w:ind w:left="380"/>
              <w:spacing w:after="0"/>
              <w:rPr>
                <w:sz w:val="20"/>
                <w:szCs w:val="20"/>
                <w:color w:val="auto"/>
              </w:rPr>
            </w:pPr>
            <w:r>
              <w:rPr>
                <w:rFonts w:ascii="Arial" w:cs="Arial" w:eastAsia="Arial" w:hAnsi="Arial"/>
                <w:sz w:val="16"/>
                <w:szCs w:val="16"/>
                <w:color w:val="auto"/>
              </w:rPr>
              <w:t>Unfavorable lease contracts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2,456</w:t>
            </w:r>
          </w:p>
        </w:tc>
      </w:tr>
      <w:tr>
        <w:trPr>
          <w:trHeight w:val="33"/>
        </w:trPr>
        <w:tc>
          <w:tcPr>
            <w:tcW w:w="9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amortizable intangible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2,456</w:t>
            </w:r>
          </w:p>
        </w:tc>
      </w:tr>
      <w:tr>
        <w:trPr>
          <w:trHeight w:val="270"/>
        </w:trPr>
        <w:tc>
          <w:tcPr>
            <w:tcW w:w="93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r>
      <w:tr>
        <w:trPr>
          <w:trHeight w:val="244"/>
        </w:trPr>
        <w:tc>
          <w:tcPr>
            <w:tcW w:w="93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intangible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111,927</w:t>
            </w:r>
          </w:p>
        </w:tc>
      </w:tr>
      <w:tr>
        <w:trPr>
          <w:trHeight w:val="20"/>
        </w:trPr>
        <w:tc>
          <w:tcPr>
            <w:tcW w:w="9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59"/>
        <w:spacing w:after="0" w:line="257" w:lineRule="auto"/>
        <w:rPr>
          <w:sz w:val="20"/>
          <w:szCs w:val="20"/>
          <w:color w:val="auto"/>
        </w:rPr>
      </w:pPr>
      <w:r>
        <w:rPr>
          <w:rFonts w:ascii="Arial" w:cs="Arial" w:eastAsia="Arial" w:hAnsi="Arial"/>
          <w:sz w:val="18"/>
          <w:szCs w:val="18"/>
          <w:color w:val="auto"/>
        </w:rPr>
        <w:t>The contracts acquired consist of accommodations contracts with two major investment grade oil sands producers which are subject to amortization over an estimated useful life of 20 years at the time of acquisition. The trade name was assigned to Noralta’s name recognition with an estimated useful life of 9 months at the time of acquisition. The favorable/unfavorable intangible contracts are related to leases that will be amortized over the remaining lease terms, which range from 3.8 years to 9.3 years at the time of acquisition. The unfavorable contracts are included in Other noncurrent liabilities in the accompanying consolidated balance sheet.</w:t>
      </w:r>
    </w:p>
    <w:p>
      <w:pPr>
        <w:spacing w:after="0" w:line="188" w:lineRule="exact"/>
        <w:rPr>
          <w:sz w:val="20"/>
          <w:szCs w:val="20"/>
          <w:color w:val="auto"/>
        </w:rPr>
      </w:pPr>
    </w:p>
    <w:p>
      <w:pPr>
        <w:ind w:firstLine="459"/>
        <w:spacing w:after="0" w:line="290" w:lineRule="auto"/>
        <w:rPr>
          <w:sz w:val="20"/>
          <w:szCs w:val="20"/>
          <w:color w:val="auto"/>
        </w:rPr>
      </w:pPr>
      <w:r>
        <w:rPr>
          <w:rFonts w:ascii="Arial" w:cs="Arial" w:eastAsia="Arial" w:hAnsi="Arial"/>
          <w:sz w:val="16"/>
          <w:szCs w:val="16"/>
          <w:b w:val="1"/>
          <w:bCs w:val="1"/>
          <w:i w:val="1"/>
          <w:iCs w:val="1"/>
          <w:color w:val="auto"/>
        </w:rPr>
        <w:t xml:space="preserve">Supplemental Pro Forma Financial Information (Unaudited). </w:t>
      </w:r>
      <w:r>
        <w:rPr>
          <w:rFonts w:ascii="Arial" w:cs="Arial" w:eastAsia="Arial" w:hAnsi="Arial"/>
          <w:sz w:val="16"/>
          <w:szCs w:val="16"/>
          <w:color w:val="auto"/>
        </w:rPr>
        <w:t>The following unaudited pro forma supplemental financial information presents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results of operations of the Company and Noralta as if the Noralta Acquisition had occurred on January 1, 2017. We have adjusted historical financial information to give effect to pro forma items that are directly attributable to the Noralta Acquisition and are expected to have a continuing impact on the consolidated results. These items include adjustments to record the incremental amortization and depreciation expense related to the increase in fair values of the acquired assets, interest expense related to borrowings under the Amended Credit Agreement to fund the Noralta Acquisition and to reclassify certain items to conform to our financial reporting presentation. However, pro forma results do not include any anticipated cost savings or other effects of the planned integration of Noralta. The unaudited pro forma results do not purport to be indicative of the results of operations had the transaction occurred on the date indicated or of future results for the combined entities (in thousands, except per share data):</w:t>
      </w:r>
    </w:p>
    <w:p>
      <w:pPr>
        <w:spacing w:after="0" w:line="113" w:lineRule="exact"/>
        <w:rPr>
          <w:sz w:val="20"/>
          <w:szCs w:val="20"/>
          <w:color w:val="auto"/>
        </w:rPr>
      </w:pPr>
    </w:p>
    <w:p>
      <w:pPr>
        <w:jc w:val="center"/>
        <w:ind w:left="340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p>
      <w:pPr>
        <w:jc w:val="center"/>
        <w:ind w:left="340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33020</wp:posOffset>
            </wp:positionV>
            <wp:extent cx="16294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4">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Pro forma</w:t>
            </w:r>
          </w:p>
        </w:tc>
        <w:tc>
          <w:tcPr>
            <w:tcW w:w="20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b w:val="1"/>
                <w:bCs w:val="1"/>
                <w:color w:val="auto"/>
              </w:rPr>
              <w:t>Pro forma</w:t>
            </w:r>
          </w:p>
        </w:tc>
      </w:tr>
      <w:tr>
        <w:trPr>
          <w:trHeight w:val="33"/>
        </w:trPr>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6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501,275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506,040</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Net loss attributable to Civeo Corporation common shareholders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(129,900)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(91,420)</w:t>
            </w:r>
          </w:p>
        </w:tc>
      </w:tr>
      <w:tr>
        <w:trPr>
          <w:trHeight w:val="33"/>
        </w:trPr>
        <w:tc>
          <w:tcPr>
            <w:tcW w:w="6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6"/>
        </w:trPr>
        <w:tc>
          <w:tcPr>
            <w:tcW w:w="6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Basic net loss per share attributable to Civeo Corporation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33"/>
        </w:trPr>
        <w:tc>
          <w:tcPr>
            <w:tcW w:w="6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6"/>
        </w:trPr>
        <w:tc>
          <w:tcPr>
            <w:tcW w:w="6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Diluted net loss per share attributable to Civeo Corporation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(0.57)</w:t>
            </w:r>
          </w:p>
        </w:tc>
      </w:tr>
    </w:tbl>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360" w:firstLine="459"/>
        <w:spacing w:after="0" w:line="264" w:lineRule="auto"/>
        <w:rPr>
          <w:sz w:val="20"/>
          <w:szCs w:val="20"/>
          <w:color w:val="auto"/>
        </w:rPr>
      </w:pPr>
      <w:r>
        <w:rPr>
          <w:rFonts w:ascii="Arial" w:cs="Arial" w:eastAsia="Arial" w:hAnsi="Arial"/>
          <w:sz w:val="18"/>
          <w:szCs w:val="18"/>
          <w:color w:val="auto"/>
        </w:rPr>
        <w:t>Included in the pro forma results above are certain adjustments due to the following: (i) increases in depreciation and amortization expense due to acquired intangibles and the increased recorded value of property, plant and equipment, (ii) increases in interest expense due to additional credit facility borrowings to fund the Noralta Acquisition, and (iii) decreases due to the exclusion of transaction costs.</w:t>
      </w:r>
    </w:p>
    <w:p>
      <w:pPr>
        <w:spacing w:after="0" w:line="181"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b w:val="1"/>
          <w:bCs w:val="1"/>
          <w:i w:val="1"/>
          <w:iCs w:val="1"/>
          <w:color w:val="auto"/>
        </w:rPr>
        <w:t xml:space="preserve">Transaction Costs. </w:t>
      </w:r>
      <w:r>
        <w:rPr>
          <w:rFonts w:ascii="Arial" w:cs="Arial" w:eastAsia="Arial" w:hAnsi="Arial"/>
          <w:sz w:val="18"/>
          <w:szCs w:val="18"/>
          <w:color w:val="auto"/>
        </w:rPr>
        <w:t>During the year ended December 31, 2018, we recognized $9.1 million of costs in connection with the Noralta Acquisition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Service and other costs ($1.0 million), Selling, general and administrative expenses ($7.2 million) and Other income ($0.9 million). During the year ended December 31, 2017, we recognized $2.3 million of costs in connection with the Noralta Acquisition that are included in Selling, general and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Acadian Acres</w:t>
      </w:r>
    </w:p>
    <w:p>
      <w:pPr>
        <w:spacing w:after="0" w:line="225" w:lineRule="exact"/>
        <w:rPr>
          <w:sz w:val="20"/>
          <w:szCs w:val="20"/>
          <w:color w:val="auto"/>
        </w:rPr>
      </w:pPr>
    </w:p>
    <w:p>
      <w:pPr>
        <w:ind w:right="80" w:firstLine="459"/>
        <w:spacing w:after="0" w:line="276" w:lineRule="auto"/>
        <w:rPr>
          <w:sz w:val="20"/>
          <w:szCs w:val="20"/>
          <w:color w:val="auto"/>
        </w:rPr>
      </w:pPr>
      <w:r>
        <w:rPr>
          <w:rFonts w:ascii="Arial" w:cs="Arial" w:eastAsia="Arial" w:hAnsi="Arial"/>
          <w:sz w:val="17"/>
          <w:szCs w:val="17"/>
          <w:color w:val="auto"/>
        </w:rPr>
        <w:t>On February 28, 2018, we acquired the assets of Lakeland, L.L.C. (Lakeland), located near Lake Charles, Louisiana, for total consideration of $28.0 million, composed of $23.5 million in cash and $4.5 million of our common shares. The asset purchase agreement also includes potential future earn-out payments through December 2020 of up to 1.2 million Civeo common shares, based upon satisfaction of certain future revenue targets. The acquisition included a 400 room lodge, 40 acres of land and related assets. We funded the cash consideration with cash on hand. Lakeland’s operations are reported as a new lodge location, Acadian Acres, in our U.S. reportable business segment.</w:t>
      </w:r>
    </w:p>
    <w:p>
      <w:pPr>
        <w:spacing w:after="0" w:line="173"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Intangible assets acquired in the Acadian Acres acquisition totaled $8.2 million and consisted of a customer contract. The customer contract intangible is being amortized over the remaining contract term, which was 16 months at the time of acquisition.</w:t>
      </w:r>
    </w:p>
    <w:p>
      <w:pPr>
        <w:spacing w:after="0" w:line="170" w:lineRule="exact"/>
        <w:rPr>
          <w:sz w:val="20"/>
          <w:szCs w:val="20"/>
          <w:color w:val="auto"/>
        </w:rPr>
      </w:pPr>
    </w:p>
    <w:p>
      <w:pPr>
        <w:ind w:right="40" w:firstLine="459"/>
        <w:spacing w:after="0" w:line="257" w:lineRule="auto"/>
        <w:rPr>
          <w:sz w:val="20"/>
          <w:szCs w:val="20"/>
          <w:color w:val="auto"/>
        </w:rPr>
      </w:pPr>
      <w:r>
        <w:rPr>
          <w:rFonts w:ascii="Arial" w:cs="Arial" w:eastAsia="Arial" w:hAnsi="Arial"/>
          <w:sz w:val="18"/>
          <w:szCs w:val="18"/>
          <w:color w:val="auto"/>
        </w:rPr>
        <w:t>This acquisition was accounted for as an asset acquisition based on the principles described in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Accordingly, we allocated the excess consideration over the fair value of the assets acquired to the acquired assets, pro rata, on the basis of relative fair values to increase the related assets acquired.</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20"/>
          </w:cols>
          <w:pgMar w:left="24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780" w:firstLine="459"/>
        <w:spacing w:after="0" w:line="277" w:lineRule="auto"/>
        <w:rPr>
          <w:sz w:val="20"/>
          <w:szCs w:val="20"/>
          <w:color w:val="auto"/>
        </w:rPr>
      </w:pPr>
      <w:r>
        <w:rPr>
          <w:rFonts w:ascii="Arial" w:cs="Arial" w:eastAsia="Arial" w:hAnsi="Arial"/>
          <w:sz w:val="18"/>
          <w:szCs w:val="18"/>
          <w:color w:val="auto"/>
        </w:rPr>
        <w:t>The calculation of earnings per share attributable to the Company is presented below for the periods indicated (in thousands, except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attributable to Civeo common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(131,832)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(105,713)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(96,388)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undistributed net income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Civeo common shareholders - basic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(131,832)</w:t>
            </w:r>
          </w:p>
        </w:tc>
        <w:tc>
          <w:tcPr>
            <w:tcW w:w="10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(105,713)</w:t>
            </w:r>
          </w:p>
        </w:tc>
        <w:tc>
          <w:tcPr>
            <w:tcW w:w="10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(96,388)</w:t>
            </w:r>
          </w:p>
        </w:tc>
      </w:tr>
      <w:tr>
        <w:trPr>
          <w:trHeight w:val="163"/>
        </w:trPr>
        <w:tc>
          <w:tcPr>
            <w:tcW w:w="6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157,231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107,024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6"/>
        </w:trPr>
        <w:tc>
          <w:tcPr>
            <w:tcW w:w="6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Basic loss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6"/>
        </w:trPr>
        <w:tc>
          <w:tcPr>
            <w:tcW w:w="6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Diluted Loss per Share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Civeo common shareholders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undistributed net income to participating securities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Civeo common shareholders -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(131,832)</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(105,713)</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(96,388)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107,024</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Effect of dilutive securities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107,024</w:t>
            </w:r>
          </w:p>
        </w:tc>
      </w:tr>
      <w:tr>
        <w:trPr>
          <w:trHeight w:val="176"/>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111760</wp:posOffset>
            </wp:positionV>
            <wp:extent cx="7143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5">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82" w:lineRule="exact"/>
        <w:rPr>
          <w:sz w:val="20"/>
          <w:szCs w:val="20"/>
          <w:color w:val="auto"/>
        </w:rPr>
      </w:pPr>
    </w:p>
    <w:p>
      <w:pPr>
        <w:ind w:left="460" w:right="100" w:hanging="330"/>
        <w:spacing w:after="0" w:line="297" w:lineRule="auto"/>
        <w:tabs>
          <w:tab w:leader="none" w:pos="4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years ended December 31, 2018, 2017 and 2016. In the years ended December 31, 2018, 2017 and 2016, we excluded from the calculation 3.7 million, 2.1 million and 1.3 million share based awards, respectively, since the effect would have been anti-dilutive. In the year ended December 31, 2018, we excluded from the calculation the impact of converting the Preferred Shares into 29.8 million common shares, since the effect would have been anti-dilutive.</w:t>
      </w:r>
    </w:p>
    <w:p>
      <w:pPr>
        <w:spacing w:after="0" w:line="154" w:lineRule="exact"/>
        <w:rPr>
          <w:rFonts w:ascii="Arial" w:cs="Arial" w:eastAsia="Arial" w:hAnsi="Arial"/>
          <w:sz w:val="16"/>
          <w:szCs w:val="16"/>
          <w:color w:val="auto"/>
        </w:rPr>
      </w:pPr>
    </w:p>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229" w:lineRule="exact"/>
        <w:rPr>
          <w:sz w:val="20"/>
          <w:szCs w:val="20"/>
          <w:color w:val="auto"/>
        </w:rPr>
      </w:pPr>
    </w:p>
    <w:p>
      <w:pPr>
        <w:ind w:right="200" w:firstLine="459"/>
        <w:spacing w:after="0" w:line="257" w:lineRule="auto"/>
        <w:rPr>
          <w:sz w:val="20"/>
          <w:szCs w:val="20"/>
          <w:color w:val="auto"/>
        </w:rPr>
      </w:pPr>
      <w:r>
        <w:rPr>
          <w:rFonts w:ascii="Arial" w:cs="Arial" w:eastAsia="Arial" w:hAnsi="Arial"/>
          <w:sz w:val="18"/>
          <w:szCs w:val="18"/>
          <w:color w:val="auto"/>
        </w:rPr>
        <w:t>During the fourth quarter of 2017, we made the decision to dispose of our modular construction and manufacturing plant near Edmonton, Alberta, Canada due to changing geographic and market needs. Accordingly, the facility met the criteria of held for sale. Its estimated fair value less the cost to sell exceeded its carrying value. Additionally, we have discontinued depreciation of the facility. Depreciation expense related to the facility totaled approximately zero, $0.5 million and $0.7 million during the years ended December 31, 2018, 2017 and 2016, respectively. The facility is part of our Canadian reportable business segment.</w:t>
      </w:r>
    </w:p>
    <w:p>
      <w:pPr>
        <w:spacing w:after="0" w:line="188" w:lineRule="exact"/>
        <w:rPr>
          <w:sz w:val="20"/>
          <w:szCs w:val="20"/>
          <w:color w:val="auto"/>
        </w:rPr>
      </w:pPr>
    </w:p>
    <w:p>
      <w:pPr>
        <w:ind w:right="280" w:firstLine="459"/>
        <w:spacing w:after="0" w:line="277" w:lineRule="auto"/>
        <w:rPr>
          <w:sz w:val="20"/>
          <w:szCs w:val="20"/>
          <w:color w:val="auto"/>
        </w:rPr>
      </w:pPr>
      <w:r>
        <w:rPr>
          <w:rFonts w:ascii="Arial" w:cs="Arial" w:eastAsia="Arial" w:hAnsi="Arial"/>
          <w:sz w:val="18"/>
          <w:szCs w:val="18"/>
          <w:color w:val="auto"/>
        </w:rPr>
        <w:t>Certain undeveloped land positions in the British Columbia LNG market in our Canadian segment previously met the criteria of held for sale. These assets were recorded at the estimated fair value less costs to sell of approximately $4.0 million.</w:t>
      </w:r>
    </w:p>
    <w:p>
      <w:pPr>
        <w:spacing w:after="0" w:line="170" w:lineRule="exact"/>
        <w:rPr>
          <w:sz w:val="20"/>
          <w:szCs w:val="20"/>
          <w:color w:val="auto"/>
        </w:rPr>
      </w:pPr>
    </w:p>
    <w:p>
      <w:pPr>
        <w:ind w:right="200" w:firstLine="459"/>
        <w:spacing w:after="0" w:line="312" w:lineRule="auto"/>
        <w:rPr>
          <w:sz w:val="20"/>
          <w:szCs w:val="20"/>
          <w:color w:val="auto"/>
        </w:rPr>
      </w:pPr>
      <w:r>
        <w:rPr>
          <w:rFonts w:ascii="Arial" w:cs="Arial" w:eastAsia="Arial" w:hAnsi="Arial"/>
          <w:sz w:val="16"/>
          <w:szCs w:val="16"/>
          <w:color w:val="auto"/>
        </w:rPr>
        <w:t xml:space="preserve">In addition, as a result of the Noralta Acquisition, Noralta’s corporate offices located on two adjacent property titles in Nisku, Alberta, Canada were closed and are being held for sale. During the fourth quarter of 2018, we received $1.8 million in proceeds for </w:t>
      </w:r>
      <w:r>
        <w:rPr>
          <w:rFonts w:ascii="Arial" w:cs="Arial" w:eastAsia="Arial" w:hAnsi="Arial"/>
          <w:sz w:val="16"/>
          <w:szCs w:val="16"/>
          <w:u w:val="single" w:color="auto"/>
          <w:color w:val="0000FF"/>
        </w:rPr>
        <w:t>one</w:t>
      </w:r>
      <w:r>
        <w:rPr>
          <w:rFonts w:ascii="Arial" w:cs="Arial" w:eastAsia="Arial" w:hAnsi="Arial"/>
          <w:sz w:val="16"/>
          <w:szCs w:val="16"/>
          <w:color w:val="auto"/>
        </w:rPr>
        <w:t xml:space="preserve"> of the </w:t>
      </w:r>
      <w:r>
        <w:rPr>
          <w:rFonts w:ascii="Arial" w:cs="Arial" w:eastAsia="Arial" w:hAnsi="Arial"/>
          <w:sz w:val="16"/>
          <w:szCs w:val="16"/>
          <w:u w:val="single" w:color="auto"/>
          <w:color w:val="0000FF"/>
        </w:rPr>
        <w:t>two</w:t>
      </w:r>
      <w:r>
        <w:rPr>
          <w:rFonts w:ascii="Arial" w:cs="Arial" w:eastAsia="Arial" w:hAnsi="Arial"/>
          <w:sz w:val="16"/>
          <w:szCs w:val="16"/>
          <w:color w:val="auto"/>
        </w:rPr>
        <w:t xml:space="preserve"> properties. The remaining property is recorded at the estimated fair value less costs to sell of approximately $1.7 million and was the same value used in the purchase price allocation.</w:t>
      </w:r>
    </w:p>
    <w:p>
      <w:pPr>
        <w:spacing w:after="0" w:line="147" w:lineRule="exact"/>
        <w:rPr>
          <w:sz w:val="20"/>
          <w:szCs w:val="20"/>
          <w:color w:val="auto"/>
        </w:rPr>
      </w:pPr>
    </w:p>
    <w:p>
      <w:pPr>
        <w:ind w:right="200" w:firstLine="459"/>
        <w:spacing w:after="0" w:line="308" w:lineRule="auto"/>
        <w:rPr>
          <w:sz w:val="20"/>
          <w:szCs w:val="20"/>
          <w:color w:val="auto"/>
        </w:rPr>
      </w:pPr>
      <w:r>
        <w:rPr>
          <w:rFonts w:ascii="Arial" w:cs="Arial" w:eastAsia="Arial" w:hAnsi="Arial"/>
          <w:sz w:val="17"/>
          <w:szCs w:val="17"/>
          <w:color w:val="auto"/>
        </w:rPr>
        <w:t>The following table summarizes the carrying amount as of December 31, 2018 and 2017 of the major classes of assets from the modular construction and manufacturing plant, undeveloped land positions and Noralta’s corporate offices we classified as held for sale (in thousands):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7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9,418</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assets held for 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10,297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9,462</w:t>
            </w: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CASH FLOW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paid during the years ended December 31, 2018, 2017 and 2016 for interest and income taxes was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(net of amounts capitalized)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taxes paid (refunds received)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3,404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OTHER INTANGIBLE ASSETS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from December 31, 2017 to December 31, 2018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Canadian</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Australian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U.S.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as of December 31, 2017</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Noralta Acquisition (1)</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120,893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120,893</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(6,686)</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(6,686)</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114,207</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114,207</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Please see Note 7 – Acquisitions for further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total amount of other intangible assets and the related accumulated amortization for major intangible asset classes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400"/>
              <w:spacing w:after="0"/>
              <w:rPr>
                <w:sz w:val="20"/>
                <w:szCs w:val="20"/>
                <w:color w:val="auto"/>
              </w:rPr>
            </w:pPr>
            <w:r>
              <w:rPr>
                <w:rFonts w:ascii="Arial" w:cs="Arial" w:eastAsia="Arial" w:hAnsi="Arial"/>
                <w:sz w:val="18"/>
                <w:szCs w:val="18"/>
                <w:b w:val="1"/>
                <w:bCs w:val="1"/>
                <w:color w:val="auto"/>
              </w:rPr>
              <w:t>AS OF DECEMBER 31,</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5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41,809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(34,754)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45,209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(33,997)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Contracts / agreements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147,090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(36,930)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(26,853)</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Favorable lease contract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amortizable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193,325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84,246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(61,525)</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3"/>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Indefinite-Lived Intangible Assets Not Subject to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Licenses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indefinite-lived 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104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193,354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84,278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(61,525)</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59"/>
        <w:spacing w:after="0" w:line="264" w:lineRule="auto"/>
        <w:rPr>
          <w:sz w:val="20"/>
          <w:szCs w:val="20"/>
          <w:color w:val="auto"/>
        </w:rPr>
      </w:pPr>
      <w:r>
        <w:rPr>
          <w:rFonts w:ascii="Arial" w:cs="Arial" w:eastAsia="Arial" w:hAnsi="Arial"/>
          <w:sz w:val="18"/>
          <w:szCs w:val="18"/>
          <w:color w:val="auto"/>
        </w:rPr>
        <w:t>The weighted average remaining amortization period for all intangible assets, other than indefinite-lived intangibles, was 16.6 years as of December 31, 2018 and 3.1 years as of December 31, 2017. Amortization expense was $17.6 million, $7.3 million and $7.2 million in the years ended December 31, 2018, 2017 and 2016, respectively.</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08"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2018, the estimated remaining amortization of our amortizable intangible assets was as follows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gridSpan w:val="3"/>
          </w:tcPr>
          <w:p>
            <w:pPr>
              <w:jc w:val="right"/>
              <w:ind w:right="473"/>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15,127</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6"/>
                <w:szCs w:val="16"/>
                <w:color w:val="auto"/>
              </w:rPr>
              <w:t>12,262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5,664</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6"/>
                <w:szCs w:val="16"/>
                <w:color w:val="auto"/>
              </w:rPr>
              <w:t>5,664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5,469</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6"/>
                <w:szCs w:val="16"/>
                <w:color w:val="auto"/>
              </w:rPr>
              <w:t>75,194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shd w:val="clear" w:color="auto" w:fill="CCEEFF"/>
          </w:tcPr>
          <w:p>
            <w:pPr>
              <w:jc w:val="right"/>
              <w:ind w:right="7433"/>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7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119,380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jc w:val="right"/>
              <w:ind w:right="7433"/>
              <w:spacing w:after="0"/>
              <w:rPr>
                <w:sz w:val="20"/>
                <w:szCs w:val="20"/>
                <w:color w:val="auto"/>
              </w:rPr>
            </w:pPr>
            <w:r>
              <w:rPr>
                <w:rFonts w:ascii="Arial" w:cs="Arial" w:eastAsia="Arial" w:hAnsi="Arial"/>
                <w:sz w:val="18"/>
                <w:szCs w:val="18"/>
                <w:b w:val="1"/>
                <w:bCs w:val="1"/>
                <w:color w:val="auto"/>
              </w:rPr>
              <w:t>12. DEBT</w:t>
            </w: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60"/>
              <w:spacing w:after="0"/>
              <w:rPr>
                <w:sz w:val="20"/>
                <w:szCs w:val="20"/>
                <w:color w:val="auto"/>
              </w:rPr>
            </w:pPr>
            <w:r>
              <w:rPr>
                <w:rFonts w:ascii="Arial" w:cs="Arial" w:eastAsia="Arial" w:hAnsi="Arial"/>
                <w:sz w:val="18"/>
                <w:szCs w:val="18"/>
                <w:color w:val="auto"/>
              </w:rPr>
              <w:t>As of December 31, 2018 and 2017, long-term debt consisted of the following (in thousands):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3"/>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Canadian term loan, which matures on November 30, 2020; 2.50% of aggregate principal repayable per quarter;</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interest rate of 5.4% for the twelve-month period ended December 31, 2018</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247,910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297,623</w:t>
            </w:r>
          </w:p>
        </w:tc>
        <w:tc>
          <w:tcPr>
            <w:tcW w:w="0" w:type="dxa"/>
            <w:vAlign w:val="bottom"/>
          </w:tcPr>
          <w:p>
            <w:pPr>
              <w:spacing w:after="0"/>
              <w:rPr>
                <w:sz w:val="1"/>
                <w:szCs w:val="1"/>
                <w:color w:val="auto"/>
              </w:rPr>
            </w:pPr>
          </w:p>
        </w:tc>
      </w:tr>
      <w:tr>
        <w:trPr>
          <w:trHeight w:val="176"/>
        </w:trPr>
        <w:tc>
          <w:tcPr>
            <w:tcW w:w="8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U.S. revolving credit facility, which matures on November 30, 2020, weighted average interest rate of 7.0% for</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twelve-month period ended December 31, 2018</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Canadian revolving credit facility, which matures on November 30, 2020, weighted average interest rate of 6.1%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twelve-month period ended December 31, 2018</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114,348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Australian revolving credit facility, which matures on November 30, 2020, weighted average interest rate of 5.4%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twelve-month period ended December 31, 2018</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16,918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379,176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297,623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37"/>
        </w:trPr>
        <w:tc>
          <w:tcPr>
            <w:tcW w:w="8340" w:type="dxa"/>
            <w:vAlign w:val="bottom"/>
          </w:tcPr>
          <w:p>
            <w:pPr>
              <w:ind w:left="20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376,237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294,586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 including unamortized debt issuance costs, net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33,329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16,596</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342,908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277,990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Scheduled maturities of long-term debt as of December 31, 2018 are as follows (in thousands):</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33,729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345,447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379,176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225" w:lineRule="exact"/>
        <w:rPr>
          <w:sz w:val="20"/>
          <w:szCs w:val="20"/>
          <w:color w:val="auto"/>
        </w:rPr>
      </w:pPr>
    </w:p>
    <w:p>
      <w:pPr>
        <w:ind w:right="120" w:firstLine="459"/>
        <w:spacing w:after="0" w:line="297" w:lineRule="auto"/>
        <w:rPr>
          <w:sz w:val="20"/>
          <w:szCs w:val="20"/>
          <w:color w:val="auto"/>
        </w:rPr>
      </w:pPr>
      <w:r>
        <w:rPr>
          <w:rFonts w:ascii="Arial" w:cs="Arial" w:eastAsia="Arial" w:hAnsi="Arial"/>
          <w:sz w:val="16"/>
          <w:szCs w:val="16"/>
          <w:color w:val="auto"/>
        </w:rPr>
        <w:t>As of December 31, 2017, our Credit Agreement, as then amended to date, provided for: (i) a $275.0 million revolving credit facility scheduled to mature on May 28, 2019, allocated as follows: (A) a $40.0 million senior secured revolving credit facility in favor of certain of our U.S. subsidiaries, as borrowers; (B) a $90.0 million senior secured revolving credit facility in favor of Civeo and certain of our Canadian subsidiaries, as borrowers; (C) a $60.0 million senior secured revolving credit facility in favor of Civeo, as borrower; and (D) a $85.0 million senior secured revolving credit facility in favor of one of our Australian subsidiaries, as borrower; and (ii) a $325.0 million term loan facility scheduled to mature on May 28, 2019 in favor of Civeo.</w:t>
      </w:r>
    </w:p>
    <w:p>
      <w:pPr>
        <w:spacing w:after="0" w:line="158" w:lineRule="exact"/>
        <w:rPr>
          <w:sz w:val="20"/>
          <w:szCs w:val="20"/>
          <w:color w:val="auto"/>
        </w:rPr>
      </w:pPr>
    </w:p>
    <w:p>
      <w:pPr>
        <w:ind w:right="160" w:firstLine="459"/>
        <w:spacing w:after="0" w:line="277" w:lineRule="auto"/>
        <w:rPr>
          <w:sz w:val="20"/>
          <w:szCs w:val="20"/>
          <w:color w:val="auto"/>
        </w:rPr>
      </w:pPr>
      <w:r>
        <w:rPr>
          <w:rFonts w:ascii="Arial" w:cs="Arial" w:eastAsia="Arial" w:hAnsi="Arial"/>
          <w:sz w:val="18"/>
          <w:szCs w:val="18"/>
          <w:color w:val="auto"/>
        </w:rPr>
        <w:t>On April 2, 2018, the Amended and Restated Syndicated Facility Agreement (the Amended Credit Agreement) became effective, which, among other things:</w:t>
      </w:r>
    </w:p>
    <w:p>
      <w:pPr>
        <w:spacing w:after="0" w:line="170" w:lineRule="exact"/>
        <w:rPr>
          <w:sz w:val="20"/>
          <w:szCs w:val="20"/>
          <w:color w:val="auto"/>
        </w:rPr>
      </w:pPr>
    </w:p>
    <w:p>
      <w:pPr>
        <w:ind w:left="660" w:right="26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provided for the reduction by $35.5 million of the aggregate revolving loan commitments under the Amended Credit Agreement, to a maximum principal amount of $239.5 million, allocated as follows: (1) a $20.0 million senior secured revolving credit facility in favor of certain of our U.S. subsidiaries, as borrowers; (2) a $159.5 million senior secured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right="140"/>
        <w:spacing w:after="0" w:line="311" w:lineRule="auto"/>
        <w:rPr>
          <w:sz w:val="20"/>
          <w:szCs w:val="20"/>
          <w:color w:val="auto"/>
        </w:rPr>
      </w:pPr>
      <w:r>
        <w:rPr>
          <w:rFonts w:ascii="Arial" w:cs="Arial" w:eastAsia="Arial" w:hAnsi="Arial"/>
          <w:sz w:val="18"/>
          <w:szCs w:val="18"/>
          <w:color w:val="auto"/>
        </w:rPr>
        <w:t>revolving credit facility, after combining the commitments of the previously existing two tranches of the Canadian revolving credit facility into one tranche, in favor of Civeo and certain of our Canadian subsidiaries, as borrowers; and (3) a $60.0 million senior secured revolving credit facility in favor of one of our Australian subsidiaries, as borrower;</w:t>
      </w:r>
    </w:p>
    <w:p>
      <w:pPr>
        <w:spacing w:after="0" w:line="15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extended the maturity date by 18 months, from May 28, 2019 to November 30,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If a qualified offering of indebtedness with gross proceeds in excess of $150 million has been consummated, a Maximum Leverage Ratio of 4:00 to</w:t>
      </w:r>
    </w:p>
    <w:p>
      <w:pPr>
        <w:spacing w:after="0" w:line="4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1.00 and, if such qualified offering has not been consummated, a maximum leverage ratio not to exceed the ratios set forth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4540" w:type="dxa"/>
            <w:vAlign w:val="bottom"/>
          </w:tcPr>
          <w:p>
            <w:pPr>
              <w:spacing w:after="0"/>
              <w:rPr>
                <w:sz w:val="15"/>
                <w:szCs w:val="15"/>
                <w:color w:val="auto"/>
              </w:rPr>
            </w:pPr>
          </w:p>
        </w:tc>
        <w:tc>
          <w:tcPr>
            <w:tcW w:w="54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Period Ended</w:t>
            </w: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5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54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10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3.75 : 1.00</w:t>
            </w:r>
          </w:p>
        </w:tc>
      </w:tr>
      <w:tr>
        <w:trPr>
          <w:trHeight w:val="243"/>
        </w:trPr>
        <w:tc>
          <w:tcPr>
            <w:tcW w:w="10020" w:type="dxa"/>
            <w:vAlign w:val="bottom"/>
            <w:gridSpan w:val="3"/>
          </w:tcPr>
          <w:p>
            <w:pPr>
              <w:ind w:left="40"/>
              <w:spacing w:after="0"/>
              <w:rPr>
                <w:sz w:val="20"/>
                <w:szCs w:val="20"/>
                <w:color w:val="auto"/>
              </w:rPr>
            </w:pPr>
            <w:r>
              <w:rPr>
                <w:rFonts w:ascii="Arial" w:cs="Arial" w:eastAsia="Arial" w:hAnsi="Arial"/>
                <w:sz w:val="16"/>
                <w:szCs w:val="16"/>
                <w:color w:val="auto"/>
              </w:rPr>
              <w:t>March 31, 2019 &amp; thereafter</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3.50 : 1.00</w:t>
            </w:r>
          </w:p>
        </w:tc>
      </w:tr>
    </w:tbl>
    <w:p>
      <w:pPr>
        <w:spacing w:after="0" w:line="13" w:lineRule="exact"/>
        <w:rPr>
          <w:sz w:val="20"/>
          <w:szCs w:val="20"/>
          <w:color w:val="auto"/>
        </w:rPr>
      </w:pPr>
    </w:p>
    <w:p>
      <w:pPr>
        <w:ind w:left="880" w:hanging="89"/>
        <w:spacing w:after="0"/>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right="640" w:firstLine="459"/>
        <w:spacing w:after="0" w:line="308" w:lineRule="auto"/>
        <w:rPr>
          <w:sz w:val="20"/>
          <w:szCs w:val="20"/>
          <w:color w:val="auto"/>
        </w:rPr>
      </w:pPr>
      <w:r>
        <w:rPr>
          <w:rFonts w:ascii="Arial" w:cs="Arial" w:eastAsia="Arial" w:hAnsi="Arial"/>
          <w:sz w:val="17"/>
          <w:szCs w:val="17"/>
          <w:color w:val="auto"/>
        </w:rPr>
        <w:t>As a result of the Amended Credit Agreement, we recognized a loss during the second quarter of 2018 of approximately $0.7 million related to unamortized debt issuance costs, which is included in Loss on extinguishment of debt on the consolidated statements of operations.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26, 2018, we further amended the Amended Credit Agreement, which, among other things:</w:t>
      </w:r>
    </w:p>
    <w:p>
      <w:pPr>
        <w:spacing w:after="0" w:line="22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increased amortization on the term loan facility from 10% per annum to 12.5% per annum beginning at December 31, 2018 through maturity;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25" w:lineRule="exact"/>
        <w:rPr>
          <w:rFonts w:ascii="Arial" w:cs="Arial" w:eastAsia="Arial" w:hAnsi="Arial"/>
          <w:sz w:val="18"/>
          <w:szCs w:val="18"/>
          <w:color w:val="auto"/>
        </w:rPr>
      </w:pPr>
    </w:p>
    <w:p>
      <w:pPr>
        <w:ind w:left="1300" w:right="200" w:hanging="320"/>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a qualified offering of indebtedness with gross proceeds in excess of $150 million has been consummated, a Maximum Leverage Ratio not to exceed the ratios set forth in the following table:</w:t>
      </w:r>
    </w:p>
    <w:p>
      <w:pPr>
        <w:spacing w:after="0" w:line="333"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980" w:type="dxa"/>
            <w:vAlign w:val="bottom"/>
            <w:gridSpan w:val="3"/>
          </w:tcPr>
          <w:p>
            <w:pPr>
              <w:ind w:left="4500"/>
              <w:spacing w:after="0" w:line="176" w:lineRule="exact"/>
              <w:rPr>
                <w:sz w:val="20"/>
                <w:szCs w:val="20"/>
                <w:color w:val="auto"/>
              </w:rPr>
            </w:pPr>
            <w:r>
              <w:rPr>
                <w:rFonts w:ascii="Arial" w:cs="Arial" w:eastAsia="Arial" w:hAnsi="Arial"/>
                <w:sz w:val="16"/>
                <w:szCs w:val="16"/>
                <w:b w:val="1"/>
                <w:bCs w:val="1"/>
                <w:color w:val="auto"/>
              </w:rPr>
              <w:t>Period Ended</w:t>
            </w: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50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45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9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December 31, 2018</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4.50 : 1:00</w:t>
            </w:r>
          </w:p>
        </w:tc>
      </w:tr>
      <w:tr>
        <w:trPr>
          <w:trHeight w:val="243"/>
        </w:trPr>
        <w:tc>
          <w:tcPr>
            <w:tcW w:w="9980" w:type="dxa"/>
            <w:vAlign w:val="bottom"/>
            <w:gridSpan w:val="3"/>
          </w:tcPr>
          <w:p>
            <w:pPr>
              <w:ind w:left="20"/>
              <w:spacing w:after="0"/>
              <w:rPr>
                <w:sz w:val="20"/>
                <w:szCs w:val="20"/>
                <w:color w:val="auto"/>
              </w:rPr>
            </w:pPr>
            <w:r>
              <w:rPr>
                <w:rFonts w:ascii="Arial" w:cs="Arial" w:eastAsia="Arial" w:hAnsi="Arial"/>
                <w:sz w:val="16"/>
                <w:szCs w:val="16"/>
                <w:color w:val="auto"/>
              </w:rPr>
              <w:t>March 31, 2019</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4.75 : 1:00</w:t>
            </w:r>
          </w:p>
        </w:tc>
      </w:tr>
      <w:tr>
        <w:trPr>
          <w:trHeight w:val="27"/>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June 30, 2019</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4.50 : 1:00</w:t>
            </w:r>
          </w:p>
        </w:tc>
      </w:tr>
      <w:tr>
        <w:trPr>
          <w:trHeight w:val="243"/>
        </w:trPr>
        <w:tc>
          <w:tcPr>
            <w:tcW w:w="9980" w:type="dxa"/>
            <w:vAlign w:val="bottom"/>
            <w:gridSpan w:val="3"/>
          </w:tcPr>
          <w:p>
            <w:pPr>
              <w:ind w:left="20"/>
              <w:spacing w:after="0"/>
              <w:rPr>
                <w:sz w:val="20"/>
                <w:szCs w:val="20"/>
                <w:color w:val="auto"/>
              </w:rPr>
            </w:pPr>
            <w:r>
              <w:rPr>
                <w:rFonts w:ascii="Arial" w:cs="Arial" w:eastAsia="Arial" w:hAnsi="Arial"/>
                <w:sz w:val="16"/>
                <w:szCs w:val="16"/>
                <w:color w:val="auto"/>
              </w:rPr>
              <w:t>September 30, 2019 &amp; thereafter</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4.00 : 1:00</w:t>
            </w:r>
          </w:p>
        </w:tc>
      </w:tr>
    </w:tbl>
    <w:p>
      <w:pPr>
        <w:spacing w:after="0" w:line="229" w:lineRule="exact"/>
        <w:rPr>
          <w:sz w:val="20"/>
          <w:szCs w:val="20"/>
          <w:color w:val="auto"/>
        </w:rPr>
      </w:pPr>
    </w:p>
    <w:p>
      <w:pPr>
        <w:ind w:left="1300" w:hanging="320"/>
        <w:spacing w:after="0"/>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and, if such qualified offering has not been consummated, a maximum leverage ratio not to exceed the ratios set forth in the following table:</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5520" w:type="dxa"/>
            <w:vAlign w:val="bottom"/>
            <w:gridSpan w:val="3"/>
          </w:tcPr>
          <w:p>
            <w:pPr>
              <w:ind w:left="4520"/>
              <w:spacing w:after="0" w:line="176" w:lineRule="exact"/>
              <w:rPr>
                <w:sz w:val="20"/>
                <w:szCs w:val="20"/>
                <w:color w:val="auto"/>
              </w:rPr>
            </w:pPr>
            <w:r>
              <w:rPr>
                <w:rFonts w:ascii="Arial" w:cs="Arial" w:eastAsia="Arial" w:hAnsi="Arial"/>
                <w:sz w:val="16"/>
                <w:szCs w:val="16"/>
                <w:b w:val="1"/>
                <w:bCs w:val="1"/>
                <w:color w:val="auto"/>
                <w:w w:val="94"/>
              </w:rPr>
              <w:t>Period Ended</w:t>
            </w:r>
          </w:p>
        </w:tc>
        <w:tc>
          <w:tcPr>
            <w:tcW w:w="446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52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5580" w:type="dxa"/>
            <w:vAlign w:val="bottom"/>
            <w:tcBorders>
              <w:bottom w:val="single" w:sz="8" w:color="CCEEFF"/>
            </w:tcBorders>
            <w:gridSpan w:val="2"/>
            <w:shd w:val="clear" w:color="auto" w:fill="CCEEFF"/>
          </w:tcPr>
          <w:p>
            <w:pPr>
              <w:jc w:val="center"/>
              <w:ind w:left="4370"/>
              <w:spacing w:after="0"/>
              <w:rPr>
                <w:sz w:val="20"/>
                <w:szCs w:val="20"/>
                <w:color w:val="auto"/>
              </w:rPr>
            </w:pPr>
            <w:r>
              <w:rPr>
                <w:rFonts w:ascii="Arial" w:cs="Arial" w:eastAsia="Arial" w:hAnsi="Arial"/>
                <w:sz w:val="18"/>
                <w:szCs w:val="18"/>
                <w:color w:val="auto"/>
                <w:w w:val="89"/>
              </w:rPr>
              <w:t>4.50 : 1:00</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6"/>
                <w:szCs w:val="16"/>
                <w:color w:val="auto"/>
              </w:rPr>
              <w:t>March 31, 2019</w:t>
            </w:r>
          </w:p>
        </w:tc>
        <w:tc>
          <w:tcPr>
            <w:tcW w:w="5580" w:type="dxa"/>
            <w:vAlign w:val="bottom"/>
            <w:gridSpan w:val="2"/>
          </w:tcPr>
          <w:p>
            <w:pPr>
              <w:jc w:val="center"/>
              <w:ind w:left="4370"/>
              <w:spacing w:after="0"/>
              <w:rPr>
                <w:sz w:val="20"/>
                <w:szCs w:val="20"/>
                <w:color w:val="auto"/>
              </w:rPr>
            </w:pPr>
            <w:r>
              <w:rPr>
                <w:rFonts w:ascii="Arial" w:cs="Arial" w:eastAsia="Arial" w:hAnsi="Arial"/>
                <w:sz w:val="18"/>
                <w:szCs w:val="18"/>
                <w:color w:val="auto"/>
                <w:w w:val="89"/>
              </w:rPr>
              <w:t>4.75 : 1:00</w:t>
            </w:r>
          </w:p>
        </w:tc>
      </w:tr>
      <w:tr>
        <w:trPr>
          <w:trHeight w:val="27"/>
        </w:trPr>
        <w:tc>
          <w:tcPr>
            <w:tcW w:w="4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June 30, 2019</w:t>
            </w:r>
          </w:p>
        </w:tc>
        <w:tc>
          <w:tcPr>
            <w:tcW w:w="5580" w:type="dxa"/>
            <w:vAlign w:val="bottom"/>
            <w:tcBorders>
              <w:bottom w:val="single" w:sz="8" w:color="CCEEFF"/>
            </w:tcBorders>
            <w:gridSpan w:val="2"/>
            <w:shd w:val="clear" w:color="auto" w:fill="CCEEFF"/>
          </w:tcPr>
          <w:p>
            <w:pPr>
              <w:jc w:val="center"/>
              <w:ind w:left="4370"/>
              <w:spacing w:after="0"/>
              <w:rPr>
                <w:sz w:val="20"/>
                <w:szCs w:val="20"/>
                <w:color w:val="auto"/>
              </w:rPr>
            </w:pPr>
            <w:r>
              <w:rPr>
                <w:rFonts w:ascii="Arial" w:cs="Arial" w:eastAsia="Arial" w:hAnsi="Arial"/>
                <w:sz w:val="18"/>
                <w:szCs w:val="18"/>
                <w:color w:val="auto"/>
                <w:w w:val="89"/>
              </w:rPr>
              <w:t>4.50 : 1:00</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6"/>
                <w:szCs w:val="16"/>
                <w:color w:val="auto"/>
              </w:rPr>
              <w:t>September 30, 2019</w:t>
            </w:r>
          </w:p>
        </w:tc>
        <w:tc>
          <w:tcPr>
            <w:tcW w:w="5580" w:type="dxa"/>
            <w:vAlign w:val="bottom"/>
            <w:gridSpan w:val="2"/>
          </w:tcPr>
          <w:p>
            <w:pPr>
              <w:jc w:val="center"/>
              <w:ind w:left="4370"/>
              <w:spacing w:after="0"/>
              <w:rPr>
                <w:sz w:val="20"/>
                <w:szCs w:val="20"/>
                <w:color w:val="auto"/>
              </w:rPr>
            </w:pPr>
            <w:r>
              <w:rPr>
                <w:rFonts w:ascii="Arial" w:cs="Arial" w:eastAsia="Arial" w:hAnsi="Arial"/>
                <w:sz w:val="18"/>
                <w:szCs w:val="18"/>
                <w:color w:val="auto"/>
                <w:w w:val="89"/>
              </w:rPr>
              <w:t>4.00 : 1:00</w:t>
            </w:r>
          </w:p>
        </w:tc>
      </w:tr>
      <w:tr>
        <w:trPr>
          <w:trHeight w:val="27"/>
        </w:trPr>
        <w:tc>
          <w:tcPr>
            <w:tcW w:w="4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2019 &amp; thereafter</w:t>
            </w:r>
          </w:p>
        </w:tc>
        <w:tc>
          <w:tcPr>
            <w:tcW w:w="5580" w:type="dxa"/>
            <w:vAlign w:val="bottom"/>
            <w:tcBorders>
              <w:bottom w:val="single" w:sz="8" w:color="CCEEFF"/>
            </w:tcBorders>
            <w:gridSpan w:val="2"/>
            <w:shd w:val="clear" w:color="auto" w:fill="CCEEFF"/>
          </w:tcPr>
          <w:p>
            <w:pPr>
              <w:jc w:val="center"/>
              <w:ind w:left="4370"/>
              <w:spacing w:after="0"/>
              <w:rPr>
                <w:sz w:val="20"/>
                <w:szCs w:val="20"/>
                <w:color w:val="auto"/>
              </w:rPr>
            </w:pPr>
            <w:r>
              <w:rPr>
                <w:rFonts w:ascii="Arial" w:cs="Arial" w:eastAsia="Arial" w:hAnsi="Arial"/>
                <w:sz w:val="18"/>
                <w:szCs w:val="18"/>
                <w:color w:val="auto"/>
                <w:w w:val="89"/>
              </w:rPr>
              <w:t>3.50 : 1:00</w:t>
            </w:r>
          </w:p>
        </w:tc>
      </w:tr>
      <w:tr>
        <w:trPr>
          <w:trHeight w:val="230"/>
        </w:trPr>
        <w:tc>
          <w:tcPr>
            <w:tcW w:w="5520" w:type="dxa"/>
            <w:vAlign w:val="bottom"/>
            <w:gridSpan w:val="3"/>
          </w:tcPr>
          <w:p>
            <w:pPr>
              <w:ind w:left="800"/>
              <w:spacing w:after="0"/>
              <w:rPr>
                <w:sz w:val="20"/>
                <w:szCs w:val="20"/>
                <w:color w:val="auto"/>
              </w:rPr>
            </w:pPr>
            <w:r>
              <w:rPr>
                <w:rFonts w:ascii="Arial" w:cs="Arial" w:eastAsia="Arial" w:hAnsi="Arial"/>
                <w:sz w:val="18"/>
                <w:szCs w:val="18"/>
                <w:color w:val="auto"/>
              </w:rPr>
              <w:t>; and</w:t>
            </w:r>
          </w:p>
        </w:tc>
        <w:tc>
          <w:tcPr>
            <w:tcW w:w="4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61"/>
        </w:trPr>
        <w:tc>
          <w:tcPr>
            <w:tcW w:w="4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tcPr>
          <w:p>
            <w:pPr>
              <w:jc w:val="right"/>
              <w:ind w:right="4050"/>
              <w:spacing w:after="0"/>
              <w:rPr>
                <w:sz w:val="20"/>
                <w:szCs w:val="20"/>
                <w:color w:val="auto"/>
              </w:rPr>
            </w:pPr>
            <w:r>
              <w:rPr>
                <w:rFonts w:ascii="Arial" w:cs="Arial" w:eastAsia="Arial" w:hAnsi="Arial"/>
                <w:sz w:val="18"/>
                <w:szCs w:val="18"/>
                <w:color w:val="auto"/>
                <w:w w:val="99"/>
              </w:rPr>
              <w:t>109</w:t>
            </w:r>
          </w:p>
        </w:tc>
        <w:tc>
          <w:tcPr>
            <w:tcW w:w="11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firstLine="459"/>
        <w:spacing w:after="0" w:line="273" w:lineRule="auto"/>
        <w:rPr>
          <w:sz w:val="20"/>
          <w:szCs w:val="20"/>
          <w:color w:val="auto"/>
        </w:rPr>
      </w:pPr>
      <w:r>
        <w:rPr>
          <w:rFonts w:ascii="Arial" w:cs="Arial" w:eastAsia="Arial" w:hAnsi="Arial"/>
          <w:sz w:val="17"/>
          <w:szCs w:val="17"/>
          <w:color w:val="auto"/>
        </w:rPr>
        <w:t>U.S. dollar amounts outstanding under the facilities provided by the Amended Credit Agreement bear interest at a variable rate equal to LIBOR plus a margin of 2.25% to 4.00%, or a base rate plus 1.25% to 3.00%, in each case based on a ratio of our total leverage to EBITDA (as defined in the Amended Credit Agreement). Canadian dollar amounts outstanding bear interest at a variable rate equal to a B/A Discount Rate based on the Canadian Dollar Offered Rate plus a margin of 2.25% to 4.00%, or a Canadian Prime rate plus a margin of 1.25% to 3.00%, in each case based on a ratio of our consolidated total leverage to EBITDA. Australian dollar amounts outstanding under the Amended Credit Agreement bear interest at a variable rate equal to the Bank Bill Swap Bid Rate plus a margin of 2.25% to 4.00%, based on a ratio of our consolidated total leverage to EBITDA.</w:t>
      </w:r>
    </w:p>
    <w:p>
      <w:pPr>
        <w:spacing w:after="0" w:line="178" w:lineRule="exact"/>
        <w:rPr>
          <w:sz w:val="20"/>
          <w:szCs w:val="20"/>
          <w:color w:val="auto"/>
        </w:rPr>
      </w:pPr>
    </w:p>
    <w:p>
      <w:pPr>
        <w:ind w:right="40" w:firstLine="459"/>
        <w:spacing w:after="0" w:line="289"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4.50 to 1.0 (as of December 31, 2018).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December 31, 2018.</w:t>
      </w:r>
    </w:p>
    <w:p>
      <w:pPr>
        <w:spacing w:after="0" w:line="167"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December 31, 2018, we had nine lenders that were parties to the Amended Credit Agreement, with total commitments (including both revolving commitments and term commitments) ranging from $24.9 million to $110.6 million. As of December 31, 2018, we had outstanding letters of credit of $0.4 million under the U.S facility, $0.6 million under the Australian facility and $2.4 million under the Canadian facility.</w:t>
      </w:r>
    </w:p>
    <w:p>
      <w:pPr>
        <w:spacing w:after="0" w:line="188" w:lineRule="exact"/>
        <w:rPr>
          <w:sz w:val="20"/>
          <w:szCs w:val="20"/>
          <w:color w:val="auto"/>
        </w:rPr>
      </w:pPr>
    </w:p>
    <w:p>
      <w:pPr>
        <w:ind w:right="340" w:firstLine="459"/>
        <w:spacing w:after="0" w:line="277" w:lineRule="auto"/>
        <w:rPr>
          <w:sz w:val="20"/>
          <w:szCs w:val="20"/>
          <w:color w:val="auto"/>
        </w:rPr>
      </w:pPr>
      <w:r>
        <w:rPr>
          <w:rFonts w:ascii="Arial" w:cs="Arial" w:eastAsia="Arial" w:hAnsi="Arial"/>
          <w:sz w:val="18"/>
          <w:szCs w:val="18"/>
          <w:color w:val="auto"/>
        </w:rPr>
        <w:t>In addition to the Amended Credit Agreement, we have an A$2.0 million bank guarantee facility, which matures March 31, 2019. There were bank guarantees of A$0.7 million under this facility outstanding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PREFERRED SHARES</w:t>
      </w:r>
    </w:p>
    <w:p>
      <w:pPr>
        <w:spacing w:after="0" w:line="229" w:lineRule="exact"/>
        <w:rPr>
          <w:sz w:val="20"/>
          <w:szCs w:val="20"/>
          <w:color w:val="auto"/>
        </w:rPr>
      </w:pPr>
    </w:p>
    <w:p>
      <w:pPr>
        <w:ind w:right="260" w:firstLine="459"/>
        <w:spacing w:after="0" w:line="259" w:lineRule="auto"/>
        <w:rPr>
          <w:sz w:val="20"/>
          <w:szCs w:val="20"/>
          <w:color w:val="auto"/>
        </w:rPr>
      </w:pPr>
      <w:r>
        <w:rPr>
          <w:rFonts w:ascii="Arial" w:cs="Arial" w:eastAsia="Arial" w:hAnsi="Arial"/>
          <w:sz w:val="18"/>
          <w:szCs w:val="18"/>
          <w:color w:val="auto"/>
        </w:rPr>
        <w:t>As further discussed in Note 7 – Acquisitions, on April 2, 2018, we issued 9,679 Preferred Shares as part of the Noralta Acquisition. The Preferred Shares have an initial liquidation preference of $10,000 per share. Holders of the Preferred Shares are entitled to receive a 2% annual dividend on the liquidation preference, subject to increase to up to 3% in certain circumstances, paid quarterly in cash or, at our option, by increasing the Preferred Shares’ liquidation preference or any combination thereof.</w:t>
      </w:r>
    </w:p>
    <w:p>
      <w:pPr>
        <w:spacing w:after="0" w:line="187" w:lineRule="exact"/>
        <w:rPr>
          <w:sz w:val="20"/>
          <w:szCs w:val="20"/>
          <w:color w:val="auto"/>
        </w:rPr>
      </w:pPr>
    </w:p>
    <w:p>
      <w:pPr>
        <w:ind w:right="20" w:firstLine="459"/>
        <w:spacing w:after="0" w:line="293" w:lineRule="auto"/>
        <w:rPr>
          <w:sz w:val="20"/>
          <w:szCs w:val="20"/>
          <w:color w:val="auto"/>
        </w:rPr>
      </w:pPr>
      <w:r>
        <w:rPr>
          <w:rFonts w:ascii="Arial" w:cs="Arial" w:eastAsia="Arial" w:hAnsi="Arial"/>
          <w:sz w:val="16"/>
          <w:szCs w:val="16"/>
          <w:color w:val="auto"/>
        </w:rPr>
        <w:t xml:space="preserve">The Preferred Shares are convertible into our common shares at a conversion price of US$3.30 per Preferred Share, subject to certain anti-dilution adjustments (the Conversion Price). We have the right to elect to convert the Preferred Shares into our common shares if the 15-day volume weighted average price of our common shares is equal to or exceeds the Conversion Price. Holders of the Preferred Shares will have the right to convert the Preferred Shares into our common shares at any time after </w:t>
      </w:r>
      <w:r>
        <w:rPr>
          <w:rFonts w:ascii="Arial" w:cs="Arial" w:eastAsia="Arial" w:hAnsi="Arial"/>
          <w:sz w:val="16"/>
          <w:szCs w:val="16"/>
          <w:u w:val="single" w:color="auto"/>
          <w:color w:val="0000FF"/>
        </w:rPr>
        <w:t>two</w:t>
      </w:r>
      <w:r>
        <w:rPr>
          <w:rFonts w:ascii="Arial" w:cs="Arial" w:eastAsia="Arial" w:hAnsi="Arial"/>
          <w:sz w:val="16"/>
          <w:szCs w:val="16"/>
          <w:color w:val="auto"/>
        </w:rPr>
        <w:t xml:space="preserve"> years from the date of issuance, and the Preferred Shares mandatorily convert after five years from the date of issuance. The Preferred Shares also convert automatically into our common shares upon a change of control of Civeo. We may, at any time and from time to time, redeem any or all of the Preferred Shares for cash at the liquidation preference, plus accrued and unpaid dividends.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Preferred Shares do not have voting rights, except as statutorily required.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2018, we recognized preferred dividends on the Preferred Shares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33"/>
        </w:trPr>
        <w:tc>
          <w:tcPr>
            <w:tcW w:w="6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Deemed dividend on beneficial conversion feature at April 2, 2018</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47,849</w:t>
            </w:r>
          </w:p>
        </w:tc>
      </w:tr>
      <w:tr>
        <w:trPr>
          <w:trHeight w:val="224"/>
        </w:trPr>
        <w:tc>
          <w:tcPr>
            <w:tcW w:w="6880" w:type="dxa"/>
            <w:vAlign w:val="bottom"/>
          </w:tcPr>
          <w:p>
            <w:pPr>
              <w:ind w:left="40"/>
              <w:spacing w:after="0"/>
              <w:rPr>
                <w:sz w:val="20"/>
                <w:szCs w:val="20"/>
                <w:color w:val="auto"/>
              </w:rPr>
            </w:pPr>
            <w:r>
              <w:rPr>
                <w:rFonts w:ascii="Arial" w:cs="Arial" w:eastAsia="Arial" w:hAnsi="Arial"/>
                <w:sz w:val="16"/>
                <w:szCs w:val="16"/>
                <w:color w:val="auto"/>
              </w:rPr>
              <w:t>In-kind dividends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1,459</w:t>
            </w:r>
          </w:p>
        </w:tc>
      </w:tr>
      <w:tr>
        <w:trPr>
          <w:trHeight w:val="33"/>
        </w:trPr>
        <w:tc>
          <w:tcPr>
            <w:tcW w:w="6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Deemed dividend on beneficial conversion feature related to in-kind dividend</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44"/>
        </w:trPr>
        <w:tc>
          <w:tcPr>
            <w:tcW w:w="6880" w:type="dxa"/>
            <w:vAlign w:val="bottom"/>
          </w:tcPr>
          <w:p>
            <w:pPr>
              <w:ind w:left="180"/>
              <w:spacing w:after="0"/>
              <w:rPr>
                <w:sz w:val="20"/>
                <w:szCs w:val="20"/>
                <w:color w:val="auto"/>
              </w:rPr>
            </w:pPr>
            <w:r>
              <w:rPr>
                <w:rFonts w:ascii="Arial" w:cs="Arial" w:eastAsia="Arial" w:hAnsi="Arial"/>
                <w:sz w:val="16"/>
                <w:szCs w:val="16"/>
                <w:color w:val="auto"/>
              </w:rPr>
              <w:t>Total preferred dividends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49,589</w:t>
            </w:r>
          </w:p>
        </w:tc>
      </w:tr>
      <w:tr>
        <w:trPr>
          <w:trHeight w:val="20"/>
        </w:trPr>
        <w:tc>
          <w:tcPr>
            <w:tcW w:w="6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59"/>
        <w:spacing w:after="0" w:line="272" w:lineRule="auto"/>
        <w:rPr>
          <w:sz w:val="20"/>
          <w:szCs w:val="20"/>
          <w:color w:val="auto"/>
        </w:rPr>
      </w:pPr>
      <w:r>
        <w:rPr>
          <w:rFonts w:ascii="Arial" w:cs="Arial" w:eastAsia="Arial" w:hAnsi="Arial"/>
          <w:sz w:val="17"/>
          <w:szCs w:val="17"/>
          <w:color w:val="auto"/>
        </w:rPr>
        <w:t>As noted in Note 7 - Acquisitions, at the time the Preferred Shares were issued, we determined that a beneficial conversion feature existed as the fair value of the securities into which the Preferred Shares were convertible was greater than the effective conversion price on the issuance date. Accordingly, we recorded a beneficial conversion feature of $47.8 million. The beneficial conversion feature was recorded as an increase to additional paid-in capital with the offset recorded as a discount on the Preferred Shares. The increase to additional paid-in capital of the beneficial conversion feature is included in the $166.9 million increase due to issuance of shares for acquisitions on the consolidated statements of changes in shareholders’ equity. Similarly, the discount to Preferred Shares of the beneficial conversion feature is netted in the $7.0 million increase due to issuance of shares for acquisitions on the consolidated statements of changes in shareholders’ equity.</w:t>
      </w:r>
    </w:p>
    <w:p>
      <w:pPr>
        <w:spacing w:after="0" w:line="178"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As the Preferred Shares do not have a stated redemption date, the discount is required to be recognized as a dividend over the minimum period from the date of issuance through the date of earliest conversion. Because the 15-day volume weighted average price of our common shares was greater than $3.30 on April 2, 2018, the earliest conversion date was determined to be April 2, 2018. Accordingly, we recorded a deemed dividend on April 2, 2018 totaling the discount of $47.8 million.</w:t>
      </w:r>
    </w:p>
    <w:p>
      <w:pPr>
        <w:spacing w:after="0" w:line="187"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The Board of Directors elected to pay the dividend due on June 30, September 30, and December 31, 2018, which totaled $49.44, $50.25 and $50.50 per Preferred Share, respectively, through an increase in the liquidation preference rather than in cash. The paid-in-kind dividend of $1.5 million is included in Preferred dividends on the consolidated statement of operations for the year ended December 31, 2018.</w:t>
      </w:r>
    </w:p>
    <w:p>
      <w:pPr>
        <w:spacing w:after="0" w:line="181" w:lineRule="exact"/>
        <w:rPr>
          <w:sz w:val="20"/>
          <w:szCs w:val="20"/>
          <w:color w:val="auto"/>
        </w:rPr>
      </w:pPr>
    </w:p>
    <w:p>
      <w:pPr>
        <w:jc w:val="both"/>
        <w:ind w:right="80" w:firstLine="459"/>
        <w:spacing w:after="0" w:line="302" w:lineRule="auto"/>
        <w:rPr>
          <w:sz w:val="20"/>
          <w:szCs w:val="20"/>
          <w:color w:val="auto"/>
        </w:rPr>
      </w:pPr>
      <w:r>
        <w:rPr>
          <w:rFonts w:ascii="Arial" w:cs="Arial" w:eastAsia="Arial" w:hAnsi="Arial"/>
          <w:sz w:val="16"/>
          <w:szCs w:val="16"/>
          <w:color w:val="auto"/>
        </w:rPr>
        <w:t>In addition, with respect to the paid-in-kind dividends due on June 30, and September 30, 2018, the fair value of the securities into which the Preferred Shares were convertible was greater than the effective conversion price on the deemed payment date for the quarters ended June 30, and September 30, 2018. Accordingly, we recorded the discount as a beneficial conversion feature for both periods, which totaled $0.3 million for the year ended December 31, 2018. The beneficial conversion feature was recorded as an increase to additional paid-in capital with the offset recorded as a discount on the Preferred Shares.</w:t>
      </w:r>
    </w:p>
    <w:p>
      <w:pPr>
        <w:spacing w:after="0" w:line="154" w:lineRule="exact"/>
        <w:rPr>
          <w:sz w:val="20"/>
          <w:szCs w:val="20"/>
          <w:color w:val="auto"/>
        </w:rPr>
      </w:pPr>
    </w:p>
    <w:p>
      <w:pPr>
        <w:jc w:val="both"/>
        <w:ind w:right="20" w:firstLine="459"/>
        <w:spacing w:after="0" w:line="288" w:lineRule="auto"/>
        <w:rPr>
          <w:sz w:val="20"/>
          <w:szCs w:val="20"/>
          <w:color w:val="auto"/>
        </w:rPr>
      </w:pPr>
      <w:r>
        <w:rPr>
          <w:rFonts w:ascii="Arial" w:cs="Arial" w:eastAsia="Arial" w:hAnsi="Arial"/>
          <w:sz w:val="16"/>
          <w:szCs w:val="16"/>
          <w:color w:val="auto"/>
        </w:rPr>
        <w:t>As the Preferred Shares do not have a stated redemption date, the discount is required to be recognized as a dividend over the minimum period from the date of issuance through the date of earliest conversion. Because the 15-day volume weighted average price of our common shares was greater than $3.30 on both the June 30 and September 30, 2018 due dates, the earliest conversion date was determined to be June 30 and September 30, 2018, respectively.</w:t>
      </w:r>
    </w:p>
    <w:p>
      <w:pPr>
        <w:ind w:right="1020"/>
        <w:spacing w:after="0" w:line="261" w:lineRule="auto"/>
        <w:rPr>
          <w:sz w:val="20"/>
          <w:szCs w:val="20"/>
          <w:color w:val="auto"/>
        </w:rPr>
      </w:pPr>
      <w:r>
        <w:rPr>
          <w:rFonts w:ascii="Arial" w:cs="Arial" w:eastAsia="Arial" w:hAnsi="Arial"/>
          <w:sz w:val="18"/>
          <w:szCs w:val="18"/>
          <w:color w:val="auto"/>
        </w:rPr>
        <w:t>Accordingly, we recorded a deemed dividend on June 30, and September 30, 2018, which totaled the discount of $0.3 million for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PLANS</w:t>
      </w:r>
    </w:p>
    <w:p>
      <w:pPr>
        <w:spacing w:after="0" w:line="229" w:lineRule="exact"/>
        <w:rPr>
          <w:sz w:val="20"/>
          <w:szCs w:val="20"/>
          <w:color w:val="auto"/>
        </w:rPr>
      </w:pPr>
    </w:p>
    <w:p>
      <w:pPr>
        <w:ind w:right="40" w:firstLine="459"/>
        <w:spacing w:after="0" w:line="297" w:lineRule="auto"/>
        <w:rPr>
          <w:sz w:val="20"/>
          <w:szCs w:val="20"/>
          <w:color w:val="auto"/>
        </w:rPr>
      </w:pPr>
      <w:r>
        <w:rPr>
          <w:rFonts w:ascii="Arial" w:cs="Arial" w:eastAsia="Arial" w:hAnsi="Arial"/>
          <w:sz w:val="16"/>
          <w:szCs w:val="16"/>
          <w:color w:val="auto"/>
        </w:rPr>
        <w:t>We sponsor defined contribution plans. Participation in these plans is available to substantially all employees. We recognized expense of $4.9 million, $4.8 million and $6.4 million, respectively, related to matching contributions under our various defined contribution plans during the years ended December 31, 2018, 2017 and 2016, respectively. A defined contribution plan is a post-employment benefit plan under which an entity pays fixed contributions into a separate entity and will generally have no legal or constructive obligation to pay further amounts. Obligations for contributions to defined contribution plans are recognized as an employee benefit expense in profit or loss in the periods during which services are rendered by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Retirement Savings Plan</w:t>
      </w:r>
    </w:p>
    <w:p>
      <w:pPr>
        <w:spacing w:after="0" w:line="225" w:lineRule="exact"/>
        <w:rPr>
          <w:sz w:val="20"/>
          <w:szCs w:val="20"/>
          <w:color w:val="auto"/>
        </w:rPr>
      </w:pPr>
    </w:p>
    <w:p>
      <w:pPr>
        <w:jc w:val="both"/>
        <w:ind w:right="80" w:firstLine="459"/>
        <w:spacing w:after="0" w:line="264" w:lineRule="auto"/>
        <w:rPr>
          <w:sz w:val="20"/>
          <w:szCs w:val="20"/>
          <w:color w:val="auto"/>
        </w:rPr>
      </w:pPr>
      <w:r>
        <w:rPr>
          <w:rFonts w:ascii="Arial" w:cs="Arial" w:eastAsia="Arial" w:hAnsi="Arial"/>
          <w:sz w:val="18"/>
          <w:szCs w:val="18"/>
          <w:color w:val="auto"/>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 Maximum for 2018 - $13,250). DPSP 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$26,230 in 2018 as set out in the Canadian Tax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Retirement Savings Plan</w:t>
      </w:r>
    </w:p>
    <w:p>
      <w:pPr>
        <w:spacing w:after="0" w:line="225"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Our Australian subsidiary contributes to various defined contribution plans for its employees in accordance with legislation governing the calculation of the Superannuation Guarantee Surcharge (SGC). SGC is contributed by the employer at a rate of 9.5% of the base salary of an employee, capped at the legislated maximum contribution base which is indexed annually.</w:t>
      </w:r>
    </w:p>
    <w:p>
      <w:pPr>
        <w:spacing w:after="0" w:line="181"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Our Australian subsidiary makes no investment decisions on behalf of the employee and has no obligations other than to remit the defined contributions to the plan selected by each individual employee.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Retirement Savings Plan</w:t>
      </w:r>
    </w:p>
    <w:p>
      <w:pPr>
        <w:spacing w:after="0" w:line="225" w:lineRule="exact"/>
        <w:rPr>
          <w:sz w:val="20"/>
          <w:szCs w:val="20"/>
          <w:color w:val="auto"/>
        </w:rPr>
      </w:pPr>
    </w:p>
    <w:p>
      <w:pPr>
        <w:ind w:right="120" w:firstLine="459"/>
        <w:spacing w:after="0" w:line="279" w:lineRule="auto"/>
        <w:rPr>
          <w:sz w:val="20"/>
          <w:szCs w:val="20"/>
          <w:color w:val="auto"/>
        </w:rPr>
      </w:pPr>
      <w:r>
        <w:rPr>
          <w:rFonts w:ascii="Arial" w:cs="Arial" w:eastAsia="Arial" w:hAnsi="Arial"/>
          <w:sz w:val="17"/>
          <w:szCs w:val="17"/>
          <w:color w:val="auto"/>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20% per year for each of the employee’s first five years of service and are fully vested thereafter.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15. ASSET RETIREMENT OBLIGATIONS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340" w:type="dxa"/>
            <w:vAlign w:val="bottom"/>
            <w:gridSpan w:val="2"/>
          </w:tcPr>
          <w:p>
            <w:pPr>
              <w:ind w:left="460"/>
              <w:spacing w:after="0"/>
              <w:rPr>
                <w:sz w:val="20"/>
                <w:szCs w:val="20"/>
                <w:color w:val="auto"/>
              </w:rPr>
            </w:pPr>
            <w:r>
              <w:rPr>
                <w:rFonts w:ascii="Arial" w:cs="Arial" w:eastAsia="Arial" w:hAnsi="Arial"/>
                <w:sz w:val="18"/>
                <w:szCs w:val="18"/>
                <w:color w:val="auto"/>
              </w:rPr>
              <w:t>AROs at December 31, 2018 and 2017 were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126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Less: Asset retirement obligations due within one year*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1,799</w:t>
            </w:r>
          </w:p>
        </w:tc>
      </w:tr>
      <w:tr>
        <w:trPr>
          <w:trHeight w:val="27"/>
        </w:trPr>
        <w:tc>
          <w:tcPr>
            <w:tcW w:w="126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asset retirement obligations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15,386</w:t>
            </w:r>
          </w:p>
        </w:tc>
      </w:tr>
      <w:tr>
        <w:trPr>
          <w:trHeight w:val="20"/>
        </w:trPr>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1260" w:type="dxa"/>
            <w:vAlign w:val="bottom"/>
            <w:tcBorders>
              <w:bottom w:val="single" w:sz="8" w:color="auto"/>
            </w:tcBorders>
          </w:tcPr>
          <w:p>
            <w:pPr>
              <w:spacing w:after="0"/>
              <w:rPr>
                <w:sz w:val="14"/>
                <w:szCs w:val="14"/>
                <w:color w:val="auto"/>
              </w:rPr>
            </w:pPr>
          </w:p>
        </w:tc>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175" w:lineRule="exact"/>
        <w:rPr>
          <w:sz w:val="20"/>
          <w:szCs w:val="20"/>
          <w:color w:val="auto"/>
        </w:rPr>
      </w:pPr>
    </w:p>
    <w:p>
      <w:pPr>
        <w:ind w:left="380" w:right="80" w:hanging="345"/>
        <w:spacing w:after="0" w:line="277" w:lineRule="auto"/>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Classified as a current liability on the consolidated balance sheets, under the caption “Other current liabilities.” Related to remediation work planned for 2018.</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expense related to the ARO was $1.7 million, $1.4 million and $1.4 million in 2018, 2017 and 2016, respectively.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years ended December 31, 2018, 2017 and 2016, our ARO changed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2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Accretion of discount</w:t>
            </w:r>
          </w:p>
        </w:tc>
        <w:tc>
          <w:tcPr>
            <w:tcW w:w="2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obligations</w:t>
            </w:r>
          </w:p>
        </w:tc>
        <w:tc>
          <w:tcPr>
            <w:tcW w:w="2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Change in estimates of existing obligations</w:t>
            </w:r>
          </w:p>
        </w:tc>
        <w:tc>
          <w:tcPr>
            <w:tcW w:w="2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obligations</w:t>
            </w:r>
          </w:p>
        </w:tc>
        <w:tc>
          <w:tcPr>
            <w:tcW w:w="2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2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18,381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112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ind w:right="180" w:firstLine="459"/>
        <w:spacing w:after="0" w:line="277" w:lineRule="auto"/>
        <w:rPr>
          <w:sz w:val="20"/>
          <w:szCs w:val="20"/>
          <w:color w:val="auto"/>
        </w:rPr>
      </w:pPr>
      <w:r>
        <w:rPr>
          <w:rFonts w:ascii="Arial" w:cs="Arial" w:eastAsia="Arial" w:hAnsi="Arial"/>
          <w:sz w:val="18"/>
          <w:szCs w:val="18"/>
          <w:color w:val="auto"/>
        </w:rPr>
        <w:t>The Company’s operations are conducted through various subsidiaries in a number of countries throughout the world. The Company has provided for income taxes based upon the tax laws and rates in the countries in which operations are conducted and income is earned.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Pre-tax loss for the years ended December 31, 2018, 2017 and 2016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(28,698)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(115,932)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the income tax benefit for the years ended December 31, 2018, 2017 and 2016 consisted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jc w:val="right"/>
              <w:ind w:right="5910"/>
              <w:spacing w:after="0"/>
              <w:rPr>
                <w:sz w:val="20"/>
                <w:szCs w:val="20"/>
                <w:color w:val="auto"/>
              </w:rPr>
            </w:pPr>
            <w:r>
              <w:rPr>
                <w:rFonts w:ascii="Arial" w:cs="Arial" w:eastAsia="Arial" w:hAnsi="Arial"/>
                <w:sz w:val="18"/>
                <w:szCs w:val="18"/>
                <w:color w:val="auto"/>
              </w:rPr>
              <w:t>Canada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(8,646)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jc w:val="right"/>
              <w:ind w:right="591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r>
      <w:tr>
        <w:trPr>
          <w:trHeight w:val="297"/>
        </w:trPr>
        <w:tc>
          <w:tcPr>
            <w:tcW w:w="6740" w:type="dxa"/>
            <w:vAlign w:val="bottom"/>
            <w:tcBorders>
              <w:bottom w:val="single" w:sz="8" w:color="CCEEFF"/>
            </w:tcBorders>
          </w:tcPr>
          <w:p>
            <w:pPr>
              <w:jc w:val="right"/>
              <w:ind w:right="589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(6,897)</w:t>
            </w:r>
          </w:p>
        </w:tc>
      </w:tr>
      <w:tr>
        <w:trPr>
          <w:trHeight w:val="163"/>
        </w:trPr>
        <w:tc>
          <w:tcPr>
            <w:tcW w:w="6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43"/>
        </w:trPr>
        <w:tc>
          <w:tcPr>
            <w:tcW w:w="6740" w:type="dxa"/>
            <w:vAlign w:val="bottom"/>
          </w:tcPr>
          <w:p>
            <w:pPr>
              <w:jc w:val="right"/>
              <w:ind w:right="5930"/>
              <w:spacing w:after="0"/>
              <w:rPr>
                <w:sz w:val="20"/>
                <w:szCs w:val="20"/>
                <w:color w:val="auto"/>
              </w:rPr>
            </w:pPr>
            <w:r>
              <w:rPr>
                <w:rFonts w:ascii="Arial" w:cs="Arial" w:eastAsia="Arial" w:hAnsi="Arial"/>
                <w:sz w:val="18"/>
                <w:szCs w:val="18"/>
                <w:color w:val="auto"/>
                <w:w w:val="93"/>
              </w:rPr>
              <w:t>Deferred: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jc w:val="right"/>
              <w:ind w:right="591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(12,169)</w:t>
            </w:r>
          </w:p>
        </w:tc>
      </w:tr>
      <w:tr>
        <w:trPr>
          <w:trHeight w:val="243"/>
        </w:trPr>
        <w:tc>
          <w:tcPr>
            <w:tcW w:w="6740" w:type="dxa"/>
            <w:vAlign w:val="bottom"/>
          </w:tcPr>
          <w:p>
            <w:pPr>
              <w:jc w:val="right"/>
              <w:ind w:right="591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jc w:val="right"/>
              <w:ind w:right="589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Benefit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459"/>
        <w:spacing w:after="0" w:line="277" w:lineRule="auto"/>
        <w:rPr>
          <w:sz w:val="20"/>
          <w:szCs w:val="20"/>
          <w:color w:val="auto"/>
        </w:rPr>
      </w:pPr>
      <w:r>
        <w:rPr>
          <w:rFonts w:ascii="Arial" w:cs="Arial" w:eastAsia="Arial" w:hAnsi="Arial"/>
          <w:sz w:val="18"/>
          <w:szCs w:val="18"/>
          <w:color w:val="auto"/>
        </w:rPr>
        <w:t>The income tax benefit differs from an amount computed at Canadian statutory rates as follows for the years ended December 31, 2018, 2017 and 2016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2017</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2016</w:t>
            </w:r>
          </w:p>
        </w:tc>
        <w:tc>
          <w:tcPr>
            <w:tcW w:w="880" w:type="dxa"/>
            <w:vAlign w:val="bottom"/>
          </w:tcPr>
          <w:p>
            <w:pPr>
              <w:spacing w:after="0"/>
              <w:rPr>
                <w:sz w:val="20"/>
                <w:szCs w:val="20"/>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benefit at statutory rates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27.0 %</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Effect of foreign income tax, net</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Enacted tax rate change – U.S. Tax</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Reform</w:t>
            </w:r>
          </w:p>
        </w:tc>
        <w:tc>
          <w:tcPr>
            <w:tcW w:w="3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w w:val="98"/>
              </w:rPr>
              <w:t>Valuation allowance – U.S. Tax Reform</w:t>
            </w:r>
          </w:p>
        </w:tc>
        <w:tc>
          <w:tcPr>
            <w:tcW w:w="340" w:type="dxa"/>
            <w:vAlign w:val="bottom"/>
          </w:tcPr>
          <w:p>
            <w:pPr>
              <w:spacing w:after="0"/>
              <w:rPr>
                <w:sz w:val="21"/>
                <w:szCs w:val="21"/>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 Other</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Tax effects of restructuring</w:t>
            </w:r>
          </w:p>
        </w:tc>
        <w:tc>
          <w:tcPr>
            <w:tcW w:w="340" w:type="dxa"/>
            <w:vAlign w:val="bottom"/>
          </w:tcPr>
          <w:p>
            <w:pPr>
              <w:spacing w:after="0"/>
              <w:rPr>
                <w:sz w:val="21"/>
                <w:szCs w:val="21"/>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1"/>
                <w:szCs w:val="21"/>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Deemed income from foreign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Enacted tax rate change - Canada</w:t>
            </w:r>
          </w:p>
        </w:tc>
        <w:tc>
          <w:tcPr>
            <w:tcW w:w="340" w:type="dxa"/>
            <w:vAlign w:val="bottom"/>
          </w:tcPr>
          <w:p>
            <w:pPr>
              <w:spacing w:after="0"/>
              <w:rPr>
                <w:sz w:val="21"/>
                <w:szCs w:val="21"/>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57"/>
        </w:trPr>
        <w:tc>
          <w:tcPr>
            <w:tcW w:w="3160" w:type="dxa"/>
            <w:vAlign w:val="bottom"/>
          </w:tcPr>
          <w:p>
            <w:pPr>
              <w:ind w:left="200"/>
              <w:spacing w:after="0"/>
              <w:rPr>
                <w:sz w:val="20"/>
                <w:szCs w:val="20"/>
                <w:color w:val="auto"/>
              </w:rPr>
            </w:pPr>
            <w:r>
              <w:rPr>
                <w:rFonts w:ascii="Arial" w:cs="Arial" w:eastAsia="Arial" w:hAnsi="Arial"/>
                <w:sz w:val="18"/>
                <w:szCs w:val="18"/>
                <w:color w:val="auto"/>
              </w:rPr>
              <w:t>Net income tax benefit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11.4 %</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17.3 %</w:t>
            </w:r>
          </w:p>
        </w:tc>
      </w:tr>
      <w:tr>
        <w:trPr>
          <w:trHeight w:val="20"/>
        </w:trPr>
        <w:tc>
          <w:tcPr>
            <w:tcW w:w="3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459"/>
        <w:spacing w:after="0" w:line="271" w:lineRule="auto"/>
        <w:rPr>
          <w:sz w:val="20"/>
          <w:szCs w:val="20"/>
          <w:color w:val="auto"/>
        </w:rPr>
      </w:pPr>
      <w:r>
        <w:rPr>
          <w:rFonts w:ascii="Arial" w:cs="Arial" w:eastAsia="Arial" w:hAnsi="Arial"/>
          <w:sz w:val="17"/>
          <w:szCs w:val="17"/>
          <w:b w:val="1"/>
          <w:bCs w:val="1"/>
          <w:i w:val="1"/>
          <w:iCs w:val="1"/>
          <w:color w:val="auto"/>
        </w:rPr>
        <w:t xml:space="preserve">U.S. Tax Reform. </w:t>
      </w:r>
      <w:r>
        <w:rPr>
          <w:rFonts w:ascii="Arial" w:cs="Arial" w:eastAsia="Arial" w:hAnsi="Arial"/>
          <w:sz w:val="17"/>
          <w:szCs w:val="17"/>
          <w:color w:val="auto"/>
        </w:rPr>
        <w:t>On December 22, 2017, U.S. Tax Reform was signed into law, making significant changes to the U.S. Internal Revenue Code.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included, but were not limited to, a corporate tax rate decrease from 35% to 21% effective for tax years beginning after December 31, 2017, the transition of U.S. international taxation from a worldwide tax system to a quasi-territorial system, and a one-time transition tax on the mandatory deemed repatriation of cumulative foreign earnings as of December 31, 2017. We calculated an estimate of the impact of the corporate tax rate decrease as of December 31, 2017, the result of which was a decrease of the U.S. net deferred tax asset of $9.0 million which was fully offset by a decrease in the U.S. valuation allowance of $9.0 million. This resulted in zero impact to our income tax benefit for the year ended December 31, 2017. We recognized zero impact to our financial statements related to the transition tax on unrepatriated U.S. cumulative foreign earnings, the global intangible low-taxes income (GILTI) provisions and the base-erosion and anti-abuse (BEAT)</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125"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provisions. We determined that, under Section 162(m), in 2018, our deduction for compensation, including incentive based compensation was limited. This resulted in a decrease to the U.S. taxable loss of $0.8 million, which was fully offset in the U.S. valuation allowance as of December 31, 2018. While the ultimate impact of U.S. Tax Reform may differ from these estimates due to changes in interpretations and assumptions we have made and additional regulatory guidance that may be issued, we have completed our analysis under SAB 118 and there were no material adjustments to our estimates.</w:t>
      </w:r>
    </w:p>
    <w:p>
      <w:pPr>
        <w:spacing w:after="0" w:line="154"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b w:val="1"/>
          <w:bCs w:val="1"/>
          <w:i w:val="1"/>
          <w:iCs w:val="1"/>
          <w:color w:val="auto"/>
        </w:rPr>
        <w:t xml:space="preserve">Deferred Tax Liabilities and Assets. </w:t>
      </w:r>
      <w:r>
        <w:rPr>
          <w:rFonts w:ascii="Arial" w:cs="Arial" w:eastAsia="Arial" w:hAnsi="Arial"/>
          <w:sz w:val="18"/>
          <w:szCs w:val="18"/>
          <w:color w:val="auto"/>
        </w:rPr>
        <w:t>The significant items giving rise to the deferred tax assets and liabilities as of December 31, 2018 and 2017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Net operating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92,600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70,920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Employee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5,560</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Deductible goodwill and other intangibles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50,758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reserves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6,854</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Unearned revenue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37"/>
        </w:trPr>
        <w:tc>
          <w:tcPr>
            <w:tcW w:w="8340" w:type="dxa"/>
            <w:vAlign w:val="bottom"/>
          </w:tcPr>
          <w:p>
            <w:pPr>
              <w:ind w:left="360"/>
              <w:spacing w:after="0"/>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125,485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135,704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(90,663)</w:t>
            </w:r>
          </w:p>
        </w:tc>
      </w:tr>
      <w:tr>
        <w:trPr>
          <w:trHeight w:val="237"/>
        </w:trPr>
        <w:tc>
          <w:tcPr>
            <w:tcW w:w="8340" w:type="dxa"/>
            <w:vAlign w:val="bottom"/>
          </w:tcPr>
          <w:p>
            <w:pPr>
              <w:ind w:left="360"/>
              <w:spacing w:after="0"/>
              <w:rPr>
                <w:sz w:val="20"/>
                <w:szCs w:val="20"/>
                <w:color w:val="auto"/>
              </w:rPr>
            </w:pPr>
            <w:r>
              <w:rPr>
                <w:rFonts w:ascii="Arial" w:cs="Arial" w:eastAsia="Arial" w:hAnsi="Arial"/>
                <w:sz w:val="18"/>
                <w:szCs w:val="18"/>
                <w:color w:val="auto"/>
              </w:rPr>
              <w:t>Deferred tax assets,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45,041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(61,094)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(44,141)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7"/>
        </w:trPr>
        <w:tc>
          <w:tcPr>
            <w:tcW w:w="834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(45,041)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NOL Carryforwards. </w:t>
      </w:r>
      <w:r>
        <w:rPr>
          <w:rFonts w:ascii="Arial" w:cs="Arial" w:eastAsia="Arial" w:hAnsi="Arial"/>
          <w:sz w:val="18"/>
          <w:szCs w:val="18"/>
          <w:color w:val="auto"/>
        </w:rPr>
        <w:t>The following table summarizes net operating loss (NOL) carryforwards at December 31, 2018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2400" w:type="dxa"/>
            <w:vAlign w:val="bottom"/>
          </w:tcPr>
          <w:p>
            <w:pPr>
              <w:ind w:left="520"/>
              <w:spacing w:after="0"/>
              <w:rPr>
                <w:sz w:val="20"/>
                <w:szCs w:val="20"/>
                <w:color w:val="auto"/>
              </w:rPr>
            </w:pPr>
            <w:r>
              <w:rPr>
                <w:rFonts w:ascii="Arial" w:cs="Arial" w:eastAsia="Arial" w:hAnsi="Arial"/>
                <w:sz w:val="18"/>
                <w:szCs w:val="18"/>
                <w:b w:val="1"/>
                <w:bCs w:val="1"/>
                <w:color w:val="auto"/>
              </w:rPr>
              <w:t>Expiration Period</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Canada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177,681</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Begins to expire in 2035</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98,770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Does not expire</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U.S. – Federal</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36,380</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Begins to expire in 2036</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 Federal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8,807</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Does not expire</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U.S. – State</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Begins to expire in 2020</w:t>
            </w:r>
          </w:p>
        </w:tc>
      </w:tr>
    </w:tbl>
    <w:p>
      <w:pPr>
        <w:spacing w:after="0" w:line="229" w:lineRule="exact"/>
        <w:rPr>
          <w:sz w:val="20"/>
          <w:szCs w:val="20"/>
          <w:color w:val="auto"/>
        </w:rPr>
      </w:pPr>
    </w:p>
    <w:p>
      <w:pPr>
        <w:jc w:val="both"/>
        <w:ind w:right="20" w:firstLine="459"/>
        <w:spacing w:after="0" w:line="277" w:lineRule="auto"/>
        <w:rPr>
          <w:sz w:val="20"/>
          <w:szCs w:val="20"/>
          <w:color w:val="auto"/>
        </w:rPr>
      </w:pPr>
      <w:r>
        <w:rPr>
          <w:rFonts w:ascii="Arial" w:cs="Arial" w:eastAsia="Arial" w:hAnsi="Arial"/>
          <w:sz w:val="18"/>
          <w:szCs w:val="18"/>
          <w:b w:val="1"/>
          <w:bCs w:val="1"/>
          <w:i w:val="1"/>
          <w:iCs w:val="1"/>
          <w:color w:val="auto"/>
        </w:rPr>
        <w:t xml:space="preserve">Change in Valuation Allowance. </w:t>
      </w:r>
      <w:r>
        <w:rPr>
          <w:rFonts w:ascii="Arial" w:cs="Arial" w:eastAsia="Arial" w:hAnsi="Arial"/>
          <w:sz w:val="18"/>
          <w:szCs w:val="18"/>
          <w:color w:val="auto"/>
        </w:rPr>
        <w:t>Realization of our deferred tax assets is dependent upon, among other things, our ability to generate taxable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appropriate character in the future.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our valuation allowance for the years ended December 31, 2018 and 2017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Federal /</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Net Deferred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State NOLs</w:t>
            </w: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Tax Assets</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(76,157)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 in income tax provision - U.S. Tax Reform</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9,047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income tax provision - Other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change</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(90,663)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income tax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change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6,089</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(52,815)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(82,833)</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5" w:right="2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2017, the valuation allowance was decreased by $9.0 million due to the decrease of the U.S. statutory tax rate from 35% to 21% as a result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 Reform.</w:t>
      </w:r>
    </w:p>
    <w:p>
      <w:pPr>
        <w:spacing w:after="0" w:line="211"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At the end of 2017, the valuation allowance increased by $5.9 million as a result of placing a valuation allowance against the Canadian net deferred tax asset. During 2018, the addition of $52.5 million of deferred tax liabilities due to the Noralta Acquisition resulted in Canada no longer being considered a loss jurisdiction. Accordingly, a benefit of $4.9 million was recorded in the second quarter of 2018 to reverse the valuation allowance against the Canadian net deferred tax asset.</w:t>
      </w:r>
    </w:p>
    <w:p>
      <w:pPr>
        <w:spacing w:after="0" w:line="187" w:lineRule="exact"/>
        <w:rPr>
          <w:sz w:val="20"/>
          <w:szCs w:val="20"/>
          <w:color w:val="auto"/>
        </w:rPr>
      </w:pPr>
    </w:p>
    <w:p>
      <w:pPr>
        <w:ind w:right="40" w:firstLine="459"/>
        <w:spacing w:after="0" w:line="308" w:lineRule="auto"/>
        <w:rPr>
          <w:sz w:val="20"/>
          <w:szCs w:val="20"/>
          <w:color w:val="auto"/>
        </w:rPr>
      </w:pPr>
      <w:r>
        <w:rPr>
          <w:rFonts w:ascii="Arial" w:cs="Arial" w:eastAsia="Arial" w:hAnsi="Arial"/>
          <w:sz w:val="17"/>
          <w:szCs w:val="17"/>
          <w:b w:val="1"/>
          <w:bCs w:val="1"/>
          <w:i w:val="1"/>
          <w:iCs w:val="1"/>
          <w:color w:val="auto"/>
        </w:rPr>
        <w:t xml:space="preserve">Indefinite Reinvestment of Earnings. </w:t>
      </w:r>
      <w:r>
        <w:rPr>
          <w:rFonts w:ascii="Arial" w:cs="Arial" w:eastAsia="Arial" w:hAnsi="Arial"/>
          <w:sz w:val="17"/>
          <w:szCs w:val="17"/>
          <w:color w:val="auto"/>
        </w:rPr>
        <w:t>At December 31, 2017 and 2018, we had no undistributed earnings of foreign subsidiaries subject to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Canada. Due to our redomiciling to Canada in 2015, we recognized and repatriated all U.S. cumulative foreign earnings in 2015.</w:t>
      </w:r>
    </w:p>
    <w:p>
      <w:pPr>
        <w:spacing w:after="0" w:line="147" w:lineRule="exact"/>
        <w:rPr>
          <w:sz w:val="20"/>
          <w:szCs w:val="20"/>
          <w:color w:val="auto"/>
        </w:rPr>
      </w:pPr>
    </w:p>
    <w:p>
      <w:pPr>
        <w:ind w:right="200" w:firstLine="459"/>
        <w:spacing w:after="0" w:line="312" w:lineRule="auto"/>
        <w:rPr>
          <w:sz w:val="20"/>
          <w:szCs w:val="20"/>
          <w:color w:val="auto"/>
        </w:rPr>
      </w:pPr>
      <w:r>
        <w:rPr>
          <w:rFonts w:ascii="Arial" w:cs="Arial" w:eastAsia="Arial" w:hAnsi="Arial"/>
          <w:sz w:val="16"/>
          <w:szCs w:val="16"/>
          <w:b w:val="1"/>
          <w:bCs w:val="1"/>
          <w:i w:val="1"/>
          <w:iCs w:val="1"/>
          <w:color w:val="auto"/>
        </w:rPr>
        <w:t xml:space="preserve">Unrecognized Tax Benefits. </w:t>
      </w:r>
      <w:r>
        <w:rPr>
          <w:rFonts w:ascii="Arial" w:cs="Arial" w:eastAsia="Arial" w:hAnsi="Arial"/>
          <w:sz w:val="16"/>
          <w:szCs w:val="16"/>
          <w:color w:val="auto"/>
        </w:rPr>
        <w:t>We file tax returns in the jurisdictions in which they are required. All of these returns are subject to examination or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possible adjustment as a result of 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spacing w:after="0" w:line="147" w:lineRule="exact"/>
        <w:rPr>
          <w:sz w:val="20"/>
          <w:szCs w:val="20"/>
          <w:color w:val="auto"/>
        </w:rPr>
      </w:pPr>
    </w:p>
    <w:p>
      <w:pPr>
        <w:ind w:right="60" w:firstLine="459"/>
        <w:spacing w:after="0" w:line="264" w:lineRule="auto"/>
        <w:rPr>
          <w:sz w:val="20"/>
          <w:szCs w:val="20"/>
          <w:color w:val="auto"/>
        </w:rPr>
      </w:pPr>
      <w:r>
        <w:rPr>
          <w:rFonts w:ascii="Arial" w:cs="Arial" w:eastAsia="Arial" w:hAnsi="Arial"/>
          <w:sz w:val="18"/>
          <w:szCs w:val="18"/>
          <w:color w:val="auto"/>
        </w:rPr>
        <w:t>Our Canadian federal tax returns subsequent to 2011 are subject to audit by the Canada Revenue Agency. Our Australian subsidiary’s federal income tax returns subsequent to 2014 are open for review by the Australian Taxation Office. Our U.S. subsidiary’s federal tax returns subsequent to 2013 are subject to audit by the US Internal Revenue Service.</w:t>
      </w:r>
    </w:p>
    <w:p>
      <w:pPr>
        <w:spacing w:after="0" w:line="181" w:lineRule="exact"/>
        <w:rPr>
          <w:sz w:val="20"/>
          <w:szCs w:val="20"/>
          <w:color w:val="auto"/>
        </w:rPr>
      </w:pPr>
    </w:p>
    <w:p>
      <w:pPr>
        <w:jc w:val="both"/>
        <w:ind w:right="380" w:firstLine="459"/>
        <w:spacing w:after="0" w:line="264" w:lineRule="auto"/>
        <w:rPr>
          <w:sz w:val="20"/>
          <w:szCs w:val="20"/>
          <w:color w:val="auto"/>
        </w:rPr>
      </w:pPr>
      <w:r>
        <w:rPr>
          <w:rFonts w:ascii="Arial" w:cs="Arial" w:eastAsia="Arial" w:hAnsi="Arial"/>
          <w:sz w:val="18"/>
          <w:szCs w:val="18"/>
          <w:color w:val="auto"/>
        </w:rPr>
        <w:t>The total amount of unrecognized tax benefits as of December 31, 2018, 2017 and 2016 was zero. Unrecognized tax benefits, if recognized, would affect the effective tax rate. We accrue interest and penalties related to unrecognized tax benefits as a component of our provision for income taxes. As of December 31, 2018, 2017 and 2016, we had accrued zero of interest expense and penalties.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10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Reductions for settlements</w:t>
            </w:r>
          </w:p>
        </w:tc>
        <w:tc>
          <w:tcPr>
            <w:tcW w:w="10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the applicable statute of limitations</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December 31</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2016, management determined that, based upon the status of current examinations, an uncertain tax liability of $0.7 million was reversed.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lease a portion of our equipment, office space, computer equipment, automobiles and trucks under leases which expire at various dates.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60"/>
              <w:spacing w:after="0"/>
              <w:rPr>
                <w:sz w:val="20"/>
                <w:szCs w:val="20"/>
                <w:color w:val="auto"/>
              </w:rPr>
            </w:pPr>
            <w:r>
              <w:rPr>
                <w:rFonts w:ascii="Arial" w:cs="Arial" w:eastAsia="Arial" w:hAnsi="Arial"/>
                <w:sz w:val="18"/>
                <w:szCs w:val="18"/>
                <w:color w:val="auto"/>
              </w:rPr>
              <w:t>Minimum future operating lease obligations in effect at December 31, 2018, were as follows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5,090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2,826</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6,525</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25,698</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firstLine="459"/>
        <w:spacing w:after="0" w:line="277" w:lineRule="auto"/>
        <w:rPr>
          <w:sz w:val="20"/>
          <w:szCs w:val="20"/>
          <w:color w:val="auto"/>
        </w:rPr>
      </w:pPr>
      <w:r>
        <w:rPr>
          <w:rFonts w:ascii="Arial" w:cs="Arial" w:eastAsia="Arial" w:hAnsi="Arial"/>
          <w:sz w:val="18"/>
          <w:szCs w:val="18"/>
          <w:color w:val="auto"/>
        </w:rPr>
        <w:t>Rental expense under operating leases was $6.8 million, $5.6 million and $6.0 million for the years ended December 31, 2018, 2017 and 2016,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firstLine="459"/>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229" w:lineRule="exact"/>
        <w:rPr>
          <w:sz w:val="20"/>
          <w:szCs w:val="20"/>
          <w:color w:val="auto"/>
        </w:rPr>
      </w:pPr>
    </w:p>
    <w:p>
      <w:pPr>
        <w:ind w:right="280" w:firstLine="459"/>
        <w:spacing w:after="0" w:line="279" w:lineRule="auto"/>
        <w:rPr>
          <w:sz w:val="20"/>
          <w:szCs w:val="20"/>
          <w:color w:val="auto"/>
        </w:rPr>
      </w:pPr>
      <w:r>
        <w:rPr>
          <w:rFonts w:ascii="Arial" w:cs="Arial" w:eastAsia="Arial" w:hAnsi="Arial"/>
          <w:sz w:val="17"/>
          <w:szCs w:val="17"/>
          <w:color w:val="auto"/>
        </w:rPr>
        <w:t>Our accumulated other comprehensive loss decreased $43.0 million from $328.2 million at December 31, 2017 to $371.2 million at December 31, 2018, as a result of foreign currency exchange rate fluctuations. Changes in other comprehensive loss during 2018 were primarily driven by the Australian dollar and Canadian dollar decreasing in value compared to the U.S. dollar. Excluding intercompany balances, our Canadian dollar and Australian dollar functional currency net assets totaled approximately C$0.2 billion and A$0.4 billion, respectively, at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BASED COMPENSATION</w:t>
      </w:r>
    </w:p>
    <w:p>
      <w:pPr>
        <w:spacing w:after="0" w:line="229" w:lineRule="exact"/>
        <w:rPr>
          <w:sz w:val="20"/>
          <w:szCs w:val="20"/>
          <w:color w:val="auto"/>
        </w:rPr>
      </w:pPr>
    </w:p>
    <w:p>
      <w:pPr>
        <w:ind w:right="20" w:firstLine="459"/>
        <w:spacing w:after="0" w:line="279" w:lineRule="auto"/>
        <w:rPr>
          <w:sz w:val="20"/>
          <w:szCs w:val="20"/>
          <w:color w:val="auto"/>
        </w:rPr>
      </w:pPr>
      <w:r>
        <w:rPr>
          <w:rFonts w:ascii="Arial" w:cs="Arial" w:eastAsia="Arial" w:hAnsi="Arial"/>
          <w:sz w:val="17"/>
          <w:szCs w:val="17"/>
          <w:color w:val="auto"/>
        </w:rPr>
        <w:t>Our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and dividend equivalents, awards of deferred shares, and share payments to our employees and non-employee directors. No more than 18.7 million Civeo common shares may be awarded under the Civeo Plan.</w:t>
      </w:r>
    </w:p>
    <w:p>
      <w:pPr>
        <w:spacing w:after="0" w:line="171" w:lineRule="exact"/>
        <w:rPr>
          <w:sz w:val="20"/>
          <w:szCs w:val="20"/>
          <w:color w:val="auto"/>
        </w:rPr>
      </w:pPr>
    </w:p>
    <w:p>
      <w:pPr>
        <w:ind w:right="20" w:firstLine="459"/>
        <w:spacing w:after="0" w:line="279" w:lineRule="auto"/>
        <w:rPr>
          <w:sz w:val="20"/>
          <w:szCs w:val="20"/>
          <w:color w:val="auto"/>
        </w:rPr>
      </w:pPr>
      <w:r>
        <w:rPr>
          <w:rFonts w:ascii="Arial" w:cs="Arial" w:eastAsia="Arial" w:hAnsi="Arial"/>
          <w:sz w:val="17"/>
          <w:szCs w:val="17"/>
          <w:color w:val="auto"/>
        </w:rPr>
        <w:t>Share-based compensation expense recognized in the years ended December 31, 2018, 2017 and 2016 totaled $16.4 million, $15.4 million and $9.9 million, respectively. Share-based compensation expense is reflected in Selling, general and administrative (SG&amp;A) expense in our consolidated statements of operations. The total income tax benefit recognized in the consolidated statements of operations for share based compensation arrangements was approximately $1.2 million, zero and $0.6 million for the years ended December 31, 2018, 2017 and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Purchase Common Shares</w:t>
      </w:r>
    </w:p>
    <w:p>
      <w:pPr>
        <w:spacing w:after="0" w:line="225" w:lineRule="exact"/>
        <w:rPr>
          <w:sz w:val="20"/>
          <w:szCs w:val="20"/>
          <w:color w:val="auto"/>
        </w:rPr>
      </w:pPr>
    </w:p>
    <w:p>
      <w:pPr>
        <w:ind w:right="100" w:firstLine="459"/>
        <w:spacing w:after="0" w:line="277" w:lineRule="auto"/>
        <w:rPr>
          <w:sz w:val="20"/>
          <w:szCs w:val="20"/>
          <w:color w:val="auto"/>
        </w:rPr>
      </w:pPr>
      <w:r>
        <w:rPr>
          <w:rFonts w:ascii="Arial" w:cs="Arial" w:eastAsia="Arial" w:hAnsi="Arial"/>
          <w:sz w:val="18"/>
          <w:szCs w:val="18"/>
          <w:color w:val="auto"/>
        </w:rPr>
        <w:t>No options were awarded in 2018, 2017 or 2016. The following table presents the changes in stock options outstanding and related information for our employees during the years ended December 31, 2018, 2017 and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32"/>
              <w:spacing w:after="0"/>
              <w:rPr>
                <w:sz w:val="20"/>
                <w:szCs w:val="20"/>
                <w:color w:val="auto"/>
              </w:rPr>
            </w:pPr>
            <w:r>
              <w:rPr>
                <w:rFonts w:ascii="Arial" w:cs="Arial" w:eastAsia="Arial" w:hAnsi="Arial"/>
                <w:sz w:val="16"/>
                <w:szCs w:val="16"/>
                <w:b w:val="1"/>
                <w:bCs w:val="1"/>
                <w:color w:val="auto"/>
                <w:w w:val="91"/>
              </w:rPr>
              <w:t>Weighted</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Average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32"/>
              <w:spacing w:after="0"/>
              <w:rPr>
                <w:sz w:val="20"/>
                <w:szCs w:val="20"/>
                <w:color w:val="auto"/>
              </w:rPr>
            </w:pPr>
            <w:r>
              <w:rPr>
                <w:rFonts w:ascii="Arial" w:cs="Arial" w:eastAsia="Arial" w:hAnsi="Arial"/>
                <w:sz w:val="16"/>
                <w:szCs w:val="16"/>
                <w:b w:val="1"/>
                <w:bCs w:val="1"/>
                <w:color w:val="auto"/>
                <w:w w:val="88"/>
              </w:rPr>
              <w:t>Exercise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Intrinsic</w:t>
            </w:r>
          </w:p>
        </w:tc>
      </w:tr>
      <w:tr>
        <w:trPr>
          <w:trHeight w:val="203"/>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12"/>
              <w:spacing w:after="0"/>
              <w:rPr>
                <w:sz w:val="20"/>
                <w:szCs w:val="20"/>
                <w:color w:val="auto"/>
              </w:rPr>
            </w:pPr>
            <w:r>
              <w:rPr>
                <w:rFonts w:ascii="Arial" w:cs="Arial" w:eastAsia="Arial" w:hAnsi="Arial"/>
                <w:sz w:val="16"/>
                <w:szCs w:val="16"/>
                <w:b w:val="1"/>
                <w:bCs w:val="1"/>
                <w:color w:val="auto"/>
                <w:w w:val="92"/>
              </w:rPr>
              <w:t>Price Per</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Value</w:t>
            </w:r>
          </w:p>
        </w:tc>
      </w:tr>
      <w:tr>
        <w:trPr>
          <w:trHeight w:val="210"/>
        </w:trPr>
        <w:tc>
          <w:tcPr>
            <w:tcW w:w="606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w:t>
            </w:r>
          </w:p>
        </w:tc>
        <w:tc>
          <w:tcPr>
            <w:tcW w:w="220" w:type="dxa"/>
            <w:vAlign w:val="bottom"/>
          </w:tcPr>
          <w:p>
            <w:pPr>
              <w:spacing w:after="0"/>
              <w:rPr>
                <w:sz w:val="18"/>
                <w:szCs w:val="18"/>
                <w:color w:val="auto"/>
              </w:rPr>
            </w:pPr>
          </w:p>
        </w:tc>
        <w:tc>
          <w:tcPr>
            <w:tcW w:w="104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Share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Life (Years)</w:t>
            </w:r>
          </w:p>
        </w:tc>
        <w:tc>
          <w:tcPr>
            <w:tcW w:w="20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(Thousands)</w:t>
            </w: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December 31, 2015</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390,334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Forfeited / Expired</w:t>
            </w:r>
          </w:p>
        </w:tc>
        <w:tc>
          <w:tcPr>
            <w:tcW w:w="1260" w:type="dxa"/>
            <w:vAlign w:val="bottom"/>
          </w:tcPr>
          <w:p>
            <w:pPr>
              <w:jc w:val="right"/>
              <w:spacing w:after="0"/>
              <w:rPr>
                <w:sz w:val="20"/>
                <w:szCs w:val="20"/>
                <w:color w:val="auto"/>
              </w:rPr>
            </w:pPr>
            <w:r>
              <w:rPr>
                <w:rFonts w:ascii="Arial" w:cs="Arial" w:eastAsia="Arial" w:hAnsi="Arial"/>
                <w:sz w:val="18"/>
                <w:szCs w:val="18"/>
                <w:color w:val="auto"/>
              </w:rPr>
              <w:t>(224,448)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10.33</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December 31, 2016</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165,886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Forfeited / Expired</w:t>
            </w:r>
          </w:p>
        </w:tc>
        <w:tc>
          <w:tcPr>
            <w:tcW w:w="1260" w:type="dxa"/>
            <w:vAlign w:val="bottom"/>
          </w:tcPr>
          <w:p>
            <w:pPr>
              <w:jc w:val="right"/>
              <w:spacing w:after="0"/>
              <w:rPr>
                <w:sz w:val="20"/>
                <w:szCs w:val="20"/>
                <w:color w:val="auto"/>
              </w:rPr>
            </w:pPr>
            <w:r>
              <w:rPr>
                <w:rFonts w:ascii="Arial" w:cs="Arial" w:eastAsia="Arial" w:hAnsi="Arial"/>
                <w:sz w:val="18"/>
                <w:szCs w:val="18"/>
                <w:color w:val="auto"/>
              </w:rPr>
              <w:t>(20,085)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18.10</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December 31, 2017</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145,801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Forfeited / Expired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December 31, 2018</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145,801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17.97</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6"/>
        </w:trPr>
        <w:tc>
          <w:tcPr>
            <w:tcW w:w="6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Options at December 31, 2016</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145,804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Exercisable Options at December 31, 2017</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139,491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17.79</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Options at December 31, 2018</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145,801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17.97</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25" w:right="2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459"/>
        <w:spacing w:after="0" w:line="308" w:lineRule="auto"/>
        <w:rPr>
          <w:sz w:val="20"/>
          <w:szCs w:val="20"/>
          <w:color w:val="auto"/>
        </w:rPr>
      </w:pPr>
      <w:r>
        <w:rPr>
          <w:rFonts w:ascii="Arial" w:cs="Arial" w:eastAsia="Arial" w:hAnsi="Arial"/>
          <w:sz w:val="17"/>
          <w:szCs w:val="17"/>
          <w:color w:val="auto"/>
        </w:rPr>
        <w:t>As no options were exercised in the last three years, the total intrinsic value of options exercised by our employees during 2018, 2017 and 2016 was zero. Additionally, the tax benefits realized for the tax deduction from options exercised during 2018, 2017 and 2016 totaled zero.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2018, unrecognized compensation cost related to options was zero.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for outstanding options of our employees at December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as</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as of</w:t>
            </w:r>
          </w:p>
        </w:tc>
        <w:tc>
          <w:tcPr>
            <w:tcW w:w="26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560" w:type="dxa"/>
            <w:vAlign w:val="bottom"/>
            <w:gridSpan w:val="2"/>
          </w:tcPr>
          <w:p>
            <w:pPr>
              <w:ind w:left="1040"/>
              <w:spacing w:after="0"/>
              <w:rPr>
                <w:sz w:val="20"/>
                <w:szCs w:val="20"/>
                <w:color w:val="auto"/>
              </w:rPr>
            </w:pPr>
            <w:r>
              <w:rPr>
                <w:rFonts w:ascii="Arial" w:cs="Arial" w:eastAsia="Arial" w:hAnsi="Arial"/>
                <w:sz w:val="18"/>
                <w:szCs w:val="18"/>
                <w:b w:val="1"/>
                <w:bCs w:val="1"/>
                <w:color w:val="auto"/>
              </w:rPr>
              <w:t>Range of Exercise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of December 31,</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560" w:type="dxa"/>
            <w:vAlign w:val="bottom"/>
            <w:gridSpan w:val="2"/>
          </w:tcPr>
          <w:p>
            <w:pPr>
              <w:ind w:left="1480"/>
              <w:spacing w:after="0"/>
              <w:rPr>
                <w:sz w:val="20"/>
                <w:szCs w:val="20"/>
                <w:color w:val="auto"/>
              </w:rPr>
            </w:pPr>
            <w:r>
              <w:rPr>
                <w:rFonts w:ascii="Arial" w:cs="Arial" w:eastAsia="Arial" w:hAnsi="Arial"/>
                <w:sz w:val="18"/>
                <w:szCs w:val="18"/>
                <w:b w:val="1"/>
                <w:bCs w:val="1"/>
                <w:color w:val="auto"/>
              </w:rPr>
              <w:t>Prices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Life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63,142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29,849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29,849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17.48</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27,553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25,257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25,257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21.87</w:t>
            </w: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16.43 -21.87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145,801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Awards / Deferred Share Awards</w:t>
      </w:r>
    </w:p>
    <w:p>
      <w:pPr>
        <w:spacing w:after="0" w:line="225"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The following table presents the changes in restricted share and deferred share awards outstanding and related information for our employees during the years ended December 31, 2018, 2017 and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83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234"/>
        </w:trPr>
        <w:tc>
          <w:tcPr>
            <w:tcW w:w="834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1,313,564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584,283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(72,847)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1,298,372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1,655,067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(49,968)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2,861,775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(101,839)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3.69</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3,682,738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color w:val="auto"/>
        </w:rPr>
        <w:t>The weighted average grant date fair value per share for restricted share and deferred share awards granted during 2018, 2017 and 2016 was $3.42, $3.14 and $1.64, respectively. The total fair value of restricted share and deferred share awards vested during 2018, 2017 and 2016 was $3.8 million, $2.0 million and $0.6 million, respectively. At December 31, 2018, unrecognized compensation cost related to restricted share and deferred share awards was $7.5 million, which is expected to be recognized over a weighted average period of 1.8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Share Awards</w:t>
      </w:r>
    </w:p>
    <w:p>
      <w:pPr>
        <w:spacing w:after="0" w:line="225" w:lineRule="exact"/>
        <w:rPr>
          <w:sz w:val="20"/>
          <w:szCs w:val="20"/>
          <w:color w:val="auto"/>
        </w:rPr>
      </w:pPr>
    </w:p>
    <w:p>
      <w:pPr>
        <w:ind w:right="60" w:firstLine="459"/>
        <w:spacing w:after="0" w:line="264" w:lineRule="auto"/>
        <w:rPr>
          <w:sz w:val="20"/>
          <w:szCs w:val="20"/>
          <w:color w:val="auto"/>
        </w:rPr>
      </w:pPr>
      <w:r>
        <w:rPr>
          <w:rFonts w:ascii="Arial" w:cs="Arial" w:eastAsia="Arial" w:hAnsi="Arial"/>
          <w:sz w:val="18"/>
          <w:szCs w:val="18"/>
          <w:color w:val="auto"/>
        </w:rPr>
        <w:t>Each phantom share award is equal in value to one common share. Upon vesting, each recipient will receive a lump sum cash payment equal to the fair market value of a common share on the respective vesting date. These awards are accounted for as a liability that is remeasured at each reporting date until paid.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25" w:right="2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changes in phantom share awards outstanding and related information for our employees during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994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Awards</w:t>
            </w:r>
          </w:p>
        </w:tc>
      </w:tr>
      <w:tr>
        <w:trPr>
          <w:trHeight w:val="27"/>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2015</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1,798,200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6,831,957</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(608,230)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(1,751,963)</w:t>
            </w:r>
          </w:p>
        </w:tc>
      </w:tr>
      <w:tr>
        <w:trPr>
          <w:trHeight w:val="27"/>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6,269,964</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750,525</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(2,207,589)</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(263,161)</w:t>
            </w:r>
          </w:p>
        </w:tc>
      </w:tr>
      <w:tr>
        <w:trPr>
          <w:trHeight w:val="27"/>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2017</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4,549,739</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(2,270,214)</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(12,951)</w:t>
            </w:r>
          </w:p>
        </w:tc>
      </w:tr>
      <w:tr>
        <w:trPr>
          <w:trHeight w:val="27"/>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2018</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2,266,574</w:t>
            </w: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59"/>
        <w:spacing w:after="0" w:line="257" w:lineRule="auto"/>
        <w:rPr>
          <w:sz w:val="20"/>
          <w:szCs w:val="20"/>
          <w:color w:val="auto"/>
        </w:rPr>
      </w:pPr>
      <w:r>
        <w:rPr>
          <w:rFonts w:ascii="Arial" w:cs="Arial" w:eastAsia="Arial" w:hAnsi="Arial"/>
          <w:sz w:val="18"/>
          <w:szCs w:val="18"/>
          <w:color w:val="auto"/>
        </w:rPr>
        <w:t>At December 31, 2018, the balance of the liability for the phantom share awards was $2.5 million. For the years ended December 31, 2018, 2017 and 2016, we made phantom share cash payments of $8.2 million, $7.1 million and $0.5 million, respectively. At December 31, 2018, unrecognized compensation cost related to phantom shares was $0.7 million, as remeasured at December 31, 2018, which is expected to be recognized over a weighted average period of 0.6 years. The weighted average grant date fair value of phantom shares granted during the years ended December 31, 2018, 2017 and 2016 was zero, $3.27 and $0.91,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ind w:right="80" w:firstLine="459"/>
        <w:spacing w:after="0" w:line="273" w:lineRule="auto"/>
        <w:rPr>
          <w:sz w:val="20"/>
          <w:szCs w:val="20"/>
          <w:color w:val="auto"/>
        </w:rPr>
      </w:pPr>
      <w:r>
        <w:rPr>
          <w:rFonts w:ascii="Arial" w:cs="Arial" w:eastAsia="Arial" w:hAnsi="Arial"/>
          <w:sz w:val="17"/>
          <w:szCs w:val="17"/>
          <w:color w:val="auto"/>
        </w:rPr>
        <w:t>The fair value of each performance share award was estimated using a Monte Carlo simulation pricing model that uses the assumptions noted in the following table. The risk-free interest rate is based on the U.S. Treasury yield curve in effect for the expected term of the performance share at the time of grant. The dividend yield on our common shares was assumed to be zero since we do not currently pay dividends. The expected market price volatility of our common shares was based on an estimate that considers the historical and implied volatility of our common shares as well as a peer group of companies over a time period equal to the expected term of the option. The initial total shareholder return (TSR) performance was based on historical performance of our common shares and the peer group’s common shares.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7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39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weighted interest rate</w:t>
            </w:r>
          </w:p>
        </w:tc>
        <w:tc>
          <w:tcPr>
            <w:tcW w:w="3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780" w:type="dxa"/>
            <w:vAlign w:val="bottom"/>
            <w:gridSpan w:val="2"/>
          </w:tcPr>
          <w:p>
            <w:pPr>
              <w:jc w:val="right"/>
              <w:ind w:right="40"/>
              <w:spacing w:after="0"/>
              <w:rPr>
                <w:sz w:val="20"/>
                <w:szCs w:val="20"/>
                <w:color w:val="auto"/>
              </w:rPr>
            </w:pPr>
            <w:r>
              <w:rPr>
                <w:rFonts w:ascii="Arial" w:cs="Arial" w:eastAsia="Arial" w:hAnsi="Arial"/>
                <w:sz w:val="18"/>
                <w:szCs w:val="18"/>
                <w:color w:val="auto"/>
              </w:rPr>
              <w:t>79.0 %</w:t>
            </w:r>
          </w:p>
        </w:tc>
        <w:tc>
          <w:tcPr>
            <w:tcW w:w="100" w:type="dxa"/>
            <w:vAlign w:val="bottom"/>
          </w:tcPr>
          <w:p>
            <w:pPr>
              <w:spacing w:after="0"/>
              <w:rPr>
                <w:sz w:val="21"/>
                <w:szCs w:val="21"/>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90.0%</w:t>
            </w: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7"/>
        </w:trPr>
        <w:tc>
          <w:tcPr>
            <w:tcW w:w="39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TSR</w:t>
            </w:r>
          </w:p>
        </w:tc>
        <w:tc>
          <w:tcPr>
            <w:tcW w:w="3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0.04%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675"/>
        </w:trPr>
        <w:tc>
          <w:tcPr>
            <w:tcW w:w="3940" w:type="dxa"/>
            <w:vAlign w:val="bottom"/>
          </w:tcPr>
          <w:p>
            <w:pPr>
              <w:spacing w:after="0"/>
              <w:rPr>
                <w:sz w:val="24"/>
                <w:szCs w:val="24"/>
                <w:color w:val="auto"/>
              </w:rPr>
            </w:pPr>
          </w:p>
        </w:tc>
        <w:tc>
          <w:tcPr>
            <w:tcW w:w="2540" w:type="dxa"/>
            <w:vAlign w:val="bottom"/>
          </w:tcPr>
          <w:p>
            <w:pPr>
              <w:jc w:val="right"/>
              <w:ind w:right="550"/>
              <w:spacing w:after="0"/>
              <w:rPr>
                <w:sz w:val="20"/>
                <w:szCs w:val="20"/>
                <w:color w:val="auto"/>
              </w:rPr>
            </w:pPr>
            <w:r>
              <w:rPr>
                <w:rFonts w:ascii="Arial" w:cs="Arial" w:eastAsia="Arial" w:hAnsi="Arial"/>
                <w:sz w:val="18"/>
                <w:szCs w:val="18"/>
                <w:color w:val="auto"/>
              </w:rPr>
              <w:t>118</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in performance share awards outstanding and related information for our employees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83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234"/>
        </w:trPr>
        <w:tc>
          <w:tcPr>
            <w:tcW w:w="834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2015</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2,400,606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(448,922)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762,497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(38,699)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2,675,482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848,830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5.30</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3,524,312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firstLine="459"/>
        <w:spacing w:after="0" w:line="264" w:lineRule="auto"/>
        <w:rPr>
          <w:sz w:val="20"/>
          <w:szCs w:val="20"/>
          <w:color w:val="auto"/>
        </w:rPr>
      </w:pPr>
      <w:r>
        <w:rPr>
          <w:rFonts w:ascii="Arial" w:cs="Arial" w:eastAsia="Arial" w:hAnsi="Arial"/>
          <w:sz w:val="18"/>
          <w:szCs w:val="18"/>
          <w:color w:val="auto"/>
        </w:rPr>
        <w:t>During the years ended December 31, 2018, 2017 and 2016, we recognized compensation expense associated with performance share awards totaling $4.6 million, $3.0 million and $1.9 million, respectively. At December 31, 2018, unrecognized compensation cost related to performance share awards was $5.0 million, which is expected to be recognized over a weighted average period of 1.7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AND RELATED INFORMATION</w:t>
      </w:r>
    </w:p>
    <w:p>
      <w:pPr>
        <w:spacing w:after="0" w:line="229" w:lineRule="exact"/>
        <w:rPr>
          <w:sz w:val="20"/>
          <w:szCs w:val="20"/>
          <w:color w:val="auto"/>
        </w:rPr>
      </w:pPr>
    </w:p>
    <w:p>
      <w:pPr>
        <w:ind w:right="140" w:firstLine="459"/>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Canada, Australia and U.S., which represent our strategic focus on workforce accommodations.</w:t>
      </w:r>
    </w:p>
    <w:p>
      <w:pPr>
        <w:spacing w:after="0" w:line="147" w:lineRule="exact"/>
        <w:rPr>
          <w:sz w:val="20"/>
          <w:szCs w:val="20"/>
          <w:color w:val="auto"/>
        </w:rPr>
      </w:pPr>
    </w:p>
    <w:p>
      <w:pPr>
        <w:ind w:right="180" w:firstLine="459"/>
        <w:spacing w:after="0" w:line="277" w:lineRule="auto"/>
        <w:rPr>
          <w:sz w:val="20"/>
          <w:szCs w:val="20"/>
          <w:color w:val="auto"/>
        </w:rPr>
      </w:pPr>
      <w:r>
        <w:rPr>
          <w:rFonts w:ascii="Arial" w:cs="Arial" w:eastAsia="Arial" w:hAnsi="Arial"/>
          <w:sz w:val="18"/>
          <w:szCs w:val="18"/>
          <w:color w:val="auto"/>
        </w:rPr>
        <w:t>Financial information by business segment for each of the three years ended December 31, 2018, 2017 and 2016 is summarized in the following table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Depreciation and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Revenues</w:t>
            </w: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amortization</w:t>
            </w:r>
          </w:p>
        </w:tc>
        <w:tc>
          <w:tcPr>
            <w:tcW w:w="18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loss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expenditures</w:t>
            </w:r>
          </w:p>
        </w:tc>
        <w:tc>
          <w:tcPr>
            <w:tcW w:w="220" w:type="dxa"/>
            <w:vAlign w:val="bottom"/>
          </w:tcPr>
          <w:p>
            <w:pPr>
              <w:spacing w:after="0"/>
              <w:rPr>
                <w:sz w:val="18"/>
                <w:szCs w:val="18"/>
                <w:color w:val="auto"/>
              </w:rPr>
            </w:pPr>
          </w:p>
        </w:tc>
        <w:tc>
          <w:tcPr>
            <w:tcW w:w="12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Total assets</w:t>
            </w:r>
          </w:p>
        </w:tc>
      </w:tr>
      <w:tr>
        <w:trPr>
          <w:trHeight w:val="33"/>
        </w:trPr>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296,012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66,980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(61,487)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804,618</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292,271</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60,282</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(155,494)</w:t>
            </w:r>
          </w:p>
        </w:tc>
      </w:tr>
      <w:tr>
        <w:trPr>
          <w:trHeight w:val="297"/>
        </w:trPr>
        <w:tc>
          <w:tcPr>
            <w:tcW w:w="2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466,692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125,846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17,108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1,001,677</w:t>
            </w:r>
          </w:p>
        </w:tc>
      </w:tr>
      <w:tr>
        <w:trPr>
          <w:trHeight w:val="163"/>
        </w:trPr>
        <w:tc>
          <w:tcPr>
            <w:tcW w:w="2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550,378</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111,221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45,699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353,840</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33,128</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Corporate and eliminations</w:t>
            </w: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(83,434)</w:t>
            </w:r>
          </w:p>
        </w:tc>
      </w:tr>
      <w:tr>
        <w:trPr>
          <w:trHeight w:val="27"/>
        </w:trPr>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126,443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853,912</w:t>
            </w:r>
          </w:p>
        </w:tc>
      </w:tr>
      <w:tr>
        <w:trPr>
          <w:trHeight w:val="20"/>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3"/>
        </w:trPr>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278,464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80,837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(59,351)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548,786</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376,008</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29,799</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(44,147)</w:t>
            </w:r>
          </w:p>
        </w:tc>
      </w:tr>
      <w:tr>
        <w:trPr>
          <w:trHeight w:val="257"/>
        </w:trPr>
        <w:tc>
          <w:tcPr>
            <w:tcW w:w="276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397,230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131,302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19,779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910,446</w:t>
            </w:r>
          </w:p>
        </w:tc>
      </w:tr>
      <w:tr>
        <w:trPr>
          <w:trHeight w:val="20"/>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59"/>
        <w:spacing w:after="0" w:line="259" w:lineRule="auto"/>
        <w:rPr>
          <w:sz w:val="20"/>
          <w:szCs w:val="20"/>
          <w:color w:val="auto"/>
        </w:rPr>
      </w:pPr>
      <w:r>
        <w:rPr>
          <w:rFonts w:ascii="Arial" w:cs="Arial" w:eastAsia="Arial" w:hAnsi="Arial"/>
          <w:sz w:val="18"/>
          <w:szCs w:val="18"/>
          <w:color w:val="auto"/>
        </w:rPr>
        <w:t>Financial information by geographic segment for each of the three years ended December 31, 2018, 2017 and 2016, is summarized below (in thousands). Revenues in the U.S.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U.S. 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Canada</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Australia</w:t>
            </w:r>
          </w:p>
        </w:tc>
        <w:tc>
          <w:tcPr>
            <w:tcW w:w="2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 from unaffiliated customers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296,012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119,238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51,442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466,692</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580,644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893,880</w:t>
            </w:r>
          </w:p>
        </w:tc>
      </w:tr>
      <w:tr>
        <w:trPr>
          <w:trHeight w:val="176"/>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 from unaffiliated customers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245,595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111,221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25,460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382,276</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717,501</w:t>
            </w:r>
          </w:p>
        </w:tc>
      </w:tr>
      <w:tr>
        <w:trPr>
          <w:trHeight w:val="176"/>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 from unaffiliated customers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278,464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106,815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11,951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397,230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826,765</w:t>
            </w:r>
          </w:p>
        </w:tc>
      </w:tr>
      <w:tr>
        <w:trPr>
          <w:trHeight w:val="67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VALUATION ACCOUNTS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in the valuation accounts was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Charged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Balance at</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(Reduction) to</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Deductions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220" w:type="dxa"/>
            <w:vAlign w:val="bottom"/>
          </w:tcPr>
          <w:p>
            <w:pPr>
              <w:spacing w:after="0"/>
              <w:rPr>
                <w:sz w:val="17"/>
                <w:szCs w:val="17"/>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87"/>
              </w:rPr>
              <w:t>Balance</w:t>
            </w: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Beginning</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Costs and</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(Net of</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and Other,</w:t>
            </w:r>
          </w:p>
        </w:tc>
        <w:tc>
          <w:tcPr>
            <w:tcW w:w="22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Arial" w:cs="Arial" w:eastAsia="Arial" w:hAnsi="Arial"/>
                <w:sz w:val="16"/>
                <w:szCs w:val="16"/>
                <w:b w:val="1"/>
                <w:bCs w:val="1"/>
                <w:color w:val="auto"/>
                <w:w w:val="93"/>
              </w:rPr>
              <w:t>at End of</w:t>
            </w:r>
          </w:p>
        </w:tc>
      </w:tr>
      <w:tr>
        <w:trPr>
          <w:trHeight w:val="210"/>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of Period</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Expenses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Recoveries)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220" w:type="dxa"/>
            <w:vAlign w:val="bottom"/>
          </w:tcPr>
          <w:p>
            <w:pPr>
              <w:spacing w:after="0"/>
              <w:rPr>
                <w:sz w:val="18"/>
                <w:szCs w:val="18"/>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Allowance for doubtful 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376</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82,833</w:t>
            </w:r>
          </w:p>
        </w:tc>
      </w:tr>
      <w:tr>
        <w:trPr>
          <w:trHeight w:val="176"/>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Allowance for doubtful 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1,338</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90,663</w:t>
            </w:r>
          </w:p>
        </w:tc>
      </w:tr>
      <w:tr>
        <w:trPr>
          <w:trHeight w:val="176"/>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Allowance for doubtful 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638</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115,087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76,157</w:t>
            </w:r>
          </w:p>
        </w:tc>
      </w:tr>
      <w:tr>
        <w:trPr>
          <w:trHeight w:val="27"/>
        </w:trPr>
        <w:tc>
          <w:tcPr>
            <w:tcW w:w="4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INFORMATION (UNAUDITED)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quarterly financial information for 2018 and 2017 (in thousands,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First</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Second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Third</w:t>
            </w:r>
          </w:p>
        </w:tc>
        <w:tc>
          <w:tcPr>
            <w:tcW w:w="22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Fourth</w:t>
            </w:r>
          </w:p>
        </w:tc>
      </w:tr>
      <w:tr>
        <w:trPr>
          <w:trHeight w:val="261"/>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center"/>
              <w:ind w:right="340"/>
              <w:spacing w:after="0" w:line="262" w:lineRule="exact"/>
              <w:rPr>
                <w:sz w:val="20"/>
                <w:szCs w:val="20"/>
                <w:color w:val="auto"/>
              </w:rPr>
            </w:pPr>
            <w:r>
              <w:rPr>
                <w:rFonts w:ascii="Arial" w:cs="Arial" w:eastAsia="Arial" w:hAnsi="Arial"/>
                <w:sz w:val="18"/>
                <w:szCs w:val="18"/>
                <w:b w:val="1"/>
                <w:bCs w:val="1"/>
                <w:color w:val="auto"/>
                <w:w w:val="90"/>
              </w:rPr>
              <w:t xml:space="preserve">Quarter </w:t>
            </w:r>
            <w:r>
              <w:rPr>
                <w:rFonts w:ascii="Arial" w:cs="Arial" w:eastAsia="Arial" w:hAnsi="Arial"/>
                <w:sz w:val="25"/>
                <w:szCs w:val="25"/>
                <w:b w:val="1"/>
                <w:bCs w:val="1"/>
                <w:color w:val="auto"/>
                <w:w w:val="90"/>
                <w:vertAlign w:val="superscript"/>
              </w:rPr>
              <w:t>(2)</w:t>
            </w:r>
          </w:p>
        </w:tc>
        <w:tc>
          <w:tcPr>
            <w:tcW w:w="220" w:type="dxa"/>
            <w:vAlign w:val="bottom"/>
          </w:tcPr>
          <w:p>
            <w:pPr>
              <w:spacing w:after="0"/>
              <w:rPr>
                <w:sz w:val="22"/>
                <w:szCs w:val="22"/>
                <w:color w:val="auto"/>
              </w:rPr>
            </w:pPr>
          </w:p>
        </w:tc>
        <w:tc>
          <w:tcPr>
            <w:tcW w:w="1360" w:type="dxa"/>
            <w:vAlign w:val="bottom"/>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90"/>
              </w:rPr>
              <w:t xml:space="preserve">Quarter </w:t>
            </w:r>
            <w:r>
              <w:rPr>
                <w:rFonts w:ascii="Arial" w:cs="Arial" w:eastAsia="Arial" w:hAnsi="Arial"/>
                <w:sz w:val="25"/>
                <w:szCs w:val="25"/>
                <w:b w:val="1"/>
                <w:bCs w:val="1"/>
                <w:color w:val="auto"/>
                <w:w w:val="90"/>
                <w:vertAlign w:val="superscript"/>
              </w:rPr>
              <w:t>(3)</w:t>
            </w:r>
          </w:p>
        </w:tc>
        <w:tc>
          <w:tcPr>
            <w:tcW w:w="220" w:type="dxa"/>
            <w:vAlign w:val="bottom"/>
          </w:tcPr>
          <w:p>
            <w:pPr>
              <w:spacing w:after="0"/>
              <w:rPr>
                <w:sz w:val="22"/>
                <w:szCs w:val="22"/>
                <w:color w:val="auto"/>
              </w:rPr>
            </w:pPr>
          </w:p>
        </w:tc>
        <w:tc>
          <w:tcPr>
            <w:tcW w:w="1360" w:type="dxa"/>
            <w:vAlign w:val="bottom"/>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90"/>
              </w:rPr>
              <w:t xml:space="preserve">Quarter </w:t>
            </w:r>
            <w:r>
              <w:rPr>
                <w:rFonts w:ascii="Arial" w:cs="Arial" w:eastAsia="Arial" w:hAnsi="Arial"/>
                <w:sz w:val="25"/>
                <w:szCs w:val="25"/>
                <w:b w:val="1"/>
                <w:bCs w:val="1"/>
                <w:color w:val="auto"/>
                <w:w w:val="90"/>
                <w:vertAlign w:val="superscript"/>
              </w:rPr>
              <w:t>(4)</w:t>
            </w:r>
          </w:p>
        </w:tc>
        <w:tc>
          <w:tcPr>
            <w:tcW w:w="220" w:type="dxa"/>
            <w:vAlign w:val="bottom"/>
          </w:tcPr>
          <w:p>
            <w:pPr>
              <w:spacing w:after="0"/>
              <w:rPr>
                <w:sz w:val="22"/>
                <w:szCs w:val="22"/>
                <w:color w:val="auto"/>
              </w:rPr>
            </w:pPr>
          </w:p>
        </w:tc>
        <w:tc>
          <w:tcPr>
            <w:tcW w:w="1260" w:type="dxa"/>
            <w:vAlign w:val="bottom"/>
          </w:tcPr>
          <w:p>
            <w:pPr>
              <w:jc w:val="right"/>
              <w:ind w:right="230"/>
              <w:spacing w:after="0" w:line="262" w:lineRule="exact"/>
              <w:rPr>
                <w:sz w:val="20"/>
                <w:szCs w:val="20"/>
                <w:color w:val="auto"/>
              </w:rPr>
            </w:pPr>
            <w:r>
              <w:rPr>
                <w:rFonts w:ascii="Arial" w:cs="Arial" w:eastAsia="Arial" w:hAnsi="Arial"/>
                <w:sz w:val="18"/>
                <w:szCs w:val="18"/>
                <w:b w:val="1"/>
                <w:bCs w:val="1"/>
                <w:color w:val="auto"/>
              </w:rPr>
              <w:t xml:space="preserve">Quarter </w:t>
            </w:r>
            <w:r>
              <w:rPr>
                <w:rFonts w:ascii="Arial" w:cs="Arial" w:eastAsia="Arial" w:hAnsi="Arial"/>
                <w:sz w:val="25"/>
                <w:szCs w:val="25"/>
                <w:b w:val="1"/>
                <w:bCs w:val="1"/>
                <w:color w:val="auto"/>
                <w:vertAlign w:val="superscript"/>
              </w:rPr>
              <w:t>(5)</w:t>
            </w: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101,504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130,177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120,491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114,520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profit</w:t>
            </w:r>
            <w:r>
              <w:rPr>
                <w:rFonts w:ascii="Arial" w:cs="Arial" w:eastAsia="Arial" w:hAnsi="Arial"/>
                <w:sz w:val="14"/>
                <w:szCs w:val="14"/>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31,956</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Net loss attributable to Civeo</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(13,804)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Diluted loss per share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6"/>
        </w:trPr>
        <w:tc>
          <w:tcPr>
            <w:tcW w:w="5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101,348</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Gross profit</w:t>
            </w: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29,757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32,526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31,962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30,773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attributable to Civeo</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(47,579)</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Basic loss per share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loss per share</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7"/>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hanging="324"/>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"revenues" less "product costs" and "service and other costs" included in our consolidated statements of operations.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first quarter of 2018, we recognized the following items:</w:t>
      </w:r>
    </w:p>
    <w:p>
      <w:pPr>
        <w:spacing w:after="0" w:line="23" w:lineRule="exact"/>
        <w:rPr>
          <w:rFonts w:ascii="Arial" w:cs="Arial" w:eastAsia="Arial" w:hAnsi="Arial"/>
          <w:sz w:val="18"/>
          <w:szCs w:val="18"/>
          <w:color w:val="auto"/>
        </w:rPr>
      </w:pPr>
    </w:p>
    <w:p>
      <w:pPr>
        <w:ind w:left="980" w:right="140" w:hanging="324"/>
        <w:spacing w:after="0" w:line="250" w:lineRule="auto"/>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charge of $28.7 million ($20.9 million after-tax, or $0.16 per diluted share), related to certain lodge assets in the Canadian oil sands which carrying values we determined not to be recoverable. The charge, which is related to our Canadian segment, is included in Impairment expense on the accompanying consolidated statements of operations.</w:t>
      </w:r>
    </w:p>
    <w:p>
      <w:pPr>
        <w:spacing w:after="0" w:line="1" w:lineRule="exact"/>
        <w:rPr>
          <w:rFonts w:ascii="Arial" w:cs="Arial" w:eastAsia="Arial" w:hAnsi="Arial"/>
          <w:sz w:val="18"/>
          <w:szCs w:val="18"/>
          <w:color w:val="auto"/>
        </w:rPr>
      </w:pPr>
    </w:p>
    <w:p>
      <w:pPr>
        <w:ind w:left="980" w:right="40" w:hanging="324"/>
        <w:spacing w:after="0" w:line="261" w:lineRule="auto"/>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Costs associated with the Noralta Acquisition of $1.0 million ($1.0 million after-tax, or $0.01 per diluted share), included in Selling, general and administrative expenses on the accompanying consolidated statements of operations.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first quarter of 2017, there were no significant items recognized.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In the second quarter of 2018, we recognized the following items: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80" w:hanging="324"/>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Costs associated with the Noralta Acquisition of $5.6 million ($5.1 million after-tax, or $0.03 per diluted share), included primarily in Selling, general and administrative expenses on the accompanying consolidated statements of operations.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second quarter of 2017, there were no significant items recognized.</w:t>
      </w:r>
    </w:p>
    <w:p>
      <w:pPr>
        <w:spacing w:after="0" w:line="225" w:lineRule="exact"/>
        <w:rPr>
          <w:sz w:val="20"/>
          <w:szCs w:val="20"/>
          <w:color w:val="auto"/>
        </w:rPr>
      </w:pPr>
    </w:p>
    <w:p>
      <w:pPr>
        <w:ind w:left="440" w:hanging="324"/>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third quarter of 2018, we recognized the following items:</w:t>
      </w:r>
    </w:p>
    <w:p>
      <w:pPr>
        <w:spacing w:after="0" w:line="23" w:lineRule="exact"/>
        <w:rPr>
          <w:rFonts w:ascii="Arial" w:cs="Arial" w:eastAsia="Arial" w:hAnsi="Arial"/>
          <w:sz w:val="18"/>
          <w:szCs w:val="18"/>
          <w:color w:val="auto"/>
        </w:rPr>
      </w:pPr>
    </w:p>
    <w:p>
      <w:pPr>
        <w:ind w:left="980" w:right="180" w:hanging="324"/>
        <w:spacing w:after="0" w:line="261"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Costs associated with the Noralta Acquisition of $0.5 million ($0.4 million after-tax, or $0.00 per diluted share), included primarily in Selling, general and administrative expenses on the accompanying consolidated statements of operations.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third quarter of 2017, we recognized the following items:</w:t>
      </w:r>
    </w:p>
    <w:p>
      <w:pPr>
        <w:spacing w:after="0" w:line="23" w:lineRule="exact"/>
        <w:rPr>
          <w:sz w:val="20"/>
          <w:szCs w:val="20"/>
          <w:color w:val="auto"/>
        </w:rPr>
      </w:pPr>
    </w:p>
    <w:p>
      <w:pPr>
        <w:ind w:left="980" w:right="140" w:hanging="324"/>
        <w:spacing w:after="0" w:line="277" w:lineRule="auto"/>
        <w:tabs>
          <w:tab w:leader="none" w:pos="98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 charge of $4.4 million ($3.2 million after-tax, or $0.02 per diluted share), related to leasehold improvements and undeveloped land positions in the British Columbia LNG market which carrying value we determined not to be recoverable. The charge, which is related to our Canadian segment, is included in Impairment expense on the accompanying consolidated statements of operations.</w:t>
      </w:r>
    </w:p>
    <w:p>
      <w:pPr>
        <w:spacing w:after="0" w:line="173" w:lineRule="exact"/>
        <w:rPr>
          <w:rFonts w:ascii="Arial" w:cs="Arial" w:eastAsia="Arial" w:hAnsi="Arial"/>
          <w:sz w:val="17"/>
          <w:szCs w:val="17"/>
          <w:color w:val="auto"/>
        </w:rPr>
      </w:pPr>
    </w:p>
    <w:p>
      <w:pPr>
        <w:ind w:left="440" w:hanging="324"/>
        <w:spacing w:after="0"/>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fourth quarter of 2018, we recognized the following items:</w:t>
      </w:r>
    </w:p>
    <w:p>
      <w:pPr>
        <w:spacing w:after="0" w:line="23" w:lineRule="exact"/>
        <w:rPr>
          <w:rFonts w:ascii="Arial" w:cs="Arial" w:eastAsia="Arial" w:hAnsi="Arial"/>
          <w:sz w:val="18"/>
          <w:szCs w:val="18"/>
          <w:color w:val="auto"/>
        </w:rPr>
      </w:pPr>
    </w:p>
    <w:p>
      <w:pPr>
        <w:ind w:left="980" w:right="180" w:hanging="324"/>
        <w:spacing w:after="0" w:line="250"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Costs associated with the Noralta Acquisition of $2.1 million ($1.7 million after-tax, or $0.01 per diluted share), included in Service and other costs ($0.6 million), Selling, general and administrative expenses ($0.6 million) and Other income ($0.9 million) on the accompanying consolidated statements of operations.</w:t>
      </w:r>
    </w:p>
    <w:p>
      <w:pPr>
        <w:spacing w:after="0" w:line="1" w:lineRule="exact"/>
        <w:rPr>
          <w:rFonts w:ascii="Arial" w:cs="Arial" w:eastAsia="Arial" w:hAnsi="Arial"/>
          <w:sz w:val="18"/>
          <w:szCs w:val="18"/>
          <w:color w:val="auto"/>
        </w:rPr>
      </w:pPr>
    </w:p>
    <w:p>
      <w:pPr>
        <w:ind w:left="980" w:hanging="324"/>
        <w:spacing w:after="0" w:line="255"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Reversal of depreciation expense of $2.8 million that should not have been recorded in the first, second and third quarters of 2018. We determined that the overstatement of depreciation expense was not material to our financial statements for the periods ended September 30, June 30 or March 31, 2018 and therefore corrected the error in the fourth quarter of 2018.</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fourth quarter of 2017, we recognized the following items:</w:t>
      </w:r>
    </w:p>
    <w:p>
      <w:pPr>
        <w:spacing w:after="0" w:line="23" w:lineRule="exact"/>
        <w:rPr>
          <w:sz w:val="20"/>
          <w:szCs w:val="20"/>
          <w:color w:val="auto"/>
        </w:rPr>
      </w:pPr>
    </w:p>
    <w:p>
      <w:pPr>
        <w:ind w:left="980" w:right="20" w:hanging="324"/>
        <w:spacing w:after="0" w:line="250"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Costs associated with the Noralta Acquisition of $2.3 million ($2.2 million after-tax, or $0.02 per diluted share), included in Selling, general and administrative expenses on the accompanying consolidated statements of operations.</w:t>
      </w:r>
    </w:p>
    <w:p>
      <w:pPr>
        <w:ind w:left="980" w:right="120" w:hanging="324"/>
        <w:spacing w:after="0" w:line="255"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charge of $27.2 million ($19.9 million after-tax, or $0.15 per diluted share), related to certain lodge assets in the southern oil sands which carrying values we determined not to be recoverable. The charge, which is related to our Canadian segment, is included in Impairment expense on the accompanying consolidated statements of operations.</w:t>
      </w:r>
    </w:p>
    <w:p>
      <w:pPr>
        <w:spacing w:after="0" w:line="190" w:lineRule="exact"/>
        <w:rPr>
          <w:sz w:val="20"/>
          <w:szCs w:val="20"/>
          <w:color w:val="auto"/>
        </w:rPr>
      </w:pPr>
    </w:p>
    <w:p>
      <w:pPr>
        <w:ind w:right="60" w:firstLine="392"/>
        <w:spacing w:after="0" w:line="277" w:lineRule="auto"/>
        <w:rPr>
          <w:sz w:val="20"/>
          <w:szCs w:val="20"/>
          <w:color w:val="auto"/>
        </w:rPr>
      </w:pPr>
      <w:r>
        <w:rPr>
          <w:rFonts w:ascii="Arial" w:cs="Arial" w:eastAsia="Arial" w:hAnsi="Arial"/>
          <w:sz w:val="18"/>
          <w:szCs w:val="18"/>
          <w:color w:val="auto"/>
        </w:rPr>
        <w:t>Amounts are calculated independently for each of the quarters presented. Therefore, the sum of the quarterly amounts may not equal the total calculated for the year.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125" w:right="259" w:bottom="1440" w:gutter="0" w:footer="0" w:header="0"/>
        </w:sectPr>
      </w:pPr>
    </w:p>
    <w:bookmarkStart w:id="125" w:name="page126"/>
    <w:bookmarkEnd w:id="125"/>
    <w:p>
      <w:pPr>
        <w:jc w:val="center"/>
        <w:ind w:right="40"/>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SHARE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AGREEMENT is made as of the ___ day of _____________ (the “</w:t>
      </w:r>
      <w:r>
        <w:rPr>
          <w:rFonts w:ascii="Arial" w:cs="Arial" w:eastAsia="Arial" w:hAnsi="Arial"/>
          <w:sz w:val="17"/>
          <w:szCs w:val="17"/>
          <w:b w:val="1"/>
          <w:bCs w:val="1"/>
          <w:color w:val="auto"/>
        </w:rPr>
        <w:t>Effective Date</w:t>
      </w:r>
      <w:r>
        <w:rPr>
          <w:rFonts w:ascii="Arial" w:cs="Arial" w:eastAsia="Arial" w:hAnsi="Arial"/>
          <w:sz w:val="17"/>
          <w:szCs w:val="17"/>
          <w:color w:val="auto"/>
        </w:rPr>
        <w:t>”) between Civeo Corporation, a British Columbia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_________________ (“</w:t>
      </w:r>
      <w:r>
        <w:rPr>
          <w:rFonts w:ascii="Arial" w:cs="Arial" w:eastAsia="Arial" w:hAnsi="Arial"/>
          <w:sz w:val="18"/>
          <w:szCs w:val="18"/>
          <w:b w:val="1"/>
          <w:bCs w:val="1"/>
          <w:color w:val="auto"/>
        </w:rPr>
        <w:t>Director</w:t>
      </w:r>
      <w:r>
        <w:rPr>
          <w:rFonts w:ascii="Arial" w:cs="Arial" w:eastAsia="Arial" w:hAnsi="Arial"/>
          <w:sz w:val="18"/>
          <w:szCs w:val="18"/>
          <w:color w:val="auto"/>
        </w:rPr>
        <w:t>”).</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To carry out the purposes of the Civeo Corporation 2014 Equity Participation Plan (as the same may be amended, the “</w:t>
      </w:r>
      <w:r>
        <w:rPr>
          <w:rFonts w:ascii="Arial" w:cs="Arial" w:eastAsia="Arial" w:hAnsi="Arial"/>
          <w:sz w:val="18"/>
          <w:szCs w:val="18"/>
          <w:b w:val="1"/>
          <w:bCs w:val="1"/>
          <w:color w:val="auto"/>
        </w:rPr>
        <w:t>Plan</w:t>
      </w:r>
      <w:r>
        <w:rPr>
          <w:rFonts w:ascii="Arial" w:cs="Arial" w:eastAsia="Arial" w:hAnsi="Arial"/>
          <w:sz w:val="18"/>
          <w:szCs w:val="18"/>
          <w:color w:val="auto"/>
        </w:rPr>
        <w:t>”), by affording Director the opportunity to acquire shares of common stock of the Company (“</w:t>
      </w:r>
      <w:r>
        <w:rPr>
          <w:rFonts w:ascii="Arial" w:cs="Arial" w:eastAsia="Arial" w:hAnsi="Arial"/>
          <w:sz w:val="18"/>
          <w:szCs w:val="18"/>
          <w:b w:val="1"/>
          <w:bCs w:val="1"/>
          <w:color w:val="auto"/>
        </w:rPr>
        <w:t>Stock</w:t>
      </w:r>
      <w:r>
        <w:rPr>
          <w:rFonts w:ascii="Arial" w:cs="Arial" w:eastAsia="Arial" w:hAnsi="Arial"/>
          <w:sz w:val="18"/>
          <w:szCs w:val="18"/>
          <w:color w:val="auto"/>
        </w:rPr>
        <w:t>”), and in consideration of the mutual agreements and other matters set forth herein and in the Plan, the Company and Director hereby agree as follows:</w:t>
      </w:r>
    </w:p>
    <w:p>
      <w:pPr>
        <w:spacing w:after="0" w:line="180" w:lineRule="exact"/>
        <w:rPr>
          <w:sz w:val="20"/>
          <w:szCs w:val="20"/>
          <w:color w:val="auto"/>
        </w:rPr>
      </w:pPr>
    </w:p>
    <w:p>
      <w:pPr>
        <w:jc w:val="both"/>
        <w:ind w:firstLine="656"/>
        <w:spacing w:after="0" w:line="279" w:lineRule="auto"/>
        <w:tabs>
          <w:tab w:leader="none" w:pos="1054" w:val="left"/>
        </w:tabs>
        <w:numPr>
          <w:ilvl w:val="1"/>
          <w:numId w:val="76"/>
        </w:numPr>
        <w:rPr>
          <w:rFonts w:ascii="Arial" w:cs="Arial" w:eastAsia="Arial" w:hAnsi="Arial"/>
          <w:sz w:val="17"/>
          <w:szCs w:val="17"/>
          <w:color w:val="auto"/>
        </w:rPr>
      </w:pPr>
      <w:r>
        <w:rPr>
          <w:rFonts w:ascii="Arial" w:cs="Arial" w:eastAsia="Arial" w:hAnsi="Arial"/>
          <w:sz w:val="17"/>
          <w:szCs w:val="17"/>
          <w:color w:val="auto"/>
        </w:rPr>
        <w:t>AWARD OF DEFERRED SHARES. Upon execution of this Agreement, the Company shall issue _____ Deferred Shares and any applicable Dividend Equivalents (as provided in Section 5 below) to Director. Director acknowledges receipt of a copy of the Plan, and agrees that this award of Deferred Shares shall be subject to all of the terms and conditions set forth herein and in the Plan, which Plan is incorporated herein by reference as a part of this Agreement. In the event of any conflict between the terms of this Agreement and the Plan, the terms of the Plan shall govern.</w:t>
      </w:r>
    </w:p>
    <w:p>
      <w:pPr>
        <w:spacing w:after="0" w:line="167" w:lineRule="exact"/>
        <w:rPr>
          <w:rFonts w:ascii="Arial" w:cs="Arial" w:eastAsia="Arial" w:hAnsi="Arial"/>
          <w:sz w:val="17"/>
          <w:szCs w:val="17"/>
          <w:color w:val="auto"/>
        </w:rPr>
      </w:pPr>
    </w:p>
    <w:p>
      <w:pPr>
        <w:jc w:val="both"/>
        <w:ind w:firstLine="656"/>
        <w:spacing w:after="0" w:line="274" w:lineRule="auto"/>
        <w:tabs>
          <w:tab w:leader="none" w:pos="1089" w:val="left"/>
        </w:tabs>
        <w:numPr>
          <w:ilvl w:val="1"/>
          <w:numId w:val="76"/>
        </w:numPr>
        <w:rPr>
          <w:rFonts w:ascii="Arial" w:cs="Arial" w:eastAsia="Arial" w:hAnsi="Arial"/>
          <w:sz w:val="17"/>
          <w:szCs w:val="17"/>
          <w:color w:val="auto"/>
        </w:rPr>
      </w:pPr>
      <w:r>
        <w:rPr>
          <w:rFonts w:ascii="Arial" w:cs="Arial" w:eastAsia="Arial" w:hAnsi="Arial"/>
          <w:sz w:val="17"/>
          <w:szCs w:val="17"/>
          <w:color w:val="auto"/>
        </w:rPr>
        <w:t>RIGHTS ATTACHING TO DEFERRED SHARES. As used herein, the term “</w:t>
      </w:r>
      <w:r>
        <w:rPr>
          <w:rFonts w:ascii="Arial" w:cs="Arial" w:eastAsia="Arial" w:hAnsi="Arial"/>
          <w:sz w:val="17"/>
          <w:szCs w:val="17"/>
          <w:b w:val="1"/>
          <w:bCs w:val="1"/>
          <w:color w:val="auto"/>
        </w:rPr>
        <w:t>Deferred Share</w:t>
      </w:r>
      <w:r>
        <w:rPr>
          <w:rFonts w:ascii="Arial" w:cs="Arial" w:eastAsia="Arial" w:hAnsi="Arial"/>
          <w:sz w:val="17"/>
          <w:szCs w:val="17"/>
          <w:color w:val="auto"/>
        </w:rPr>
        <w:t>” means an unfunded and unsecured right to acquire a common share in the Company upon satisfaction of the Forfeiture Restrictions contained herein and in accordance with the settlement provisions described below. Director shall have no rights as a shareholder of the Company, no dividend rights, and no voting rights with respect to the Deferred Shares or any share underlying the Deferred Shares or issuable in respect of such Deferred Shares until such shares are actually issued to and held of record by the Director. Except as expressly provided in Section 5 below, no adjustment will be made for dividends or other rights of a holder for which the record date is prior to the date of issuance of the stock certificate or book entry evidencing such shares.</w:t>
      </w:r>
    </w:p>
    <w:p>
      <w:pPr>
        <w:spacing w:after="0" w:line="177" w:lineRule="exact"/>
        <w:rPr>
          <w:rFonts w:ascii="Arial" w:cs="Arial" w:eastAsia="Arial" w:hAnsi="Arial"/>
          <w:sz w:val="17"/>
          <w:szCs w:val="17"/>
          <w:color w:val="auto"/>
        </w:rPr>
      </w:pPr>
    </w:p>
    <w:p>
      <w:pPr>
        <w:jc w:val="both"/>
        <w:ind w:firstLine="656"/>
        <w:spacing w:after="0" w:line="286" w:lineRule="auto"/>
        <w:tabs>
          <w:tab w:leader="none" w:pos="1119" w:val="left"/>
        </w:tabs>
        <w:numPr>
          <w:ilvl w:val="1"/>
          <w:numId w:val="76"/>
        </w:numPr>
        <w:rPr>
          <w:rFonts w:ascii="Arial" w:cs="Arial" w:eastAsia="Arial" w:hAnsi="Arial"/>
          <w:sz w:val="16"/>
          <w:szCs w:val="16"/>
          <w:color w:val="auto"/>
        </w:rPr>
      </w:pPr>
      <w:r>
        <w:rPr>
          <w:rFonts w:ascii="Arial" w:cs="Arial" w:eastAsia="Arial" w:hAnsi="Arial"/>
          <w:sz w:val="16"/>
          <w:szCs w:val="16"/>
          <w:color w:val="auto"/>
        </w:rPr>
        <w:t>FORFEITURE RESTRICTIONS. The Deferred Shares issued to Director pursuant to this Agreement may not be sold, assigned, pledged, exchanged, hypothecated or otherwise transferred, encumbered or disposed of other than by will or the laws of descent and distribution. In the event of termination of the Director’s service on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for any reason (other than as provided below), automatically upon such termination Director shall, for no consideration, forfeit to the Company all Deferred Shares granted hereunder to the extent such Deferred Shares are then subject to the Forfeiture Restrictions. For purposes of this Agreement, Director shall be considered to be in service on the Board as long as Director remains a Director of the Company, or any successor thereto. Any question as to whether and when there has been a termination of such service, and the cause of such termination, shall be determined by the Committee in its sole discretion, and its determination shall be final. The obligations to forfeit and surrender Deferred Shares to the Company upon termination from service on the Board are herein referred to as “</w:t>
      </w:r>
      <w:r>
        <w:rPr>
          <w:rFonts w:ascii="Arial" w:cs="Arial" w:eastAsia="Arial" w:hAnsi="Arial"/>
          <w:sz w:val="16"/>
          <w:szCs w:val="16"/>
          <w:b w:val="1"/>
          <w:bCs w:val="1"/>
          <w:color w:val="auto"/>
        </w:rPr>
        <w:t>Forfeiture Restrictions</w:t>
      </w:r>
      <w:r>
        <w:rPr>
          <w:rFonts w:ascii="Arial" w:cs="Arial" w:eastAsia="Arial" w:hAnsi="Arial"/>
          <w:sz w:val="16"/>
          <w:szCs w:val="16"/>
          <w:color w:val="auto"/>
        </w:rPr>
        <w:t>.” The Forfeiture Restrictions shall be binding upon and enforceable against any transferee of such Deferred Shares. The Forfeiture Restrictions shall lapse as to the Deferred Shares granted hereunder as of the date immediately preceding the date of the next Annual Shareholder’s Meeting of the Company following their grant. Notwithstanding the foregoing, the Forfeiture Restrictions shall lapse as to the Deferred Shares (i) immediately prior to the consummation of a Change of Control or (ii) as of the date of termination of Director’s service on the Board due to his death or due to disability such that Director is incapable of serving on the Board for physical or mental reasons, as shall be determined by the Committee in its sole discretion, and its determination shall be final.</w:t>
      </w:r>
    </w:p>
    <w:p>
      <w:pPr>
        <w:spacing w:after="0" w:line="174" w:lineRule="exact"/>
        <w:rPr>
          <w:rFonts w:ascii="Arial" w:cs="Arial" w:eastAsia="Arial" w:hAnsi="Arial"/>
          <w:sz w:val="16"/>
          <w:szCs w:val="16"/>
          <w:color w:val="auto"/>
        </w:rPr>
      </w:pPr>
    </w:p>
    <w:p>
      <w:pPr>
        <w:jc w:val="both"/>
        <w:ind w:firstLine="656"/>
        <w:spacing w:after="0" w:line="291" w:lineRule="auto"/>
        <w:tabs>
          <w:tab w:leader="none" w:pos="1033" w:val="left"/>
        </w:tabs>
        <w:numPr>
          <w:ilvl w:val="1"/>
          <w:numId w:val="76"/>
        </w:numPr>
        <w:rPr>
          <w:rFonts w:ascii="Arial" w:cs="Arial" w:eastAsia="Arial" w:hAnsi="Arial"/>
          <w:sz w:val="16"/>
          <w:szCs w:val="16"/>
          <w:color w:val="auto"/>
        </w:rPr>
      </w:pPr>
      <w:r>
        <w:rPr>
          <w:rFonts w:ascii="Arial" w:cs="Arial" w:eastAsia="Arial" w:hAnsi="Arial"/>
          <w:sz w:val="16"/>
          <w:szCs w:val="16"/>
          <w:color w:val="auto"/>
        </w:rPr>
        <w:t>SETTLEMENT OF DEFERRED SHARES; DELIVERY OF SHARES. Subject to the lapse of the Forfeiture Restrictions, the Deferred Shares granted hereunder will be settled upon the earlier of (i) Director’s “</w:t>
      </w:r>
      <w:r>
        <w:rPr>
          <w:rFonts w:ascii="Arial" w:cs="Arial" w:eastAsia="Arial" w:hAnsi="Arial"/>
          <w:sz w:val="16"/>
          <w:szCs w:val="16"/>
          <w:b w:val="1"/>
          <w:bCs w:val="1"/>
          <w:color w:val="auto"/>
        </w:rPr>
        <w:t>Separation of Service”</w:t>
      </w:r>
      <w:r>
        <w:rPr>
          <w:rFonts w:ascii="Arial" w:cs="Arial" w:eastAsia="Arial" w:hAnsi="Arial"/>
          <w:sz w:val="16"/>
          <w:szCs w:val="16"/>
          <w:color w:val="auto"/>
        </w:rPr>
        <w:t xml:space="preserve"> with the Company within the meaning of Section 409A(a)(2)(A)</w:t>
      </w:r>
    </w:p>
    <w:p>
      <w:pPr>
        <w:ind w:firstLine="8"/>
        <w:spacing w:after="0" w:line="261" w:lineRule="auto"/>
        <w:tabs>
          <w:tab w:leader="none" w:pos="2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which will generally occur upon the Director’s cessation of providing services to the Company, or (ii) upon the consummation of a Change of Control, provided that such Change of Control is also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Share Award Agreement Signature Page]</w:t>
      </w:r>
    </w:p>
    <w:p>
      <w:pPr>
        <w:sectPr>
          <w:pgSz w:w="11900" w:h="16838" w:orient="portrait"/>
          <w:cols w:equalWidth="0" w:num="1">
            <w:col w:w="11420"/>
          </w:cols>
          <w:pgMar w:left="240" w:top="621" w:right="239" w:bottom="1440" w:gutter="0" w:footer="0" w:header="0"/>
        </w:sectPr>
      </w:pPr>
    </w:p>
    <w:bookmarkStart w:id="126" w:name="page127"/>
    <w:bookmarkEnd w:id="126"/>
    <w:p>
      <w:pPr>
        <w:spacing w:after="0" w:line="277" w:lineRule="auto"/>
        <w:rPr>
          <w:sz w:val="20"/>
          <w:szCs w:val="20"/>
          <w:color w:val="auto"/>
        </w:rPr>
      </w:pPr>
      <w:r>
        <w:rPr>
          <w:rFonts w:ascii="Arial" w:cs="Arial" w:eastAsia="Arial" w:hAnsi="Arial"/>
          <w:sz w:val="18"/>
          <w:szCs w:val="18"/>
          <w:color w:val="auto"/>
        </w:rPr>
        <w:t>a change in the ownership or effective control of the Company or in the ownership of a substantial portion of the assets of the Company within the meaning of Section 409A(a)(2)(A)(v) of the Code.</w:t>
      </w:r>
    </w:p>
    <w:p>
      <w:pPr>
        <w:spacing w:after="0" w:line="170" w:lineRule="exact"/>
        <w:rPr>
          <w:sz w:val="20"/>
          <w:szCs w:val="20"/>
          <w:color w:val="auto"/>
        </w:rPr>
      </w:pPr>
    </w:p>
    <w:p>
      <w:pPr>
        <w:jc w:val="both"/>
        <w:ind w:firstLine="656"/>
        <w:spacing w:after="0" w:line="255" w:lineRule="auto"/>
        <w:tabs>
          <w:tab w:leader="none" w:pos="1079"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DIVIDEND EQUIVALENTS. This grant of Deferred Shares includes a tandem right to Dividend Equivalents with respect to each Deferred Share. During the period between the Effective Date and the date the Deferred Shares granted hereunder are settled, each “</w:t>
      </w:r>
      <w:r>
        <w:rPr>
          <w:rFonts w:ascii="Arial" w:cs="Arial" w:eastAsia="Arial" w:hAnsi="Arial"/>
          <w:sz w:val="18"/>
          <w:szCs w:val="18"/>
          <w:b w:val="1"/>
          <w:bCs w:val="1"/>
          <w:color w:val="auto"/>
        </w:rPr>
        <w:t>Dividend Equivalent</w:t>
      </w:r>
      <w:r>
        <w:rPr>
          <w:rFonts w:ascii="Arial" w:cs="Arial" w:eastAsia="Arial" w:hAnsi="Arial"/>
          <w:sz w:val="18"/>
          <w:szCs w:val="18"/>
          <w:color w:val="auto"/>
        </w:rPr>
        <w:t>” shall entitle the participant to receive, as evidenced by entry in a bookkeeping account, prior to the date the Deferred Shares granted hereunder are settled, the equivalent value in cash of dividends paid on Stock of the Company, if and when declared. Dividend Equivalents shall be credited to the Director’s bookkeeping account at the same time as dividends are paid to shareholders and shall be subject to the same Forfeiture Restrictions as apply to the Deferred Shares to which they are attached. Accrued Dividend Equivalents will be paid in cash, without interest, at the same time as the underlying Deferred Shares are paid pursuant to Section 4.</w:t>
      </w:r>
    </w:p>
    <w:p>
      <w:pPr>
        <w:spacing w:after="0" w:line="189" w:lineRule="exact"/>
        <w:rPr>
          <w:rFonts w:ascii="Arial" w:cs="Arial" w:eastAsia="Arial" w:hAnsi="Arial"/>
          <w:sz w:val="18"/>
          <w:szCs w:val="18"/>
          <w:color w:val="auto"/>
        </w:rPr>
      </w:pPr>
    </w:p>
    <w:p>
      <w:pPr>
        <w:ind w:firstLine="656"/>
        <w:spacing w:after="0" w:line="277"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CONSIDERATION. It is understood that the consideration for the issuance of Deferred Shares is Director’s agreement to render future services on the Board, which services shall have a value not less than the par value of such Deferred Shares.</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0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STATUS OF DEFERRED SHARES. Director agrees that the Deferred Shares and the shares of common stock issued in settlement thereof will not be sold or otherwise disposed of in any manner that would constitute a violation of any applicable federal or state securities laws. Director also agrees (i) that the Company may refuse to register the transfer of the shares of common stock issued in settlement of the Deferred Shares on the stock transfer records of the Company if such proposed transfer would in the opinion of counsel satisfactory to the Company constitute a violation of any applicable securities laws and (ii) that the Company may give related instructions to its transfer agent, if any, to stop registration of the transfer of the shares of common stock issued in settlement of the Deferred Shares.</w:t>
      </w:r>
    </w:p>
    <w:p>
      <w:pPr>
        <w:spacing w:after="0" w:line="193" w:lineRule="exact"/>
        <w:rPr>
          <w:rFonts w:ascii="Arial" w:cs="Arial" w:eastAsia="Arial" w:hAnsi="Arial"/>
          <w:sz w:val="18"/>
          <w:szCs w:val="18"/>
          <w:color w:val="auto"/>
        </w:rPr>
      </w:pPr>
    </w:p>
    <w:p>
      <w:pPr>
        <w:jc w:val="both"/>
        <w:ind w:right="20" w:firstLine="656"/>
        <w:spacing w:after="0" w:line="264" w:lineRule="auto"/>
        <w:tabs>
          <w:tab w:leader="none" w:pos="1169"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COMMITTEE’S POWERS. No provision contained in this Agreement shall in any way terminate, modify or alter, or be construed or interpreted as terminating, modifying or altering any of the powers, rights or authority vested in the Committee pursuant to the terms of the Plan, including, without limitation, the Committee’s rights to make certain determinations and elections with respect to the Deferred Shares.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1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TAXES. Director is ultimately liable and responsible for all taxes owed in connection with the Deferred Shares. The Company makes no representation or undertaking regarding the tax treatment of the grant, vesting, or settlement of the Deferred Shares or the subsequent sale of any of the underlying shares of Stock. The Company does not commit and is under no obligation to structure this Agreement to reduce or eliminate Director’s tax liability.</w:t>
      </w:r>
    </w:p>
    <w:p>
      <w:pPr>
        <w:spacing w:after="0" w:line="186" w:lineRule="exact"/>
        <w:rPr>
          <w:rFonts w:ascii="Arial" w:cs="Arial" w:eastAsia="Arial" w:hAnsi="Arial"/>
          <w:sz w:val="18"/>
          <w:szCs w:val="18"/>
          <w:color w:val="auto"/>
        </w:rPr>
      </w:pPr>
    </w:p>
    <w:p>
      <w:pPr>
        <w:ind w:firstLine="656"/>
        <w:spacing w:after="0" w:line="277" w:lineRule="auto"/>
        <w:tabs>
          <w:tab w:leader="none" w:pos="1333" w:val="left"/>
        </w:tabs>
        <w:numPr>
          <w:ilvl w:val="0"/>
          <w:numId w:val="78"/>
        </w:numPr>
        <w:rPr>
          <w:rFonts w:ascii="Arial" w:cs="Arial" w:eastAsia="Arial" w:hAnsi="Arial"/>
          <w:sz w:val="18"/>
          <w:szCs w:val="18"/>
          <w:color w:val="auto"/>
        </w:rPr>
      </w:pPr>
      <w:r>
        <w:rPr>
          <w:rFonts w:ascii="Arial" w:cs="Arial" w:eastAsia="Arial" w:hAnsi="Arial"/>
          <w:sz w:val="18"/>
          <w:szCs w:val="18"/>
          <w:color w:val="auto"/>
        </w:rPr>
        <w:t>BINDING EFFECT. This Agreement shall be binding upon and inure to the benefit of any successors to the Company and all persons lawfully claiming under Director.</w:t>
      </w:r>
    </w:p>
    <w:p>
      <w:pPr>
        <w:spacing w:after="0" w:line="170" w:lineRule="exact"/>
        <w:rPr>
          <w:rFonts w:ascii="Arial" w:cs="Arial" w:eastAsia="Arial" w:hAnsi="Arial"/>
          <w:sz w:val="18"/>
          <w:szCs w:val="18"/>
          <w:color w:val="auto"/>
        </w:rPr>
      </w:pPr>
    </w:p>
    <w:p>
      <w:pPr>
        <w:ind w:firstLine="656"/>
        <w:spacing w:after="0" w:line="277" w:lineRule="auto"/>
        <w:tabs>
          <w:tab w:leader="none" w:pos="12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NON-ALIENATION. Director shall not have any right to pledge, hypothecate, anticipate or assign this Agreement or the rights hereunder, except by will or the laws of descent and distribution.</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 A SERVICE CONTRACT. This Agreement shall not be deemed to constitute a service contract, nor shall any provision hereof affect (a) the right to terminate Director’s service on the Board in accordance with the Company’s by-laws and applicable law or (b) the terms and conditions of any other agreement between the Company and Director except as expressly provided herein.</w:t>
      </w:r>
    </w:p>
    <w:p>
      <w:pPr>
        <w:spacing w:after="0" w:line="181" w:lineRule="exact"/>
        <w:rPr>
          <w:rFonts w:ascii="Arial" w:cs="Arial" w:eastAsia="Arial" w:hAnsi="Arial"/>
          <w:sz w:val="18"/>
          <w:szCs w:val="18"/>
          <w:color w:val="auto"/>
        </w:rPr>
      </w:pPr>
    </w:p>
    <w:p>
      <w:pPr>
        <w:ind w:firstLine="656"/>
        <w:spacing w:after="0" w:line="277" w:lineRule="auto"/>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COUNTERPARTS. This Agreement may be executed in one or more counterparts, each of which shall be deemed to be an original, but all of which together will constitute one and the same Agreement.</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Texas.</w:t>
      </w:r>
    </w:p>
    <w:p>
      <w:pPr>
        <w:spacing w:after="0" w:line="225" w:lineRule="exact"/>
        <w:rPr>
          <w:rFonts w:ascii="Arial" w:cs="Arial" w:eastAsia="Arial" w:hAnsi="Arial"/>
          <w:sz w:val="18"/>
          <w:szCs w:val="18"/>
          <w:color w:val="auto"/>
        </w:rPr>
      </w:pPr>
    </w:p>
    <w:p>
      <w:pPr>
        <w:ind w:firstLine="656"/>
        <w:spacing w:after="0" w:line="277" w:lineRule="auto"/>
        <w:tabs>
          <w:tab w:leader="none" w:pos="918"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REFERENCES. Capitalized terms used and not otherwise defined herein shall have the meanings set forth in the Plan unless the context clearly requires otherwise.</w:t>
      </w:r>
    </w:p>
    <w:p>
      <w:pPr>
        <w:sectPr>
          <w:pgSz w:w="11900" w:h="16838" w:orient="portrait"/>
          <w:cols w:equalWidth="0" w:num="1">
            <w:col w:w="11420"/>
          </w:cols>
          <w:pgMar w:left="240" w:top="368" w:right="239" w:bottom="1440" w:gutter="0" w:footer="0" w:header="0"/>
        </w:sectPr>
      </w:pPr>
    </w:p>
    <w:bookmarkStart w:id="127" w:name="page128"/>
    <w:bookmarkEnd w:id="127"/>
    <w:p>
      <w:pPr>
        <w:jc w:val="both"/>
        <w:ind w:firstLine="656"/>
        <w:spacing w:after="0" w:line="255" w:lineRule="auto"/>
        <w:tabs>
          <w:tab w:leader="none" w:pos="11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CODE SECTION 409A. To the extent applicable, this Agreement is intended to be interpreted and applied so that the payments and benefits set forth herein comply with the requirements of Code Section 409A, and, accordingly, to the maximum extent permitted, this Agreement shall be interpreted to be in compliance with Code Section 409A. Notwithstanding the foregoing, the Company make no representations concerning Director’s tax consequences under this Agreement under Section 409A of the Code, or any other foreign, federal, state, or local tax law. Director’s tax consequences will depend, in part, upon the application of relevant tax law to the relevant facts and circumstances. Director should consult a competent and independent tax advisor regarding his tax consequences under this Agreement.</w:t>
      </w:r>
    </w:p>
    <w:p>
      <w:pPr>
        <w:spacing w:after="0" w:line="200" w:lineRule="exact"/>
        <w:rPr>
          <w:sz w:val="20"/>
          <w:szCs w:val="20"/>
          <w:color w:val="auto"/>
        </w:rPr>
      </w:pPr>
    </w:p>
    <w:p>
      <w:pPr>
        <w:spacing w:after="0" w:line="20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duly executed by an officer thereunto duly authorized, and Director has executed this Agreement, all effective as of the Effective Date.</w:t>
      </w:r>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5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606425</wp:posOffset>
            </wp:positionV>
            <wp:extent cx="39789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8">
                      <a:extLst>
                        <a:ext uri="{28A0092B-C50C-407E-A947-70E740481C1C}"/>
                      </a:extLst>
                    </a:blip>
                    <a:srcRect/>
                    <a:stretch>
                      <a:fillRect/>
                    </a:stretch>
                  </pic:blipFill>
                  <pic:spPr bwMode="auto">
                    <a:xfrm>
                      <a:off x="0" y="0"/>
                      <a:ext cx="397891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420"/>
          </w:cols>
          <w:pgMar w:left="240" w:top="1017" w:right="2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SHARE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AGREEMENT is made as of the ___ day of _____________ (the “</w:t>
      </w:r>
      <w:r>
        <w:rPr>
          <w:rFonts w:ascii="Arial" w:cs="Arial" w:eastAsia="Arial" w:hAnsi="Arial"/>
          <w:sz w:val="17"/>
          <w:szCs w:val="17"/>
          <w:b w:val="1"/>
          <w:bCs w:val="1"/>
          <w:color w:val="auto"/>
        </w:rPr>
        <w:t>Effective Date</w:t>
      </w:r>
      <w:r>
        <w:rPr>
          <w:rFonts w:ascii="Arial" w:cs="Arial" w:eastAsia="Arial" w:hAnsi="Arial"/>
          <w:sz w:val="17"/>
          <w:szCs w:val="17"/>
          <w:color w:val="auto"/>
        </w:rPr>
        <w:t>”) between Civeo Corporation, a British Columbia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_________________ (“</w:t>
      </w:r>
      <w:r>
        <w:rPr>
          <w:rFonts w:ascii="Arial" w:cs="Arial" w:eastAsia="Arial" w:hAnsi="Arial"/>
          <w:sz w:val="18"/>
          <w:szCs w:val="18"/>
          <w:b w:val="1"/>
          <w:bCs w:val="1"/>
          <w:color w:val="auto"/>
        </w:rPr>
        <w:t>Director</w:t>
      </w:r>
      <w:r>
        <w:rPr>
          <w:rFonts w:ascii="Arial" w:cs="Arial" w:eastAsia="Arial" w:hAnsi="Arial"/>
          <w:sz w:val="18"/>
          <w:szCs w:val="18"/>
          <w:color w:val="auto"/>
        </w:rPr>
        <w:t>”).</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To carry out the purposes of the Civeo Corporation 2014 Equity Participation Plan (as the same may be amended, the “</w:t>
      </w:r>
      <w:r>
        <w:rPr>
          <w:rFonts w:ascii="Arial" w:cs="Arial" w:eastAsia="Arial" w:hAnsi="Arial"/>
          <w:sz w:val="18"/>
          <w:szCs w:val="18"/>
          <w:b w:val="1"/>
          <w:bCs w:val="1"/>
          <w:color w:val="auto"/>
        </w:rPr>
        <w:t>Plan</w:t>
      </w:r>
      <w:r>
        <w:rPr>
          <w:rFonts w:ascii="Arial" w:cs="Arial" w:eastAsia="Arial" w:hAnsi="Arial"/>
          <w:sz w:val="18"/>
          <w:szCs w:val="18"/>
          <w:color w:val="auto"/>
        </w:rPr>
        <w:t>”), by affording Director the opportunity to acquire shares of common stock of the Company (“</w:t>
      </w:r>
      <w:r>
        <w:rPr>
          <w:rFonts w:ascii="Arial" w:cs="Arial" w:eastAsia="Arial" w:hAnsi="Arial"/>
          <w:sz w:val="18"/>
          <w:szCs w:val="18"/>
          <w:b w:val="1"/>
          <w:bCs w:val="1"/>
          <w:color w:val="auto"/>
        </w:rPr>
        <w:t>Stock</w:t>
      </w:r>
      <w:r>
        <w:rPr>
          <w:rFonts w:ascii="Arial" w:cs="Arial" w:eastAsia="Arial" w:hAnsi="Arial"/>
          <w:sz w:val="18"/>
          <w:szCs w:val="18"/>
          <w:color w:val="auto"/>
        </w:rPr>
        <w:t>”), and in consideration of the mutual agreements and other matters set forth herein and in the Plan, the Company and Director hereby agree as follows:</w:t>
      </w:r>
    </w:p>
    <w:p>
      <w:pPr>
        <w:spacing w:after="0" w:line="180" w:lineRule="exact"/>
        <w:rPr>
          <w:sz w:val="20"/>
          <w:szCs w:val="20"/>
          <w:color w:val="auto"/>
        </w:rPr>
      </w:pPr>
    </w:p>
    <w:p>
      <w:pPr>
        <w:jc w:val="both"/>
        <w:ind w:firstLine="656"/>
        <w:spacing w:after="0" w:line="297" w:lineRule="auto"/>
        <w:tabs>
          <w:tab w:leader="none" w:pos="1005" w:val="left"/>
        </w:tabs>
        <w:numPr>
          <w:ilvl w:val="1"/>
          <w:numId w:val="80"/>
        </w:numPr>
        <w:rPr>
          <w:rFonts w:ascii="Arial" w:cs="Arial" w:eastAsia="Arial" w:hAnsi="Arial"/>
          <w:sz w:val="16"/>
          <w:szCs w:val="16"/>
          <w:color w:val="auto"/>
        </w:rPr>
      </w:pPr>
      <w:r>
        <w:rPr>
          <w:rFonts w:ascii="Arial" w:cs="Arial" w:eastAsia="Arial" w:hAnsi="Arial"/>
          <w:sz w:val="16"/>
          <w:szCs w:val="16"/>
          <w:color w:val="auto"/>
        </w:rPr>
        <w:t>AWARD OF DEFERRED SHARES. Upon execution of this Agreement, the Company shall grant _____ Deferred Shares and any applicable Dividend Equivalents (as provided in Section 5 below) to Director. Director acknowledges receipt of a copy of the Plan, and agrees that this award of Deferred Shares shall be subject to all of the terms and conditions set forth herein and in the Plan, which Plan is incorporated herein by reference as a part of this Agreement. In the event of any conflict between the terms of this Agreement and the Plan, the terms of the Plan shall govern. The Director further acknowledges and confirms that the Director's participation in the Plan, execution of this Agreement and receipt of the Deferred Shares is voluntary.</w:t>
      </w:r>
    </w:p>
    <w:p>
      <w:pPr>
        <w:spacing w:after="0" w:line="154" w:lineRule="exact"/>
        <w:rPr>
          <w:rFonts w:ascii="Arial" w:cs="Arial" w:eastAsia="Arial" w:hAnsi="Arial"/>
          <w:sz w:val="16"/>
          <w:szCs w:val="16"/>
          <w:color w:val="auto"/>
        </w:rPr>
      </w:pPr>
    </w:p>
    <w:p>
      <w:pPr>
        <w:jc w:val="both"/>
        <w:ind w:firstLine="656"/>
        <w:spacing w:after="0" w:line="274" w:lineRule="auto"/>
        <w:tabs>
          <w:tab w:leader="none" w:pos="10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RIGHTS ATTACHING TO DEFERRED SHARES. As used herein, the term “</w:t>
      </w:r>
      <w:r>
        <w:rPr>
          <w:rFonts w:ascii="Arial" w:cs="Arial" w:eastAsia="Arial" w:hAnsi="Arial"/>
          <w:sz w:val="17"/>
          <w:szCs w:val="17"/>
          <w:b w:val="1"/>
          <w:bCs w:val="1"/>
          <w:color w:val="auto"/>
        </w:rPr>
        <w:t>Deferred Share</w:t>
      </w:r>
      <w:r>
        <w:rPr>
          <w:rFonts w:ascii="Arial" w:cs="Arial" w:eastAsia="Arial" w:hAnsi="Arial"/>
          <w:sz w:val="17"/>
          <w:szCs w:val="17"/>
          <w:color w:val="auto"/>
        </w:rPr>
        <w:t>” means an unfunded and unsecured right to acquire a common share in the Company upon satisfaction of the Vesting Conditions contained herein and in accordance with the settlement provisions described below. Director shall have no rights as a shareholder of the Company, no dividend rights, and no voting rights with respect to the Deferred Shares or any share underlying the Deferred Shares or issuable in respect of such Deferred Shares until such shares are actually issued to and held of record by the Director. Except as expressly provided in Section 5 below, no adjustment will be made for dividends or other rights of a holder for which the record date is prior to the date of issuance of the stock certificate or book entry evidencing such shares.</w:t>
      </w:r>
    </w:p>
    <w:p>
      <w:pPr>
        <w:spacing w:after="0" w:line="177" w:lineRule="exact"/>
        <w:rPr>
          <w:rFonts w:ascii="Arial" w:cs="Arial" w:eastAsia="Arial" w:hAnsi="Arial"/>
          <w:sz w:val="17"/>
          <w:szCs w:val="17"/>
          <w:color w:val="auto"/>
        </w:rPr>
      </w:pPr>
    </w:p>
    <w:p>
      <w:pPr>
        <w:jc w:val="both"/>
        <w:ind w:firstLine="656"/>
        <w:spacing w:after="0" w:line="286" w:lineRule="auto"/>
        <w:tabs>
          <w:tab w:leader="none" w:pos="990" w:val="left"/>
        </w:tabs>
        <w:numPr>
          <w:ilvl w:val="1"/>
          <w:numId w:val="80"/>
        </w:numPr>
        <w:rPr>
          <w:rFonts w:ascii="Arial" w:cs="Arial" w:eastAsia="Arial" w:hAnsi="Arial"/>
          <w:sz w:val="16"/>
          <w:szCs w:val="16"/>
          <w:color w:val="auto"/>
        </w:rPr>
      </w:pPr>
      <w:r>
        <w:rPr>
          <w:rFonts w:ascii="Arial" w:cs="Arial" w:eastAsia="Arial" w:hAnsi="Arial"/>
          <w:sz w:val="16"/>
          <w:szCs w:val="16"/>
          <w:color w:val="auto"/>
        </w:rPr>
        <w:t>VESTING CONDITIONS. The Deferred Shares issued to Director pursuant to this Agreement may not be sold, assigned, pledged, exchanged, hypothecated or otherwise transferred, encumbered or disposed of other than by will or the laws of descent and distribution. In the event of termination of the Director’s service on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for any reason (other than as provided below), automatically upon such termination Director shall, for no consideration, forfeit to the Company all Deferred Shares granted hereunder to the extent such Deferred Shares are then subject to the Vesting Conditions. For purposes of this Agreement, Director shall be considered to be in service on the Board as long as Director remains a Director of the Company, or any successor thereto. Any question as to whether and when there has been a termination of such service, and the cause of such termination, shall be determined by the Committee in its sole discretion, and its determination shall be final. The obligations to forfeit and surrender Deferred Shares to the Company upon termination from service on the Board are herein referred to as Vesting Conditions. The Vesting Conditions shall be binding upon and enforceable against any transferee of such Deferred Shares. The Vesting Conditions shall lapse as to the Deferred Shares granted hereunder as of the date immediately preceding the date of the next Annual Shareholder’s Meeting of the Company following their grant. Notwithstanding the foregoing, the Vesting Conditions shall lapse as to the Deferred Shares (i) immediately prior to the consummation of a Change of Control or (ii) as of the date of termination of Director’s service on the Board due to his death or due to disability such that Director is incapable of serving on the Board for physical or mental reasons, as shall be determined by the Committee in its sole discretion, and its determination shall be final.</w:t>
      </w:r>
    </w:p>
    <w:p>
      <w:pPr>
        <w:spacing w:after="0" w:line="174" w:lineRule="exact"/>
        <w:rPr>
          <w:rFonts w:ascii="Arial" w:cs="Arial" w:eastAsia="Arial" w:hAnsi="Arial"/>
          <w:sz w:val="16"/>
          <w:szCs w:val="16"/>
          <w:color w:val="auto"/>
        </w:rPr>
      </w:pPr>
    </w:p>
    <w:p>
      <w:pPr>
        <w:jc w:val="both"/>
        <w:ind w:firstLine="656"/>
        <w:spacing w:after="0" w:line="291" w:lineRule="auto"/>
        <w:tabs>
          <w:tab w:leader="none" w:pos="10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SETTLEMENT OF DEFERRED SHARES; DELIVERY OF SHARES. Subject to the lapse of the Vesting Conditions, the Deferred Shares granted hereunder will be settled upon the earlier of (i) Director’s “</w:t>
      </w:r>
      <w:r>
        <w:rPr>
          <w:rFonts w:ascii="Arial" w:cs="Arial" w:eastAsia="Arial" w:hAnsi="Arial"/>
          <w:sz w:val="16"/>
          <w:szCs w:val="16"/>
          <w:b w:val="1"/>
          <w:bCs w:val="1"/>
          <w:color w:val="auto"/>
        </w:rPr>
        <w:t>Separation of Service”</w:t>
      </w:r>
      <w:r>
        <w:rPr>
          <w:rFonts w:ascii="Arial" w:cs="Arial" w:eastAsia="Arial" w:hAnsi="Arial"/>
          <w:sz w:val="16"/>
          <w:szCs w:val="16"/>
          <w:color w:val="auto"/>
        </w:rPr>
        <w:t xml:space="preserve"> with the Company within the meaning of Section 409A(a)(2)(A)</w:t>
      </w:r>
    </w:p>
    <w:p>
      <w:pPr>
        <w:jc w:val="both"/>
        <w:ind w:firstLine="8"/>
        <w:spacing w:after="0" w:line="295" w:lineRule="auto"/>
        <w:tabs>
          <w:tab w:leader="none" w:pos="23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which will generally occur upon the Director’s cessation of providing services to the Company, or (ii) upon the consummation of a Change of Control, provided that such Change of Control is also a change in the ownership or effective control of the Company or in the ownership of a substantial portion of the assets of the Company within the meaning of Section 409A(a)(2)(A)(v) of the Code. On settlement of the Deferred Shares, the Company shall issue to the Director an equivalent number of common shares in the capital stock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Share Award Agreement Signature Page]</w:t>
      </w:r>
    </w:p>
    <w:p>
      <w:pPr>
        <w:sectPr>
          <w:pgSz w:w="11900" w:h="16838" w:orient="portrait"/>
          <w:cols w:equalWidth="0" w:num="1">
            <w:col w:w="11420"/>
          </w:cols>
          <w:pgMar w:left="240" w:top="621" w:right="239" w:bottom="1440" w:gutter="0" w:footer="0" w:header="0"/>
        </w:sectPr>
      </w:pPr>
    </w:p>
    <w:bookmarkStart w:id="129" w:name="page130"/>
    <w:bookmarkEnd w:id="129"/>
    <w:p>
      <w:pPr>
        <w:jc w:val="both"/>
        <w:ind w:left="-656" w:firstLine="656"/>
        <w:spacing w:after="0" w:line="272" w:lineRule="auto"/>
        <w:tabs>
          <w:tab w:leader="none" w:pos="376" w:val="left"/>
        </w:tabs>
        <w:numPr>
          <w:ilvl w:val="0"/>
          <w:numId w:val="82"/>
        </w:numPr>
        <w:rPr>
          <w:rFonts w:ascii="Arial" w:cs="Arial" w:eastAsia="Arial" w:hAnsi="Arial"/>
          <w:sz w:val="17"/>
          <w:szCs w:val="17"/>
          <w:color w:val="auto"/>
        </w:rPr>
      </w:pPr>
      <w:r>
        <w:rPr>
          <w:rFonts w:ascii="Arial" w:cs="Arial" w:eastAsia="Arial" w:hAnsi="Arial"/>
          <w:sz w:val="17"/>
          <w:szCs w:val="17"/>
          <w:color w:val="auto"/>
        </w:rPr>
        <w:t>DIVIDEND EQUIVALENTS. This grant of Deferred Shares includes a tandem right to Dividend Equivalents with respect to each Deferred Share. During the period between the Effective Date and the date the Deferred Shares granted hereunder are settled, each “</w:t>
      </w:r>
      <w:r>
        <w:rPr>
          <w:rFonts w:ascii="Arial" w:cs="Arial" w:eastAsia="Arial" w:hAnsi="Arial"/>
          <w:sz w:val="17"/>
          <w:szCs w:val="17"/>
          <w:b w:val="1"/>
          <w:bCs w:val="1"/>
          <w:color w:val="auto"/>
        </w:rPr>
        <w:t>Dividend Equivalent</w:t>
      </w:r>
      <w:r>
        <w:rPr>
          <w:rFonts w:ascii="Arial" w:cs="Arial" w:eastAsia="Arial" w:hAnsi="Arial"/>
          <w:sz w:val="17"/>
          <w:szCs w:val="17"/>
          <w:color w:val="auto"/>
        </w:rPr>
        <w:t>” shall entitle the participant to receive, as evidenced by entry in a bookkeeping account in the form of additional Deferred Shares, prior to the date the Deferred Shares granted hereunder are settled, the equivalent value in cash of dividends paid on Stock of the Company, if and when declared. Dividend Equivalents shall be credited to the Director’s bookkeeping account at the same time as dividends are paid to shareholders and shall be subject to the same Vesting Conditions as apply to the Deferred Shares to which they are attached. Accrued Dividend Equivalents will be satisfied in the form of newly-issued shares from treasury, without interest, at the same time as the underlying Deferred Shares are paid pursuant to Section 4.</w:t>
      </w:r>
    </w:p>
    <w:p>
      <w:pPr>
        <w:spacing w:after="0" w:line="177" w:lineRule="exact"/>
        <w:rPr>
          <w:rFonts w:ascii="Arial" w:cs="Arial" w:eastAsia="Arial" w:hAnsi="Arial"/>
          <w:sz w:val="17"/>
          <w:szCs w:val="17"/>
          <w:color w:val="auto"/>
        </w:rPr>
      </w:pPr>
    </w:p>
    <w:p>
      <w:pPr>
        <w:ind w:left="-656" w:right="20" w:firstLine="656"/>
        <w:spacing w:after="0" w:line="277" w:lineRule="auto"/>
        <w:tabs>
          <w:tab w:leader="none" w:pos="3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CONSIDERATION. It is understood that the consideration for the issuance of Deferred Shares is Director’s agreement to render future services on the Board, which services shall have a value not less than the value of such Deferred Shares.</w:t>
      </w:r>
    </w:p>
    <w:p>
      <w:pPr>
        <w:spacing w:after="0" w:line="170" w:lineRule="exact"/>
        <w:rPr>
          <w:rFonts w:ascii="Arial" w:cs="Arial" w:eastAsia="Arial" w:hAnsi="Arial"/>
          <w:sz w:val="18"/>
          <w:szCs w:val="18"/>
          <w:color w:val="auto"/>
        </w:rPr>
      </w:pPr>
    </w:p>
    <w:p>
      <w:pPr>
        <w:jc w:val="both"/>
        <w:ind w:left="-656" w:firstLine="656"/>
        <w:spacing w:after="0" w:line="255" w:lineRule="auto"/>
        <w:tabs>
          <w:tab w:leader="none" w:pos="327"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STATUS OF DEFERRED SHARES. Director agrees that the Deferred Shares and the shares of common stock issued in settlement thereof will not be sold or otherwise disposed of in any manner that would constitute a violation of any applicable federal, provincial or state securities laws. Director also agrees (i) that the Company may refuse to register the transfer of the shares of common stock issued in settlement of the Deferred Shares on the stock transfer records of the Company if such proposed transfer would in the opinion of counsel satisfactory to the Company constitute a violation of any applicable securities laws and (ii) that the Company may give related instructions to its transfer agent, if any, to stop registration of the transfer of the shares of common stock issued in settlement of the Deferred Shares.</w:t>
      </w:r>
    </w:p>
    <w:p>
      <w:pPr>
        <w:spacing w:after="0" w:line="193" w:lineRule="exact"/>
        <w:rPr>
          <w:rFonts w:ascii="Arial" w:cs="Arial" w:eastAsia="Arial" w:hAnsi="Arial"/>
          <w:sz w:val="18"/>
          <w:szCs w:val="18"/>
          <w:color w:val="auto"/>
        </w:rPr>
      </w:pPr>
    </w:p>
    <w:p>
      <w:pPr>
        <w:jc w:val="both"/>
        <w:ind w:left="-656" w:firstLine="656"/>
        <w:spacing w:after="0" w:line="264" w:lineRule="auto"/>
        <w:tabs>
          <w:tab w:leader="none" w:pos="307"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COMMITTEE’S POWERS. No provision contained in this Agreement shall in any way terminate, modify or alter, or be construed or interpreted as terminating, modifying or altering any of the powers, rights or authority vested in the Committee pursuant to the terms of the Plan, including, without limitation, the Committee’s rights to make certain determinations and elections with respect to the Deferred Shares.</w:t>
      </w:r>
    </w:p>
    <w:p>
      <w:pPr>
        <w:spacing w:after="0" w:line="181" w:lineRule="exact"/>
        <w:rPr>
          <w:rFonts w:ascii="Arial" w:cs="Arial" w:eastAsia="Arial" w:hAnsi="Arial"/>
          <w:sz w:val="18"/>
          <w:szCs w:val="18"/>
          <w:color w:val="auto"/>
        </w:rPr>
      </w:pPr>
    </w:p>
    <w:p>
      <w:pPr>
        <w:jc w:val="both"/>
        <w:ind w:left="-656" w:firstLine="656"/>
        <w:spacing w:after="0" w:line="259" w:lineRule="auto"/>
        <w:tabs>
          <w:tab w:leader="none" w:pos="4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TAXES. Director is ultimately liable and responsible for all taxes owed in connection with the Deferred Shares and any shares issued in settlement of such Deferred Shares. The Company makes no representation or undertaking regarding the tax treatment of the grant, vesting, or settlement of the Deferred Shares or the subsequent sale of any of the underlying shares of Stock. The Company does not commit and is under no obligation to structure this Agreement to reduce or eliminate Director’s tax liability.</w:t>
      </w:r>
    </w:p>
    <w:p>
      <w:pPr>
        <w:spacing w:after="0" w:line="186" w:lineRule="exact"/>
        <w:rPr>
          <w:rFonts w:ascii="Arial" w:cs="Arial" w:eastAsia="Arial" w:hAnsi="Arial"/>
          <w:sz w:val="18"/>
          <w:szCs w:val="18"/>
          <w:color w:val="auto"/>
        </w:rPr>
      </w:pPr>
    </w:p>
    <w:p>
      <w:pPr>
        <w:ind w:left="-656" w:right="20" w:firstLine="656"/>
        <w:spacing w:after="0" w:line="277" w:lineRule="auto"/>
        <w:tabs>
          <w:tab w:leader="none" w:pos="407" w:val="left"/>
        </w:tabs>
        <w:numPr>
          <w:ilvl w:val="0"/>
          <w:numId w:val="82"/>
        </w:numPr>
        <w:rPr>
          <w:rFonts w:ascii="Arial" w:cs="Arial" w:eastAsia="Arial" w:hAnsi="Arial"/>
          <w:sz w:val="18"/>
          <w:szCs w:val="18"/>
          <w:color w:val="auto"/>
        </w:rPr>
      </w:pPr>
      <w:r>
        <w:rPr>
          <w:rFonts w:ascii="Arial" w:cs="Arial" w:eastAsia="Arial" w:hAnsi="Arial"/>
          <w:sz w:val="18"/>
          <w:szCs w:val="18"/>
          <w:color w:val="auto"/>
        </w:rPr>
        <w:t>BINDING EFFECT. This Agreement shall be binding upon and inure to the benefit of any successors to the Company and all persons lawfully claiming under Director.</w:t>
      </w:r>
    </w:p>
    <w:p>
      <w:pPr>
        <w:spacing w:after="0" w:line="170" w:lineRule="exact"/>
        <w:rPr>
          <w:rFonts w:ascii="Arial" w:cs="Arial" w:eastAsia="Arial" w:hAnsi="Arial"/>
          <w:sz w:val="18"/>
          <w:szCs w:val="18"/>
          <w:color w:val="auto"/>
        </w:rPr>
      </w:pPr>
    </w:p>
    <w:p>
      <w:pPr>
        <w:ind w:left="-656" w:firstLine="656"/>
        <w:spacing w:after="0" w:line="277" w:lineRule="auto"/>
        <w:tabs>
          <w:tab w:leader="none" w:pos="4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NON-ALIENATION. Director shall not have any right to pledge, hypothecate, anticipate or assign this Agreement or the rights hereunder, except by will or the laws of descent and distribution.</w:t>
      </w:r>
    </w:p>
    <w:p>
      <w:pPr>
        <w:spacing w:after="0" w:line="170" w:lineRule="exact"/>
        <w:rPr>
          <w:rFonts w:ascii="Arial" w:cs="Arial" w:eastAsia="Arial" w:hAnsi="Arial"/>
          <w:sz w:val="18"/>
          <w:szCs w:val="18"/>
          <w:color w:val="auto"/>
        </w:rPr>
      </w:pPr>
    </w:p>
    <w:p>
      <w:pPr>
        <w:jc w:val="both"/>
        <w:ind w:left="-656" w:firstLine="656"/>
        <w:spacing w:after="0" w:line="264" w:lineRule="auto"/>
        <w:tabs>
          <w:tab w:leader="none" w:pos="414"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 A SERVICE CONTRACT. This Agreement shall not be deemed to constitute a service contract, nor shall any provision hereof affect (a) the right to terminate Director’s service on the Board in accordance with the Company’s by-laws and applicable law or (b) the terms and conditions of any other agreement between the Company and Director except as expressly provided herein.</w:t>
      </w:r>
    </w:p>
    <w:p>
      <w:pPr>
        <w:spacing w:after="0" w:line="181" w:lineRule="exact"/>
        <w:rPr>
          <w:rFonts w:ascii="Arial" w:cs="Arial" w:eastAsia="Arial" w:hAnsi="Arial"/>
          <w:sz w:val="18"/>
          <w:szCs w:val="18"/>
          <w:color w:val="auto"/>
        </w:rPr>
      </w:pPr>
    </w:p>
    <w:p>
      <w:pPr>
        <w:ind w:left="-656" w:firstLine="656"/>
        <w:spacing w:after="0" w:line="277" w:lineRule="auto"/>
        <w:tabs>
          <w:tab w:leader="none" w:pos="421"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COUNTERPARTS. This Agreement may be executed in one or more counterparts, each of which shall be deemed to be an original, but all of which together will constitute one and the same Agreement.</w:t>
      </w:r>
    </w:p>
    <w:p>
      <w:pPr>
        <w:spacing w:after="0" w:line="170" w:lineRule="exact"/>
        <w:rPr>
          <w:rFonts w:ascii="Arial" w:cs="Arial" w:eastAsia="Arial" w:hAnsi="Arial"/>
          <w:sz w:val="18"/>
          <w:szCs w:val="18"/>
          <w:color w:val="auto"/>
        </w:rPr>
      </w:pPr>
    </w:p>
    <w:p>
      <w:pPr>
        <w:ind w:left="404" w:hanging="404"/>
        <w:spacing w:after="0"/>
        <w:tabs>
          <w:tab w:leader="none" w:pos="4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Texas.</w:t>
      </w:r>
    </w:p>
    <w:p>
      <w:pPr>
        <w:spacing w:after="0" w:line="225" w:lineRule="exact"/>
        <w:rPr>
          <w:rFonts w:ascii="Arial" w:cs="Arial" w:eastAsia="Arial" w:hAnsi="Arial"/>
          <w:sz w:val="18"/>
          <w:szCs w:val="18"/>
          <w:color w:val="auto"/>
        </w:rPr>
      </w:pPr>
    </w:p>
    <w:p>
      <w:pPr>
        <w:ind w:left="-656" w:firstLine="656"/>
        <w:spacing w:after="0" w:line="277" w:lineRule="auto"/>
        <w:tabs>
          <w:tab w:leader="none" w:pos="397"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REFERENCES. Capitalized terms used and not otherwise defined herein shall have the meanings set forth in the Plan unless the context clearly requires otherwise.</w:t>
      </w:r>
    </w:p>
    <w:p>
      <w:pPr>
        <w:sectPr>
          <w:pgSz w:w="11900" w:h="16838" w:orient="portrait"/>
          <w:cols w:equalWidth="0" w:num="1">
            <w:col w:w="10764"/>
          </w:cols>
          <w:pgMar w:left="896" w:top="584" w:right="239" w:bottom="1440" w:gutter="0" w:footer="0" w:header="0"/>
        </w:sectPr>
      </w:pPr>
    </w:p>
    <w:bookmarkStart w:id="130" w:name="page131"/>
    <w:bookmarkEnd w:id="130"/>
    <w:p>
      <w:pPr>
        <w:jc w:val="both"/>
        <w:ind w:firstLine="656"/>
        <w:spacing w:after="0" w:line="255" w:lineRule="auto"/>
        <w:tabs>
          <w:tab w:leader="none" w:pos="10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CODE SECTION 409A. To the extent applicable, this Agreement is intended to be interpreted and applied so that the payments and benefits set forth herein comply with the requirements of Code Section 409A, and, accordingly, to the maximum extent permitted, this Agreement shall be interpreted to be in compliance with Code Section 409A. Notwithstanding the foregoing, the Company make no representations concerning Director’s tax consequences under this Agreement under Section 409A of the Code, or any other foreign, federal, state, or local tax law. Director’s tax consequences will depend, in part, upon the application of relevant tax law to the relevant facts and circumstances. Director should consult a competent and independent tax advisor regarding his tax consequences under this Agreement.</w:t>
      </w:r>
    </w:p>
    <w:p>
      <w:pPr>
        <w:spacing w:after="0" w:line="193" w:lineRule="exact"/>
        <w:rPr>
          <w:rFonts w:ascii="Arial" w:cs="Arial" w:eastAsia="Arial" w:hAnsi="Arial"/>
          <w:sz w:val="18"/>
          <w:szCs w:val="18"/>
          <w:color w:val="auto"/>
        </w:rPr>
      </w:pPr>
    </w:p>
    <w:p>
      <w:pPr>
        <w:jc w:val="both"/>
        <w:ind w:firstLine="656"/>
        <w:spacing w:after="0" w:line="259" w:lineRule="auto"/>
        <w:tabs>
          <w:tab w:leader="none" w:pos="112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INCOME TAX ACT SECTION 7. To the extent applicable, this Agreement and the Deferred Shares granted hereunder are intended to be interpreted and applied so that the provisions of Section 7 of the Income Tax Act (Canada) apply. Notwithstanding the foregoing, the Company makes no representations concerning the application of such provisions or otherwise concerning the Director's tax consequence under this Agreement. The Director should consult a competent and independent tax advisor regarding his/her tax consequences.</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1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RESTRICTIONS ON RESALE. The Director acknowledges and agrees that the issuance of any common shares upon the settlement of Deferred Shares shall be made in Canada only in reliance on an available exemption from the prospectus requirements. As such, the resale of any such issued common shares is restricted and the Director may not be able to resell such common shares, except in reliance on an available exemption from the prospectus requirements under Canadian applicable securities laws. It is the responsibility of the Director to consult with independent legal counsel prior to the resale of any such common shares as to the application of any such resale restrictions.</w:t>
      </w:r>
    </w:p>
    <w:p>
      <w:pPr>
        <w:spacing w:after="0" w:line="200" w:lineRule="exact"/>
        <w:rPr>
          <w:sz w:val="20"/>
          <w:szCs w:val="20"/>
          <w:color w:val="auto"/>
        </w:rPr>
      </w:pPr>
    </w:p>
    <w:p>
      <w:pPr>
        <w:spacing w:after="0" w:line="20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duly executed by an officer thereunto duly authorized, and Director has executed this Agreement, all effective as of the Effective Date.</w:t>
      </w:r>
    </w:p>
    <w:p>
      <w:pPr>
        <w:spacing w:after="0" w:line="33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5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5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606425</wp:posOffset>
            </wp:positionV>
            <wp:extent cx="40563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2">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420"/>
          </w:cols>
          <w:pgMar w:left="240" w:top="58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auto"/>
        </w:rPr>
        <w:t>SIGNIFICANT SUBSIDIARIES OF CIVEO CORPORATION</w:t>
      </w:r>
    </w:p>
    <w:p>
      <w:pPr>
        <w:sectPr>
          <w:pgSz w:w="11900" w:h="16838" w:orient="portrait"/>
          <w:cols w:equalWidth="0" w:num="1">
            <w:col w:w="10220"/>
          </w:cols>
          <w:pgMar w:left="1440" w:top="393" w:right="239" w:bottom="1440" w:gutter="0" w:footer="0" w:header="0"/>
        </w:sectPr>
      </w:pPr>
    </w:p>
    <w:p>
      <w:pPr>
        <w:spacing w:after="0" w:line="35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Name of Entity</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 Organization</w:t>
      </w:r>
    </w:p>
    <w:p>
      <w:pPr>
        <w:spacing w:after="0" w:line="200" w:lineRule="exact"/>
        <w:rPr>
          <w:sz w:val="20"/>
          <w:szCs w:val="20"/>
          <w:color w:val="auto"/>
        </w:rPr>
      </w:pPr>
    </w:p>
    <w:p>
      <w:pPr>
        <w:sectPr>
          <w:pgSz w:w="11900" w:h="16838" w:orient="portrait"/>
          <w:cols w:equalWidth="0" w:num="2">
            <w:col w:w="5240" w:space="720"/>
            <w:col w:w="4260"/>
          </w:cols>
          <w:pgMar w:left="1440" w:top="393" w:right="239" w:bottom="1440" w:gutter="0" w:footer="0" w:header="0"/>
          <w:type w:val="continuous"/>
        </w:sectPr>
      </w:pPr>
    </w:p>
    <w:p>
      <w:pPr>
        <w:spacing w:after="0" w:line="20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Civeo Holding Company 1 Pty Ltd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77" w:lineRule="exact"/>
        <w:rPr>
          <w:sz w:val="20"/>
          <w:szCs w:val="20"/>
          <w:color w:val="auto"/>
        </w:rPr>
      </w:pPr>
    </w:p>
    <w:p>
      <w:pPr>
        <w:sectPr>
          <w:pgSz w:w="11900" w:h="16838" w:orient="portrait"/>
          <w:cols w:equalWidth="0" w:num="2">
            <w:col w:w="5240" w:space="720"/>
            <w:col w:w="4260"/>
          </w:cols>
          <w:pgMar w:left="1440" w:top="393" w:right="2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Civeo Canada Limited Partnership</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color w:val="auto"/>
        </w:rPr>
        <w:t>Alberta, Canada</w:t>
      </w:r>
    </w:p>
    <w:p>
      <w:pPr>
        <w:spacing w:after="0" w:line="99" w:lineRule="exact"/>
        <w:rPr>
          <w:sz w:val="20"/>
          <w:szCs w:val="20"/>
          <w:color w:val="auto"/>
        </w:rPr>
      </w:pPr>
    </w:p>
    <w:p>
      <w:pPr>
        <w:sectPr>
          <w:pgSz w:w="11900" w:h="16838" w:orient="portrait"/>
          <w:cols w:equalWidth="0" w:num="2">
            <w:col w:w="5240" w:space="720"/>
            <w:col w:w="4260"/>
          </w:cols>
          <w:pgMar w:left="1440" w:top="393" w:right="2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Civeo Management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 U.S.</w:t>
      </w:r>
    </w:p>
    <w:p>
      <w:pPr>
        <w:spacing w:after="0" w:line="99" w:lineRule="exact"/>
        <w:rPr>
          <w:sz w:val="20"/>
          <w:szCs w:val="20"/>
          <w:color w:val="auto"/>
        </w:rPr>
      </w:pPr>
    </w:p>
    <w:p>
      <w:pPr>
        <w:sectPr>
          <w:pgSz w:w="11900" w:h="16838" w:orient="portrait"/>
          <w:cols w:equalWidth="0" w:num="2">
            <w:col w:w="5240" w:space="720"/>
            <w:col w:w="4260"/>
          </w:cols>
          <w:pgMar w:left="1440" w:top="393" w:right="2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Civeo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Australia</w:t>
      </w:r>
    </w:p>
    <w:p>
      <w:pPr>
        <w:sectPr>
          <w:pgSz w:w="11900" w:h="16838" w:orient="portrait"/>
          <w:cols w:equalWidth="0" w:num="2">
            <w:col w:w="5240" w:space="720"/>
            <w:col w:w="4260"/>
          </w:cols>
          <w:pgMar w:left="1440" w:top="393" w:right="2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60" w:lineRule="exact"/>
        <w:rPr>
          <w:sz w:val="20"/>
          <w:szCs w:val="20"/>
          <w:color w:val="auto"/>
        </w:rPr>
      </w:pPr>
    </w:p>
    <w:p>
      <w:pPr>
        <w:ind w:left="980" w:hanging="648"/>
        <w:spacing w:after="0" w:line="263" w:lineRule="auto"/>
        <w:tabs>
          <w:tab w:leader="none" w:pos="980" w:val="left"/>
        </w:tabs>
        <w:numPr>
          <w:ilvl w:val="0"/>
          <w:numId w:val="84"/>
        </w:numPr>
        <w:rPr>
          <w:rFonts w:ascii="Arial" w:cs="Arial" w:eastAsia="Arial" w:hAnsi="Arial"/>
          <w:sz w:val="20"/>
          <w:szCs w:val="20"/>
          <w:color w:val="auto"/>
        </w:rPr>
      </w:pPr>
      <w:r>
        <w:rPr>
          <w:rFonts w:ascii="Arial" w:cs="Arial" w:eastAsia="Arial" w:hAnsi="Arial"/>
          <w:sz w:val="22"/>
          <w:szCs w:val="22"/>
          <w:color w:val="auto"/>
        </w:rPr>
        <w:t>the Registration Statement (Form S-8 No. 333-196292, as amended) pertaining to the 2014 Equity Participation Plan of Civeo Corporation,</w:t>
      </w:r>
    </w:p>
    <w:p>
      <w:pPr>
        <w:spacing w:after="0" w:line="215" w:lineRule="exact"/>
        <w:rPr>
          <w:rFonts w:ascii="Arial" w:cs="Arial" w:eastAsia="Arial" w:hAnsi="Arial"/>
          <w:sz w:val="20"/>
          <w:szCs w:val="20"/>
          <w:color w:val="auto"/>
        </w:rPr>
      </w:pPr>
    </w:p>
    <w:p>
      <w:pPr>
        <w:ind w:left="980" w:hanging="648"/>
        <w:spacing w:after="0" w:line="263" w:lineRule="auto"/>
        <w:tabs>
          <w:tab w:leader="none" w:pos="980" w:val="left"/>
        </w:tabs>
        <w:numPr>
          <w:ilvl w:val="0"/>
          <w:numId w:val="84"/>
        </w:numPr>
        <w:rPr>
          <w:rFonts w:ascii="Arial" w:cs="Arial" w:eastAsia="Arial" w:hAnsi="Arial"/>
          <w:sz w:val="20"/>
          <w:szCs w:val="20"/>
          <w:color w:val="auto"/>
        </w:rPr>
      </w:pPr>
      <w:r>
        <w:rPr>
          <w:rFonts w:ascii="Arial" w:cs="Arial" w:eastAsia="Arial" w:hAnsi="Arial"/>
          <w:sz w:val="22"/>
          <w:szCs w:val="22"/>
          <w:color w:val="auto"/>
        </w:rPr>
        <w:t>the Registration Statement (Form S-8 No. 333-211393) pertaining to the Amended and Restated 2014 Equity Participation Plan of Civeo Corporation,</w:t>
      </w:r>
    </w:p>
    <w:p>
      <w:pPr>
        <w:spacing w:after="0" w:line="215" w:lineRule="exact"/>
        <w:rPr>
          <w:rFonts w:ascii="Arial" w:cs="Arial" w:eastAsia="Arial" w:hAnsi="Arial"/>
          <w:sz w:val="20"/>
          <w:szCs w:val="20"/>
          <w:color w:val="auto"/>
        </w:rPr>
      </w:pPr>
    </w:p>
    <w:p>
      <w:pPr>
        <w:ind w:left="980" w:hanging="648"/>
        <w:spacing w:after="0" w:line="263" w:lineRule="auto"/>
        <w:tabs>
          <w:tab w:leader="none" w:pos="980" w:val="left"/>
        </w:tabs>
        <w:numPr>
          <w:ilvl w:val="0"/>
          <w:numId w:val="84"/>
        </w:numPr>
        <w:rPr>
          <w:rFonts w:ascii="Arial" w:cs="Arial" w:eastAsia="Arial" w:hAnsi="Arial"/>
          <w:sz w:val="20"/>
          <w:szCs w:val="20"/>
          <w:color w:val="auto"/>
        </w:rPr>
      </w:pPr>
      <w:r>
        <w:rPr>
          <w:rFonts w:ascii="Arial" w:cs="Arial" w:eastAsia="Arial" w:hAnsi="Arial"/>
          <w:sz w:val="22"/>
          <w:szCs w:val="22"/>
          <w:color w:val="auto"/>
        </w:rPr>
        <w:t>the Registration Statement (Form S-8 No. 333-226388) pertaining to the Amended and Restated Equity Participation Plan of Civeo Corporation and</w:t>
      </w:r>
    </w:p>
    <w:p>
      <w:pPr>
        <w:spacing w:after="0" w:line="215" w:lineRule="exact"/>
        <w:rPr>
          <w:rFonts w:ascii="Arial" w:cs="Arial" w:eastAsia="Arial" w:hAnsi="Arial"/>
          <w:sz w:val="20"/>
          <w:szCs w:val="20"/>
          <w:color w:val="auto"/>
        </w:rPr>
      </w:pPr>
    </w:p>
    <w:p>
      <w:pPr>
        <w:ind w:left="980" w:hanging="648"/>
        <w:spacing w:after="0" w:line="263" w:lineRule="auto"/>
        <w:tabs>
          <w:tab w:leader="none" w:pos="980" w:val="left"/>
        </w:tabs>
        <w:numPr>
          <w:ilvl w:val="0"/>
          <w:numId w:val="84"/>
        </w:numPr>
        <w:rPr>
          <w:rFonts w:ascii="Arial" w:cs="Arial" w:eastAsia="Arial" w:hAnsi="Arial"/>
          <w:sz w:val="20"/>
          <w:szCs w:val="20"/>
          <w:color w:val="auto"/>
        </w:rPr>
      </w:pPr>
      <w:r>
        <w:rPr>
          <w:rFonts w:ascii="Arial" w:cs="Arial" w:eastAsia="Arial" w:hAnsi="Arial"/>
          <w:sz w:val="22"/>
          <w:szCs w:val="22"/>
          <w:color w:val="auto"/>
        </w:rPr>
        <w:t>the Registration Statement (Form S-3 No. 333-212754, as amended) pertaining to the registration of common shares, preferred shares, debt securities and warrants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February 27, 2019, with respect to the consolidated financial statements of Civeo Corporation and the effectiveness of internal control over financial reporting of Civeo Corporation, included in this Annual Report (Form 10-K) for the year ended December 31, 2018.</w:t>
      </w:r>
    </w:p>
    <w:p>
      <w:pPr>
        <w:spacing w:after="0" w:line="200" w:lineRule="exact"/>
        <w:rPr>
          <w:sz w:val="20"/>
          <w:szCs w:val="20"/>
          <w:color w:val="auto"/>
        </w:rPr>
      </w:pPr>
    </w:p>
    <w:p>
      <w:pPr>
        <w:spacing w:after="0" w:line="283"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i w:val="1"/>
          <w:iCs w:val="1"/>
          <w:color w:val="auto"/>
        </w:rPr>
        <w:t>Ernst &amp; Young LLP</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27, 2019</w:t>
      </w:r>
    </w:p>
    <w:p>
      <w:pPr>
        <w:sectPr>
          <w:pgSz w:w="11900" w:h="16838" w:orient="portrait"/>
          <w:cols w:equalWidth="0" w:num="1">
            <w:col w:w="11420"/>
          </w:cols>
          <w:pgMar w:left="240" w:top="63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520" w:hanging="328"/>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Civeo Corporation (“Registrant");</w:t>
      </w:r>
    </w:p>
    <w:p>
      <w:pPr>
        <w:spacing w:after="0" w:line="225" w:lineRule="exact"/>
        <w:rPr>
          <w:rFonts w:ascii="Arial" w:cs="Arial" w:eastAsia="Arial" w:hAnsi="Arial"/>
          <w:sz w:val="18"/>
          <w:szCs w:val="18"/>
          <w:color w:val="auto"/>
        </w:rPr>
      </w:pPr>
    </w:p>
    <w:p>
      <w:pPr>
        <w:jc w:val="both"/>
        <w:ind w:left="520" w:right="300" w:hanging="328"/>
        <w:spacing w:after="0" w:line="264"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60" w:hanging="328"/>
        <w:spacing w:after="0" w:line="308"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328"/>
        <w:spacing w:after="0" w:line="264"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and have:</w:t>
      </w:r>
    </w:p>
    <w:p>
      <w:pPr>
        <w:spacing w:after="0" w:line="181" w:lineRule="exact"/>
        <w:rPr>
          <w:rFonts w:ascii="Arial" w:cs="Arial" w:eastAsia="Arial" w:hAnsi="Arial"/>
          <w:sz w:val="18"/>
          <w:szCs w:val="18"/>
          <w:color w:val="auto"/>
        </w:rPr>
      </w:pPr>
    </w:p>
    <w:p>
      <w:pPr>
        <w:jc w:val="both"/>
        <w:ind w:left="1000" w:right="80" w:hanging="322"/>
        <w:spacing w:after="0" w:line="264"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380" w:hanging="322"/>
        <w:spacing w:after="0" w:line="264"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540" w:hanging="322"/>
        <w:spacing w:after="0" w:line="342" w:lineRule="auto"/>
        <w:tabs>
          <w:tab w:leader="none" w:pos="10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hanging="322"/>
        <w:spacing w:after="0" w:line="264"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328"/>
        <w:spacing w:after="0" w:line="308"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20" w:hanging="322"/>
        <w:spacing w:after="0" w:line="308" w:lineRule="auto"/>
        <w:tabs>
          <w:tab w:leader="none" w:pos="10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480" w:hanging="322"/>
        <w:spacing w:after="0" w:line="277"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80" w:top="58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Date: February 27, 2019</w:t>
      </w:r>
    </w:p>
    <w:p>
      <w:pPr>
        <w:spacing w:after="0" w:line="17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31750</wp:posOffset>
            </wp:positionV>
            <wp:extent cx="2383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300"/>
          </w:cols>
          <w:pgMar w:left="380" w:top="584" w:right="12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1000" w:hanging="322"/>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Civeo Corporation (“Registrant”);</w:t>
      </w:r>
    </w:p>
    <w:p>
      <w:pPr>
        <w:spacing w:after="0" w:line="225" w:lineRule="exact"/>
        <w:rPr>
          <w:rFonts w:ascii="Arial" w:cs="Arial" w:eastAsia="Arial" w:hAnsi="Arial"/>
          <w:sz w:val="18"/>
          <w:szCs w:val="18"/>
          <w:color w:val="auto"/>
        </w:rPr>
      </w:pPr>
    </w:p>
    <w:p>
      <w:pPr>
        <w:jc w:val="both"/>
        <w:ind w:left="1000" w:right="80" w:hanging="322"/>
        <w:spacing w:after="0" w:line="264"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00" w:right="40" w:hanging="322"/>
        <w:spacing w:after="0" w:line="308" w:lineRule="auto"/>
        <w:tabs>
          <w:tab w:leader="none" w:pos="10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00" w:right="120" w:hanging="322"/>
        <w:spacing w:after="0" w:line="264"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and have:</w:t>
      </w:r>
    </w:p>
    <w:p>
      <w:pPr>
        <w:spacing w:after="0" w:line="181" w:lineRule="exact"/>
        <w:rPr>
          <w:rFonts w:ascii="Arial" w:cs="Arial" w:eastAsia="Arial" w:hAnsi="Arial"/>
          <w:sz w:val="18"/>
          <w:szCs w:val="18"/>
          <w:color w:val="auto"/>
        </w:rPr>
      </w:pPr>
    </w:p>
    <w:p>
      <w:pPr>
        <w:ind w:left="1320" w:right="80" w:hanging="318"/>
        <w:spacing w:after="0" w:line="264" w:lineRule="auto"/>
        <w:tabs>
          <w:tab w:leader="none" w:pos="13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20" w:right="60" w:hanging="318"/>
        <w:spacing w:after="0" w:line="264" w:lineRule="auto"/>
        <w:tabs>
          <w:tab w:leader="none" w:pos="13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20" w:right="220" w:hanging="318"/>
        <w:spacing w:after="0" w:line="342" w:lineRule="auto"/>
        <w:tabs>
          <w:tab w:leader="none" w:pos="13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20" w:right="140" w:hanging="318"/>
        <w:spacing w:after="0" w:line="264" w:lineRule="auto"/>
        <w:tabs>
          <w:tab w:leader="none" w:pos="13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00" w:right="80" w:hanging="322"/>
        <w:spacing w:after="0" w:line="342" w:lineRule="auto"/>
        <w:tabs>
          <w:tab w:leader="none" w:pos="10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20" w:right="520" w:hanging="318"/>
        <w:spacing w:after="0" w:line="342" w:lineRule="auto"/>
        <w:tabs>
          <w:tab w:leader="none" w:pos="13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20" w:right="140" w:hanging="318"/>
        <w:spacing w:after="0" w:line="277" w:lineRule="auto"/>
        <w:tabs>
          <w:tab w:leader="none" w:pos="13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80" w:top="580"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Date: February 27, 2019</w:t>
      </w:r>
    </w:p>
    <w:p>
      <w:pPr>
        <w:spacing w:after="0" w:line="38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31750</wp:posOffset>
            </wp:positionV>
            <wp:extent cx="2383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Frank C. Steininger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Executive Vice President, Chief Financial Officer</w:t>
      </w:r>
    </w:p>
    <w:p>
      <w:pPr>
        <w:spacing w:after="0" w:line="32"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1120"/>
          </w:cols>
          <w:pgMar w:left="380" w:top="584" w:right="3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Annual Report on Form 10-K of Civeo Corporation (the “Company”) for the twelve month period ended December 31, 2018,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tabs>
          <w:tab w:leader="none" w:pos="7560" w:val="left"/>
        </w:tabs>
        <w:rPr>
          <w:sz w:val="20"/>
          <w:szCs w:val="20"/>
          <w:color w:val="auto"/>
        </w:rPr>
      </w:pPr>
      <w:r>
        <w:rPr>
          <w:rFonts w:ascii="Arial" w:cs="Arial" w:eastAsia="Arial" w:hAnsi="Arial"/>
          <w:sz w:val="18"/>
          <w:szCs w:val="18"/>
          <w:color w:val="auto"/>
        </w:rPr>
        <w:t>Name:</w:t>
        <w:tab/>
        <w:t>Bradley J. Dodson</w:t>
      </w:r>
    </w:p>
    <w:p>
      <w:pPr>
        <w:spacing w:after="0" w:line="63" w:lineRule="exact"/>
        <w:rPr>
          <w:sz w:val="20"/>
          <w:szCs w:val="20"/>
          <w:color w:val="auto"/>
        </w:rPr>
      </w:pPr>
    </w:p>
    <w:p>
      <w:pPr>
        <w:ind w:left="6900"/>
        <w:spacing w:after="0"/>
        <w:tabs>
          <w:tab w:leader="none" w:pos="7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2019</w:t>
      </w:r>
    </w:p>
    <w:p>
      <w:pPr>
        <w:sectPr>
          <w:pgSz w:w="11900" w:h="16838" w:orient="portrait"/>
          <w:cols w:equalWidth="0" w:num="1">
            <w:col w:w="11420"/>
          </w:cols>
          <w:pgMar w:left="240" w:top="5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Annual Report on Form 10-K of Civeo Corporation (the “Company”) for the twelve month period ended December 31, 2018, as filed with the Securities and Exchange Commission on the date hereof (the “Report”), I, Frank C. Steininger, Executive Vice President, Chief Financial Officer and Treasurer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727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ind w:left="6900"/>
        <w:spacing w:after="0"/>
        <w:tabs>
          <w:tab w:leader="none" w:pos="7560" w:val="left"/>
        </w:tabs>
        <w:rPr>
          <w:sz w:val="20"/>
          <w:szCs w:val="20"/>
          <w:color w:val="auto"/>
        </w:rPr>
      </w:pPr>
      <w:r>
        <w:rPr>
          <w:rFonts w:ascii="Arial" w:cs="Arial" w:eastAsia="Arial" w:hAnsi="Arial"/>
          <w:sz w:val="18"/>
          <w:szCs w:val="18"/>
          <w:color w:val="auto"/>
        </w:rPr>
        <w:t>Name:</w:t>
        <w:tab/>
        <w:t>Frank C. Steininger</w:t>
      </w:r>
    </w:p>
    <w:p>
      <w:pPr>
        <w:spacing w:after="0" w:line="63" w:lineRule="exact"/>
        <w:rPr>
          <w:sz w:val="20"/>
          <w:szCs w:val="20"/>
          <w:color w:val="auto"/>
        </w:rPr>
      </w:pPr>
    </w:p>
    <w:p>
      <w:pPr>
        <w:ind w:left="6900"/>
        <w:spacing w:after="0"/>
        <w:tabs>
          <w:tab w:leader="none" w:pos="7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upperLetter"/>
      <w:start w:val="24"/>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1)"/>
      <w:numFmt w:val="decimal"/>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lvl w:ilvl="1">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lvl w:ilvl="1">
      <w:lvlJc w:val="left"/>
      <w:lvlText w:val=";"/>
      <w:numFmt w:val="bullet"/>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
      <w:numFmt w:val="bullet"/>
      <w:start w:val="1"/>
    </w:lvl>
    <w:lvl w:ilvl="1">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lvl w:ilvl="1">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2"/>
    </w:lvl>
  </w:abstractNum>
  <w:abstractNum w:abstractNumId="54">
    <w:nsid w:val="6B94764"/>
    <w:multiLevelType w:val="hybridMultilevel"/>
    <w:lvl w:ilvl="0">
      <w:lvlJc w:val="left"/>
      <w:lvlText w:val="%1."/>
      <w:numFmt w:val="decimal"/>
      <w:start w:val="3"/>
    </w:lvl>
  </w:abstractNum>
  <w:abstractNum w:abstractNumId="55">
    <w:nsid w:val="42C296BD"/>
    <w:multiLevelType w:val="hybridMultilevel"/>
    <w:lvl w:ilvl="0">
      <w:lvlJc w:val="left"/>
      <w:lvlText w:val="%1."/>
      <w:numFmt w:val="decimal"/>
      <w:start w:val="4"/>
    </w:lvl>
  </w:abstractNum>
  <w:abstractNum w:abstractNumId="56">
    <w:nsid w:val="168E121F"/>
    <w:multiLevelType w:val="hybridMultilevel"/>
    <w:lvl w:ilvl="0">
      <w:lvlJc w:val="left"/>
      <w:lvlText w:val="%1."/>
      <w:numFmt w:val="decimal"/>
      <w:start w:val="5"/>
    </w:lvl>
  </w:abstractNum>
  <w:abstractNum w:abstractNumId="57">
    <w:nsid w:val="1EBA5D23"/>
    <w:multiLevelType w:val="hybridMultilevel"/>
    <w:lvl w:ilvl="0">
      <w:lvlJc w:val="left"/>
      <w:lvlText w:val="%1."/>
      <w:numFmt w:val="decimal"/>
      <w:start w:val="6"/>
    </w:lvl>
  </w:abstractNum>
  <w:abstractNum w:abstractNumId="58">
    <w:nsid w:val="661E3F1E"/>
    <w:multiLevelType w:val="hybridMultilevel"/>
    <w:lvl w:ilvl="0">
      <w:lvlJc w:val="left"/>
      <w:lvlText w:val="%1."/>
      <w:numFmt w:val="decimal"/>
      <w:start w:val="7"/>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1."/>
      <w:numFmt w:val="decimal"/>
      <w:start w:val="8"/>
    </w:lvl>
  </w:abstractNum>
  <w:abstractNum w:abstractNumId="61">
    <w:nsid w:val="7BD3EE7B"/>
    <w:multiLevelType w:val="hybridMultilevel"/>
    <w:lvl w:ilvl="0">
      <w:lvlJc w:val="left"/>
      <w:lvlText w:val="%1"/>
      <w:numFmt w:val="decimal"/>
      <w:start w:val="1"/>
    </w:lvl>
    <w:lvl w:ilvl="1">
      <w:lvlJc w:val="left"/>
      <w:lvlText w:val="(%2)"/>
      <w:numFmt w:val="decimal"/>
      <w:start w:val="1"/>
    </w:lvl>
  </w:abstractNum>
  <w:abstractNum w:abstractNumId="62">
    <w:nsid w:val="51D9C564"/>
    <w:multiLevelType w:val="hybridMultilevel"/>
    <w:lvl w:ilvl="0">
      <w:lvlJc w:val="left"/>
      <w:lvlText w:val="%1."/>
      <w:numFmt w:val="decimal"/>
      <w:start w:val="9"/>
    </w:lvl>
    <w:lvl w:ilvl="1">
      <w:lvlJc w:val="left"/>
      <w:lvlText w:val="%2"/>
      <w:numFmt w:val="decimal"/>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lvl w:ilvl="1">
      <w:lvlJc w:val="left"/>
      <w:lvlText w:val=";"/>
      <w:numFmt w:val="bullet"/>
      <w:start w:val="1"/>
    </w:lvl>
  </w:abstractNum>
  <w:abstractNum w:abstractNumId="66">
    <w:nsid w:val="42963E5A"/>
    <w:multiLevelType w:val="hybridMultilevel"/>
    <w:lvl w:ilvl="0">
      <w:lvlJc w:val="left"/>
      <w:lvlText w:val="•"/>
      <w:numFmt w:val="bullet"/>
      <w:start w:val="1"/>
    </w:lvl>
    <w:lvl w:ilvl="1">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1)"/>
      <w:numFmt w:val="decimal"/>
      <w:start w:val="1"/>
    </w:lvl>
    <w:lvl w:ilvl="1">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1)"/>
      <w:numFmt w:val="decimal"/>
      <w:start w:val="4"/>
    </w:lvl>
    <w:lvl w:ilvl="1">
      <w:lvlJc w:val="left"/>
      <w:lvlText w:val="•"/>
      <w:numFmt w:val="bullet"/>
      <w:start w:val="1"/>
    </w:lvl>
  </w:abstractNum>
  <w:abstractNum w:abstractNumId="73">
    <w:nsid w:val="60B6DF70"/>
    <w:multiLevelType w:val="hybridMultilevel"/>
    <w:lvl w:ilvl="0">
      <w:lvlJc w:val="left"/>
      <w:lvlText w:val="(%1)"/>
      <w:numFmt w:val="decimal"/>
      <w:start w:val="4"/>
    </w:lvl>
    <w:lvl w:ilvl="1">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1"/>
      <w:numFmt w:val="lowerRoman"/>
      <w:start w:val="1"/>
    </w:lvl>
    <w:lvl w:ilvl="1">
      <w:lvlJc w:val="left"/>
      <w:lvlText w:val="%2."/>
      <w:numFmt w:val="decimal"/>
      <w:start w:val="1"/>
    </w:lvl>
  </w:abstractNum>
  <w:abstractNum w:abstractNumId="76">
    <w:nsid w:val="7FFFCA11"/>
    <w:multiLevelType w:val="hybridMultilevel"/>
    <w:lvl w:ilvl="0">
      <w:lvlJc w:val="left"/>
      <w:lvlText w:val="(%1)"/>
      <w:numFmt w:val="lowerRoman"/>
      <w:start w:val="1"/>
    </w:lvl>
    <w:lvl w:ilvl="1">
      <w:lvlJc w:val="left"/>
      <w:lvlText w:val="%2"/>
      <w:numFmt w:val="decimal"/>
      <w:start w:val="1"/>
    </w:lvl>
  </w:abstractNum>
  <w:abstractNum w:abstractNumId="77">
    <w:nsid w:val="1A27709E"/>
    <w:multiLevelType w:val="hybridMultilevel"/>
    <w:lvl w:ilvl="0">
      <w:lvlJc w:val="left"/>
      <w:lvlText w:val="%1."/>
      <w:numFmt w:val="decimal"/>
      <w:start w:val="5"/>
    </w:lvl>
  </w:abstractNum>
  <w:abstractNum w:abstractNumId="78">
    <w:nsid w:val="71EA1109"/>
    <w:multiLevelType w:val="hybridMultilevel"/>
    <w:lvl w:ilvl="0">
      <w:lvlJc w:val="left"/>
      <w:lvlText w:val="%1."/>
      <w:numFmt w:val="decimal"/>
      <w:start w:val="16"/>
    </w:lvl>
  </w:abstractNum>
  <w:abstractNum w:abstractNumId="79">
    <w:nsid w:val="100F59DC"/>
    <w:multiLevelType w:val="hybridMultilevel"/>
    <w:lvl w:ilvl="0">
      <w:lvlJc w:val="left"/>
      <w:lvlText w:val="%1"/>
      <w:numFmt w:val="lowerRoman"/>
      <w:start w:val="1"/>
    </w:lvl>
    <w:lvl w:ilvl="1">
      <w:lvlJc w:val="left"/>
      <w:lvlText w:val="%2."/>
      <w:numFmt w:val="decimal"/>
      <w:start w:val="1"/>
    </w:lvl>
  </w:abstractNum>
  <w:abstractNum w:abstractNumId="80">
    <w:nsid w:val="7FB7E0AA"/>
    <w:multiLevelType w:val="hybridMultilevel"/>
    <w:lvl w:ilvl="0">
      <w:lvlJc w:val="left"/>
      <w:lvlText w:val="(%1)"/>
      <w:numFmt w:val="lowerRoman"/>
      <w:start w:val="1"/>
    </w:lvl>
    <w:lvl w:ilvl="1">
      <w:lvlJc w:val="left"/>
      <w:lvlText w:val="%2"/>
      <w:numFmt w:val="decimal"/>
      <w:start w:val="1"/>
    </w:lvl>
  </w:abstractNum>
  <w:abstractNum w:abstractNumId="81">
    <w:nsid w:val="6EB5BD4"/>
    <w:multiLevelType w:val="hybridMultilevel"/>
    <w:lvl w:ilvl="0">
      <w:lvlJc w:val="left"/>
      <w:lvlText w:val="%1."/>
      <w:numFmt w:val="decimal"/>
      <w:start w:val="5"/>
    </w:lvl>
  </w:abstractNum>
  <w:abstractNum w:abstractNumId="82">
    <w:nsid w:val="6F6DD9AC"/>
    <w:multiLevelType w:val="hybridMultilevel"/>
    <w:lvl w:ilvl="0">
      <w:lvlJc w:val="left"/>
      <w:lvlText w:val="%1."/>
      <w:numFmt w:val="decimal"/>
      <w:start w:val="16"/>
    </w:lvl>
  </w:abstractNum>
  <w:abstractNum w:abstractNumId="83">
    <w:nsid w:val="94211F2"/>
    <w:multiLevelType w:val="hybridMultilevel"/>
    <w:lvl w:ilvl="0">
      <w:lvlJc w:val="left"/>
      <w:lvlText w:val="(%1)"/>
      <w:numFmt w:val="lowerRoman"/>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71" Type="http://schemas.openxmlformats.org/officeDocument/2006/relationships/image" Target="media/image26.png"/><Relationship Id="rId72" Type="http://schemas.openxmlformats.org/officeDocument/2006/relationships/image" Target="media/image27.png"/><Relationship Id="rId73" Type="http://schemas.openxmlformats.org/officeDocument/2006/relationships/image" Target="media/image28.png"/><Relationship Id="rId74" Type="http://schemas.openxmlformats.org/officeDocument/2006/relationships/image" Target="media/image29.png"/><Relationship Id="rId75" Type="http://schemas.openxmlformats.org/officeDocument/2006/relationships/image" Target="media/image30.png"/><Relationship Id="rId76" Type="http://schemas.openxmlformats.org/officeDocument/2006/relationships/image" Target="media/image31.png"/><Relationship Id="rId77" Type="http://schemas.openxmlformats.org/officeDocument/2006/relationships/image" Target="media/image32.png"/><Relationship Id="rId78" Type="http://schemas.openxmlformats.org/officeDocument/2006/relationships/image" Target="media/image33.png"/><Relationship Id="rId79" Type="http://schemas.openxmlformats.org/officeDocument/2006/relationships/image" Target="media/image34.png"/><Relationship Id="rId80" Type="http://schemas.openxmlformats.org/officeDocument/2006/relationships/image" Target="media/image35.png"/><Relationship Id="rId81" Type="http://schemas.openxmlformats.org/officeDocument/2006/relationships/image" Target="media/image36.png"/><Relationship Id="rId82" Type="http://schemas.openxmlformats.org/officeDocument/2006/relationships/image" Target="media/image37.png"/><Relationship Id="rId83" Type="http://schemas.openxmlformats.org/officeDocument/2006/relationships/image" Target="media/image38.png"/><Relationship Id="rId84" Type="http://schemas.openxmlformats.org/officeDocument/2006/relationships/image" Target="media/image39.png"/><Relationship Id="rId85" Type="http://schemas.openxmlformats.org/officeDocument/2006/relationships/image" Target="media/image40.png"/><Relationship Id="rId86" Type="http://schemas.openxmlformats.org/officeDocument/2006/relationships/image" Target="media/image41.png"/><Relationship Id="rId87" Type="http://schemas.openxmlformats.org/officeDocument/2006/relationships/image" Target="media/image42.png"/><Relationship Id="rId33" Type="http://schemas.openxmlformats.org/officeDocument/2006/relationships/hyperlink" Target="http://www.sec.gov/Archives/edgar/data/1590584/000143774914010483/ex2-1.htm" TargetMode="External"/><Relationship Id="rId34" Type="http://schemas.openxmlformats.org/officeDocument/2006/relationships/hyperlink" Target="http://www.sec.gov/Archives/edgar/data/1590584/000143774917019804/ex_101078.htm" TargetMode="External"/><Relationship Id="rId35" Type="http://schemas.openxmlformats.org/officeDocument/2006/relationships/hyperlink" Target="http://www.sec.gov/Archives/edgar/data/1590584/000143774918004861/ex_108119.htm" TargetMode="External"/><Relationship Id="rId36" Type="http://schemas.openxmlformats.org/officeDocument/2006/relationships/hyperlink" Target="http://www.sec.gov/Archives/edgar/data/1590584/000143774918006074/ex_109485.htm" TargetMode="External"/><Relationship Id="rId37" Type="http://schemas.openxmlformats.org/officeDocument/2006/relationships/hyperlink" Target="http://www.sec.gov/Archives/edgar/data/1590584/000143774918006074/ex_109480.htm" TargetMode="External"/><Relationship Id="rId38" Type="http://schemas.openxmlformats.org/officeDocument/2006/relationships/hyperlink" Target="http://www.sec.gov/Archives/edgar/data/1590584/000143774915013719/ex4-1.htm" TargetMode="External"/><Relationship Id="rId39" Type="http://schemas.openxmlformats.org/officeDocument/2006/relationships/hyperlink" Target="http://www.sec.gov/Archives/edgar/data/1590584/000143774918006074/ex_109479.htm" TargetMode="External"/><Relationship Id="rId40" Type="http://schemas.openxmlformats.org/officeDocument/2006/relationships/hyperlink" Target="http://www.sec.gov/Archives/edgar/data/1590584/000143774914010483/ex10-1.htm" TargetMode="External"/><Relationship Id="rId41" Type="http://schemas.openxmlformats.org/officeDocument/2006/relationships/hyperlink" Target="http://www.sec.gov/Archives/edgar/data/1590584/000143774914010483/ex10-2.htm" TargetMode="External"/><Relationship Id="rId42" Type="http://schemas.openxmlformats.org/officeDocument/2006/relationships/hyperlink" Target="http://www.sec.gov/Archives/edgar/data/1590584/000143774914010483/ex10-3.htm" TargetMode="External"/><Relationship Id="rId43" Type="http://schemas.openxmlformats.org/officeDocument/2006/relationships/hyperlink" Target="http://www.sec.gov/Archives/edgar/data/1590584/000143774914010483/ex10-4.htm" TargetMode="External"/><Relationship Id="rId44" Type="http://schemas.openxmlformats.org/officeDocument/2006/relationships/hyperlink" Target="http://www.sec.gov/Archives/edgar/data/1590584/000143774915013719/ex10-1.htm" TargetMode="External"/><Relationship Id="rId45" Type="http://schemas.openxmlformats.org/officeDocument/2006/relationships/hyperlink" Target="http://www.sec.gov/Archives/edgar/data/1590584/000119312516536013/d171905ddef14a.htm#toc171905_46" TargetMode="External"/><Relationship Id="rId46" Type="http://schemas.openxmlformats.org/officeDocument/2006/relationships/hyperlink" Target="http://www.sec.gov/Archives/edgar/data/1590584/000143774916030204/ex10-2.htm" TargetMode="External"/><Relationship Id="rId47" Type="http://schemas.openxmlformats.org/officeDocument/2006/relationships/hyperlink" Target="http://www.sec.gov/Archives/edgar/data/1590584/000143774916030204/ex10-3.htm" TargetMode="External"/><Relationship Id="rId48" Type="http://schemas.openxmlformats.org/officeDocument/2006/relationships/hyperlink" Target="http://www.sec.gov/Archives/edgar/data/1590584/000143774914006955/ex10-7.htm" TargetMode="External"/><Relationship Id="rId49" Type="http://schemas.openxmlformats.org/officeDocument/2006/relationships/hyperlink" Target="http://www.sec.gov/Archives/edgar/data/1590584/000143774914006955/ex10-8.htm" TargetMode="External"/><Relationship Id="rId50" Type="http://schemas.openxmlformats.org/officeDocument/2006/relationships/hyperlink" Target="http://www.sec.gov/Archives/edgar/data/1590584/000143774914006955/ex10-9.htm" TargetMode="External"/><Relationship Id="rId51" Type="http://schemas.openxmlformats.org/officeDocument/2006/relationships/hyperlink" Target="http://www.sec.gov/Archives/edgar/data/1590584/000143774914006955/ex10-10.htm" TargetMode="External"/><Relationship Id="rId52" Type="http://schemas.openxmlformats.org/officeDocument/2006/relationships/hyperlink" Target="http://www.sec.gov/Archives/edgar/data/1590584/000143774914006955/ex10-11.htm" TargetMode="External"/><Relationship Id="rId53" Type="http://schemas.openxmlformats.org/officeDocument/2006/relationships/hyperlink" Target="http://www.sec.gov/Archives/edgar/data/1590584/000143774914006955/ex10-12.htm" TargetMode="External"/><Relationship Id="rId54" Type="http://schemas.openxmlformats.org/officeDocument/2006/relationships/hyperlink" Target="http://www.sec.gov/Archives/edgar/data/1590584/000143774914006955/ex10-13.htm" TargetMode="External"/><Relationship Id="rId55" Type="http://schemas.openxmlformats.org/officeDocument/2006/relationships/hyperlink" Target="http://www.sec.gov/Archives/edgar/data/1590584/000143774914006955/ex10-14.htm" TargetMode="External"/><Relationship Id="rId56" Type="http://schemas.openxmlformats.org/officeDocument/2006/relationships/hyperlink" Target="http://www.sec.gov/Archives/edgar/data/1590584/000143774915005012/ex10-17.htm" TargetMode="External"/><Relationship Id="rId57" Type="http://schemas.openxmlformats.org/officeDocument/2006/relationships/hyperlink" Target="http://www.sec.gov/Archives/edgar/data/1590584/000143774915009327/ex10-1.htm" TargetMode="External"/><Relationship Id="rId58" Type="http://schemas.openxmlformats.org/officeDocument/2006/relationships/hyperlink" Target="http://www.sec.gov/Archives/edgar/data/1590584/000143774915013719/ex10-3.htm" TargetMode="External"/><Relationship Id="rId59" Type="http://schemas.openxmlformats.org/officeDocument/2006/relationships/hyperlink" Target="http://www.sec.gov/Archives/edgar/data/1590584/000143774915013719/ex10-4.htm" TargetMode="External"/><Relationship Id="rId60" Type="http://schemas.openxmlformats.org/officeDocument/2006/relationships/hyperlink" Target="http://www.sec.gov/Archives/edgar/data/1590584/000143774915013719/ex10-5.htm" TargetMode="External"/><Relationship Id="rId61" Type="http://schemas.openxmlformats.org/officeDocument/2006/relationships/hyperlink" Target="http://www.sec.gov/Archives/edgar/data/1590584/000143774915016537/ex10-1.htm" TargetMode="External"/><Relationship Id="rId62" Type="http://schemas.openxmlformats.org/officeDocument/2006/relationships/hyperlink" Target="http://www.sec.gov/Archives/edgar/data/1590584/000143774915016537/ex10-2.htm" TargetMode="External"/><Relationship Id="rId63" Type="http://schemas.openxmlformats.org/officeDocument/2006/relationships/hyperlink" Target="http://www.sec.gov/Archives/edgar/data/1590584/000143774915019401/ex10-8.htm" TargetMode="External"/><Relationship Id="rId64" Type="http://schemas.openxmlformats.org/officeDocument/2006/relationships/hyperlink" Target="http://www.sec.gov/Archives/edgar/data/1590584/000143774915019401/ex10-9.htm" TargetMode="External"/><Relationship Id="rId65" Type="http://schemas.openxmlformats.org/officeDocument/2006/relationships/hyperlink" Target="http://www.sec.gov/Archives/edgar/data/1590584/000143774915019401/ex10-11.htm" TargetMode="External"/><Relationship Id="rId66" Type="http://schemas.openxmlformats.org/officeDocument/2006/relationships/hyperlink" Target="http://www.sec.gov/Archives/edgar/data/1590584/000143774915019401/ex10-12.htm" TargetMode="External"/><Relationship Id="rId67" Type="http://schemas.openxmlformats.org/officeDocument/2006/relationships/hyperlink" Target="http://www.sec.gov/Archives/edgar/data/1590584/000143774917003062/ex10-33.htm" TargetMode="External"/><Relationship Id="rId68" Type="http://schemas.openxmlformats.org/officeDocument/2006/relationships/hyperlink" Target="http://www.sec.gov/Archives/edgar/data/1590584/000143774918013879/ex_118421.htm" TargetMode="External"/><Relationship Id="rId69" Type="http://schemas.openxmlformats.org/officeDocument/2006/relationships/hyperlink" Target="http://www.sec.gov/Archives/edgar/data/1590584/000143774918006074/ex_109517.htm" TargetMode="External"/><Relationship Id="rId70" Type="http://schemas.openxmlformats.org/officeDocument/2006/relationships/hyperlink" Target="http://www.sec.gov/Archives/edgar/data/1590584/000159058418000009/civeo-firstamendmentpost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2019-12-28T16:06:14Z</dcterms:created>
  <dcterms:modified xsi:type="dcterms:W3CDTF">2019-12-28T16:06:14Z</dcterms:modified>
</cp:coreProperties>
</file>