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02/23/2018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69,445</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7"/>
                <w:szCs w:val="17"/>
                <w:color w:val="0000FF"/>
              </w:rPr>
              <w:t>69,445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02/23/2018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69,445</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537"/>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69,445</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69,445</w:t>
            </w:r>
          </w:p>
        </w:tc>
        <w:tc>
          <w:tcPr>
            <w:tcW w:w="4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69,444</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is the economic equivalent of Civeo common share and is payable in cash. The phantom shares vest at various times based on the grant date. 69,445 shares vested on February 23, 2018.</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Corporate Affairs</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Attorney-</w:t>
      </w:r>
      <w:r>
        <w:rPr>
          <w:sz w:val="20"/>
          <w:szCs w:val="20"/>
          <w:color w:val="auto"/>
        </w:rPr>
        <w:tab/>
      </w:r>
      <w:r>
        <w:rPr>
          <w:rFonts w:ascii="Arial" w:cs="Arial" w:eastAsia="Arial" w:hAnsi="Arial"/>
          <w:sz w:val="15"/>
          <w:szCs w:val="15"/>
          <w:color w:val="0000FF"/>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288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2019-12-08T09:30:44Z</dcterms:created>
  <dcterms:modified xsi:type="dcterms:W3CDTF">2019-12-08T09:30:44Z</dcterms:modified>
</cp:coreProperties>
</file>