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 PURSUANT TO SECTION 13 OR 15(d)</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April 28, 2023</w:t>
      </w:r>
    </w:p>
    <w:p>
      <w:pPr>
        <w:pStyle w:val="TextBody"/>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____________________</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Civeo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before="0" w:after="0"/>
        <w:jc w:val="center"/>
        <w:rPr/>
      </w:pPr>
      <w:r>
        <w:rPr/>
      </w:r>
    </w:p>
    <w:tbl>
      <w:tblPr>
        <w:tblW w:w="6865" w:type="dxa"/>
        <w:jc w:val="left"/>
        <w:tblInd w:w="0" w:type="dxa"/>
        <w:tblCellMar>
          <w:top w:w="28" w:type="dxa"/>
          <w:left w:w="28" w:type="dxa"/>
          <w:bottom w:w="28" w:type="dxa"/>
          <w:right w:w="28" w:type="dxa"/>
        </w:tblCellMar>
      </w:tblPr>
      <w:tblGrid>
        <w:gridCol w:w="1017"/>
        <w:gridCol w:w="891"/>
        <w:gridCol w:w="896"/>
        <w:gridCol w:w="109"/>
        <w:gridCol w:w="109"/>
        <w:gridCol w:w="109"/>
        <w:gridCol w:w="693"/>
        <w:gridCol w:w="693"/>
        <w:gridCol w:w="699"/>
        <w:gridCol w:w="110"/>
        <w:gridCol w:w="110"/>
        <w:gridCol w:w="110"/>
        <w:gridCol w:w="386"/>
        <w:gridCol w:w="386"/>
        <w:gridCol w:w="547"/>
      </w:tblGrid>
      <w:tr>
        <w:trPr/>
        <w:tc>
          <w:tcPr>
            <w:tcW w:w="101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British Columbia, Canada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1-36246</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98-1253716</w:t>
            </w:r>
          </w:p>
        </w:tc>
      </w:tr>
      <w:tr>
        <w:trPr/>
        <w:tc>
          <w:tcPr>
            <w:tcW w:w="3131"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 or organization)</w:t>
            </w:r>
          </w:p>
        </w:tc>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1649"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1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Three Allen Center</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2938" w:type="dxa"/>
        <w:jc w:val="center"/>
        <w:tblInd w:w="0" w:type="dxa"/>
        <w:tblCellMar>
          <w:top w:w="28" w:type="dxa"/>
          <w:left w:w="28" w:type="dxa"/>
          <w:bottom w:w="28" w:type="dxa"/>
          <w:right w:w="28" w:type="dxa"/>
        </w:tblCellMar>
      </w:tblPr>
      <w:tblGrid>
        <w:gridCol w:w="630"/>
        <w:gridCol w:w="552"/>
        <w:gridCol w:w="557"/>
        <w:gridCol w:w="350"/>
        <w:gridCol w:w="350"/>
        <w:gridCol w:w="499"/>
      </w:tblGrid>
      <w:tr>
        <w:trPr/>
        <w:tc>
          <w:tcPr>
            <w:tcW w:w="630"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333 Clay Street,</w:t>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Suite 4980</w:t>
            </w:r>
          </w:p>
        </w:tc>
      </w:tr>
    </w:tbl>
    <w:tbl>
      <w:tblPr>
        <w:tblW w:w="5076" w:type="dxa"/>
        <w:jc w:val="center"/>
        <w:tblInd w:w="0" w:type="dxa"/>
        <w:tblCellMar>
          <w:top w:w="28" w:type="dxa"/>
          <w:left w:w="28" w:type="dxa"/>
          <w:bottom w:w="28" w:type="dxa"/>
          <w:right w:w="28" w:type="dxa"/>
        </w:tblCellMar>
      </w:tblPr>
      <w:tblGrid>
        <w:gridCol w:w="124"/>
        <w:gridCol w:w="109"/>
        <w:gridCol w:w="109"/>
        <w:gridCol w:w="594"/>
        <w:gridCol w:w="594"/>
        <w:gridCol w:w="598"/>
        <w:gridCol w:w="445"/>
        <w:gridCol w:w="445"/>
        <w:gridCol w:w="449"/>
        <w:gridCol w:w="412"/>
        <w:gridCol w:w="412"/>
        <w:gridCol w:w="413"/>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Houston,</w:t>
            </w:r>
          </w:p>
        </w:tc>
        <w:tc>
          <w:tcPr>
            <w:tcW w:w="1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Texas </w:t>
            </w:r>
          </w:p>
        </w:tc>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77002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and zip code of principal executive offices)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color w:val="000000"/>
          <w:sz w:val="20"/>
        </w:rPr>
        <w:t xml:space="preserve">Registrant’s telephone number, including area code: </w:t>
      </w:r>
      <w:r>
        <w:rPr>
          <w:rFonts w:ascii="Times New Roman;sans-serif" w:hAnsi="Times New Roman;sans-serif"/>
          <w:b w:val="false"/>
          <w:color w:val="000000"/>
          <w:sz w:val="20"/>
        </w:rPr>
        <w:t>(713) 510-2400</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39" w:type="dxa"/>
        <w:jc w:val="left"/>
        <w:tblInd w:w="0" w:type="dxa"/>
        <w:tblCellMar>
          <w:top w:w="28" w:type="dxa"/>
          <w:left w:w="28" w:type="dxa"/>
          <w:bottom w:w="28" w:type="dxa"/>
          <w:right w:w="28" w:type="dxa"/>
        </w:tblCellMar>
      </w:tblPr>
      <w:tblGrid>
        <w:gridCol w:w="916"/>
        <w:gridCol w:w="807"/>
        <w:gridCol w:w="812"/>
        <w:gridCol w:w="539"/>
        <w:gridCol w:w="539"/>
        <w:gridCol w:w="541"/>
        <w:gridCol w:w="1138"/>
        <w:gridCol w:w="1138"/>
        <w:gridCol w:w="1609"/>
      </w:tblGrid>
      <w:tr>
        <w:trPr/>
        <w:tc>
          <w:tcPr>
            <w:tcW w:w="91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top w:val="single" w:sz="8" w:space="0" w:color="00000A"/>
              <w:left w:val="single" w:sz="8" w:space="0" w:color="00000A"/>
            </w:tcBorders>
            <w:shd w:fill="auto" w:val="clear"/>
            <w:tcMar>
              <w:top w:w="30" w:type="dxa"/>
              <w:bottom w:w="0" w:type="dxa"/>
              <w:right w:w="0" w:type="dxa"/>
            </w:tcMar>
            <w:vAlign w:val="center"/>
          </w:tcPr>
          <w:p>
            <w:pPr>
              <w:pStyle w:val="TableContents"/>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A"/>
              <w:left w:val="single" w:sz="8" w:space="0" w:color="00000A"/>
            </w:tcBorders>
            <w:shd w:fill="auto" w:val="clear"/>
            <w:tcMar>
              <w:top w:w="30" w:type="dxa"/>
              <w:bottom w:w="0" w:type="dxa"/>
              <w:right w:w="0" w:type="dxa"/>
            </w:tcMar>
            <w:vAlign w:val="center"/>
          </w:tcPr>
          <w:p>
            <w:pPr>
              <w:pStyle w:val="TableContents"/>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885" w:type="dxa"/>
            <w:gridSpan w:val="3"/>
            <w:tcBorders>
              <w:top w:val="single" w:sz="8" w:space="0" w:color="00000A"/>
              <w:left w:val="single" w:sz="8" w:space="0" w:color="00000A"/>
              <w:right w:val="single" w:sz="8" w:space="0" w:color="00000A"/>
            </w:tcBorders>
            <w:shd w:fill="auto" w:val="clear"/>
            <w:tcMar>
              <w:top w:w="30" w:type="dxa"/>
              <w:bottom w:w="0" w:type="dxa"/>
            </w:tcMar>
            <w:vAlign w:val="center"/>
          </w:tcPr>
          <w:p>
            <w:pPr>
              <w:pStyle w:val="TableContents"/>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535" w:type="dxa"/>
            <w:gridSpan w:val="3"/>
            <w:tcBorders>
              <w:top w:val="single" w:sz="8" w:space="0" w:color="00000A"/>
              <w:left w:val="single" w:sz="8" w:space="0" w:color="00000A"/>
              <w:bottom w:val="single" w:sz="8" w:space="0" w:color="00000A"/>
            </w:tcBorders>
            <w:shd w:fill="auto" w:val="clear"/>
            <w:tcMar>
              <w:top w:w="30" w:type="dxa"/>
              <w:bottom w:w="30" w:type="dxa"/>
              <w:right w:w="0" w:type="dxa"/>
            </w:tcMar>
            <w:vAlign w:val="center"/>
          </w:tcPr>
          <w:p>
            <w:pPr>
              <w:pStyle w:val="TableContents"/>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no par value</w:t>
            </w:r>
          </w:p>
        </w:tc>
        <w:tc>
          <w:tcPr>
            <w:tcW w:w="1619" w:type="dxa"/>
            <w:gridSpan w:val="3"/>
            <w:tcBorders>
              <w:top w:val="single" w:sz="8" w:space="0" w:color="00000A"/>
              <w:left w:val="single" w:sz="8" w:space="0" w:color="00000A"/>
              <w:bottom w:val="single" w:sz="8" w:space="0" w:color="00000A"/>
            </w:tcBorders>
            <w:shd w:fill="auto" w:val="clear"/>
            <w:tcMar>
              <w:top w:w="30" w:type="dxa"/>
              <w:bottom w:w="30" w:type="dxa"/>
              <w:right w:w="0" w:type="dxa"/>
            </w:tcMar>
            <w:vAlign w:val="center"/>
          </w:tcPr>
          <w:p>
            <w:pPr>
              <w:pStyle w:val="TableContents"/>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CVEO</w:t>
            </w:r>
          </w:p>
        </w:tc>
        <w:tc>
          <w:tcPr>
            <w:tcW w:w="3885" w:type="dxa"/>
            <w:gridSpan w:val="3"/>
            <w:tcBorders>
              <w:top w:val="single" w:sz="8" w:space="0" w:color="00000A"/>
              <w:left w:val="single" w:sz="8" w:space="0" w:color="00000A"/>
              <w:bottom w:val="single" w:sz="8" w:space="0" w:color="00000A"/>
              <w:right w:val="single" w:sz="8" w:space="0" w:color="00000A"/>
            </w:tcBorders>
            <w:shd w:fill="auto" w:val="clear"/>
            <w:tcMar>
              <w:top w:w="30" w:type="dxa"/>
              <w:bottom w:w="30" w:type="dxa"/>
            </w:tcMar>
            <w:vAlign w:val="center"/>
          </w:tcPr>
          <w:p>
            <w:pPr>
              <w:pStyle w:val="TableContents"/>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lineRule="auto" w:line="288" w:before="1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Indicate by check mark whether the registrant is an emerging growth company as defined in Rule 405 of the Securities Act of 1933 (17 CFR §230.405) or Rule 12b-2 of the Securities Exchange Act of 1934 (17 CFR §240.12b-2). </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Emerging growth company ☐</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2.02. Results of Operations and Financial Condition.</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4"/>
        </w:rPr>
        <w:t>On April 28, 2023, Civeo Corporation (“Civeo”) issued a press release announcing its financial condition and results of operations as of and for the quarter ended March 31, 2023. A copy of the press release is furnished as Exhibit 99.1 to this report on Form 8-K, and is incorporated herein by reference.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pStyle w:val="TextBody"/>
        <w:spacing w:before="0" w:after="0"/>
        <w:rPr/>
      </w:pPr>
      <w:r>
        <w:rPr/>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Item 9.01. Financial Statements and Exhibits.</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Exhibits</w:t>
      </w:r>
      <w:r>
        <w:rPr>
          <w:rFonts w:ascii="Times New Roman;sans-serif" w:hAnsi="Times New Roman;sans-serif"/>
          <w:b w:val="false"/>
          <w:color w:val="000000"/>
          <w:sz w:val="24"/>
        </w:rPr>
        <w:t>.</w:t>
      </w:r>
    </w:p>
    <w:tbl>
      <w:tblPr>
        <w:tblW w:w="9616" w:type="dxa"/>
        <w:jc w:val="left"/>
        <w:tblInd w:w="0" w:type="dxa"/>
        <w:tblCellMar>
          <w:top w:w="28" w:type="dxa"/>
          <w:left w:w="28" w:type="dxa"/>
          <w:bottom w:w="28" w:type="dxa"/>
          <w:right w:w="28" w:type="dxa"/>
        </w:tblCellMar>
      </w:tblPr>
      <w:tblGrid>
        <w:gridCol w:w="326"/>
        <w:gridCol w:w="287"/>
        <w:gridCol w:w="288"/>
        <w:gridCol w:w="2553"/>
        <w:gridCol w:w="2553"/>
        <w:gridCol w:w="3609"/>
      </w:tblGrid>
      <w:tr>
        <w:trPr/>
        <w:tc>
          <w:tcPr>
            <w:tcW w:w="32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553" w:type="dxa"/>
            <w:tcBorders/>
            <w:shd w:fill="auto" w:val="clear"/>
            <w:vAlign w:val="center"/>
          </w:tcPr>
          <w:p>
            <w:pPr>
              <w:pStyle w:val="TableContents"/>
              <w:spacing w:before="0" w:after="283"/>
              <w:rPr>
                <w:sz w:val="4"/>
                <w:szCs w:val="4"/>
              </w:rPr>
            </w:pPr>
            <w:r>
              <w:rPr>
                <w:sz w:val="4"/>
                <w:szCs w:val="4"/>
              </w:rPr>
            </w:r>
          </w:p>
        </w:tc>
        <w:tc>
          <w:tcPr>
            <w:tcW w:w="2553" w:type="dxa"/>
            <w:tcBorders/>
            <w:shd w:fill="auto" w:val="clear"/>
            <w:vAlign w:val="center"/>
          </w:tcPr>
          <w:p>
            <w:pPr>
              <w:pStyle w:val="TableContents"/>
              <w:spacing w:before="0" w:after="283"/>
              <w:rPr>
                <w:sz w:val="4"/>
                <w:szCs w:val="4"/>
              </w:rPr>
            </w:pPr>
            <w:r>
              <w:rPr>
                <w:sz w:val="4"/>
                <w:szCs w:val="4"/>
              </w:rPr>
            </w:r>
          </w:p>
        </w:tc>
        <w:tc>
          <w:tcPr>
            <w:tcW w:w="3609" w:type="dxa"/>
            <w:tcBorders/>
            <w:shd w:fill="auto" w:val="clear"/>
            <w:vAlign w:val="center"/>
          </w:tcPr>
          <w:p>
            <w:pPr>
              <w:pStyle w:val="TableContents"/>
              <w:spacing w:before="0" w:after="283"/>
              <w:rPr>
                <w:sz w:val="4"/>
                <w:szCs w:val="4"/>
              </w:rPr>
            </w:pPr>
            <w:r>
              <w:rPr>
                <w:sz w:val="4"/>
                <w:szCs w:val="4"/>
              </w:rPr>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4"/>
              </w:rPr>
              <w:t xml:space="preserve">Exhibit </w:t>
            </w:r>
            <w:r>
              <w:rPr>
                <w:rFonts w:ascii="Times New Roman;sans-serif" w:hAnsi="Times New Roman;sans-serif"/>
                <w:b w:val="false"/>
                <w:color w:val="000000"/>
                <w:sz w:val="24"/>
                <w:u w:val="single"/>
              </w:rPr>
              <w:br/>
              <w:t>Number</w:t>
            </w:r>
          </w:p>
        </w:tc>
        <w:tc>
          <w:tcPr>
            <w:tcW w:w="8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Description of Document</w:t>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99.1</w:t>
            </w:r>
          </w:p>
        </w:tc>
        <w:tc>
          <w:tcPr>
            <w:tcW w:w="8715"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lineRule="auto" w:line="240" w:before="0" w:after="0"/>
              <w:jc w:val="left"/>
              <w:rPr/>
            </w:pPr>
            <w:hyperlink w:anchor="cveo-03312023xrelease.htm">
              <w:r>
                <w:rPr>
                  <w:rStyle w:val="InternetLink"/>
                </w:rPr>
                <w:t xml:space="preserve">Press Release dated </w:t>
              </w:r>
            </w:hyperlink>
            <w:hyperlink w:anchor="cveo-03312023xrelease.htm">
              <w:r>
                <w:rPr>
                  <w:rStyle w:val="InternetLink"/>
                </w:rPr>
                <w:t xml:space="preserve">April </w:t>
              </w:r>
            </w:hyperlink>
            <w:hyperlink w:anchor="cveo-03312023xrelease.htm">
              <w:r>
                <w:rPr>
                  <w:rStyle w:val="InternetLink"/>
                </w:rPr>
                <w:t xml:space="preserve">28, </w:t>
              </w:r>
            </w:hyperlink>
            <w:hyperlink w:anchor="cveo-03312023xrelease.htm">
              <w:r>
                <w:rPr>
                  <w:rStyle w:val="InternetLink"/>
                </w:rPr>
                <w:t>2023</w:t>
              </w:r>
            </w:hyperlink>
          </w:p>
        </w:tc>
      </w:tr>
      <w:tr>
        <w:trPr/>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104</w:t>
            </w:r>
          </w:p>
        </w:tc>
        <w:tc>
          <w:tcPr>
            <w:tcW w:w="87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Cover Page Interactive Data File (formatted as Inline XBRL and contained in Exhibit 101)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spacing w:before="0" w:after="0"/>
        <w:jc w:val="center"/>
        <w:rPr/>
      </w:pPr>
      <w:r>
        <w:rPr/>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requirements of the Securities Exchange Act of 1934, the registrant has duly caused this report to be signed on its behalf by the undersigned hereunto duly authorized.</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4"/>
        </w:rPr>
        <w:t xml:space="preserve">Dated: </w:t>
      </w:r>
      <w:r>
        <w:rPr>
          <w:rFonts w:ascii="Times New Roman;sans-serif" w:hAnsi="Times New Roman;sans-serif"/>
          <w:b/>
          <w:color w:val="000000"/>
          <w:sz w:val="24"/>
        </w:rPr>
        <w:t>April 28, 2023</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color w:val="000000"/>
        </w:rPr>
        <w:t>            </w:t>
      </w:r>
      <w:r>
        <w:rPr>
          <w:rFonts w:ascii="Times New Roman;sans-serif" w:hAnsi="Times New Roman;sans-serif"/>
          <w:b/>
          <w:color w:val="000000"/>
          <w:sz w:val="24"/>
        </w:rPr>
        <w:t>CIVEO CORPORATION</w:t>
      </w:r>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pPr>
      <w:r>
        <w:rPr>
          <w:color w:val="000000"/>
        </w:rPr>
        <w:t>                    </w:t>
      </w: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 xml:space="preserve">/s/ Carolyn J. Stone </w:t>
      </w:r>
      <w:r>
        <w:rPr>
          <w:rFonts w:ascii="Times New Roman;sans-serif" w:hAnsi="Times New Roman;sans-serif"/>
          <w:b w:val="false"/>
          <w:color w:val="FFFFFF"/>
          <w:sz w:val="24"/>
          <w:u w:val="single"/>
        </w:rPr>
        <w:t>,</w:t>
      </w:r>
    </w:p>
    <w:p>
      <w:pPr>
        <w:pStyle w:val="TextBody"/>
        <w:spacing w:lineRule="auto" w:line="288" w:before="0" w:after="0"/>
        <w:ind w:left="0" w:right="0" w:firstLine="720"/>
        <w:rPr>
          <w:color w:val="000000"/>
        </w:rPr>
      </w:pPr>
      <w:r>
        <w:rPr>
          <w:color w:val="000000"/>
        </w:rPr>
        <w:t>                    </w:t>
      </w:r>
      <w:r>
        <w:rPr>
          <w:rFonts w:ascii="Times New Roman;sans-serif" w:hAnsi="Times New Roman;sans-serif"/>
          <w:b w:val="false"/>
          <w:color w:val="000000"/>
          <w:sz w:val="24"/>
        </w:rPr>
        <w:t>Name:    Carolyn J. Stone</w:t>
      </w:r>
    </w:p>
    <w:p>
      <w:pPr>
        <w:pStyle w:val="TextBody"/>
        <w:spacing w:lineRule="auto" w:line="288"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Chief Financial Officer and Treasurer</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60"/>
        <w:jc w:val="center"/>
        <w:rPr>
          <w:rFonts w:ascii="Times New Roman;sans-serif" w:hAnsi="Times New Roman;sans-serif"/>
          <w:b/>
          <w:color w:val="000000"/>
          <w:sz w:val="30"/>
        </w:rPr>
      </w:pPr>
      <w:r>
        <w:rPr>
          <w:rFonts w:ascii="Times New Roman;sans-serif" w:hAnsi="Times New Roman;sans-serif"/>
          <w:b/>
          <w:color w:val="000000"/>
          <w:sz w:val="30"/>
        </w:rPr>
        <w:t>Civeo Reports First Quarter 2023 Results</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First Quarter Highlights include:</w:t>
      </w:r>
    </w:p>
    <w:p>
      <w:pPr>
        <w:pStyle w:val="TextBody"/>
        <w:spacing w:lineRule="auto" w:line="288" w:before="0" w:after="0"/>
        <w:ind w:left="0" w:right="0" w:hanging="360"/>
        <w:rPr/>
      </w:pPr>
      <w:r>
        <w:rPr>
          <w:color w:val="000000"/>
        </w:rPr>
        <w:t>•</w:t>
      </w:r>
      <w:r>
        <w:rPr>
          <w:rFonts w:ascii="Arial;sans-serif" w:hAnsi="Arial;sans-serif"/>
          <w:b w:val="false"/>
          <w:color w:val="000000"/>
          <w:sz w:val="20"/>
        </w:rPr>
        <w:t>Reported first quarter revenues of $167.6 million, net loss of $6.4 million and operating cash flow of $0.4 million;</w:t>
      </w:r>
    </w:p>
    <w:p>
      <w:pPr>
        <w:pStyle w:val="TextBody"/>
        <w:spacing w:lineRule="auto" w:line="288" w:before="0" w:after="0"/>
        <w:ind w:left="0" w:right="0" w:hanging="360"/>
        <w:rPr/>
      </w:pPr>
      <w:r>
        <w:rPr>
          <w:color w:val="000000"/>
        </w:rPr>
        <w:t>•</w:t>
      </w:r>
      <w:r>
        <w:rPr>
          <w:rFonts w:ascii="Arial;sans-serif" w:hAnsi="Arial;sans-serif"/>
          <w:b w:val="false"/>
          <w:color w:val="000000"/>
          <w:sz w:val="20"/>
        </w:rPr>
        <w:t>Delivered first quarter Adjusted EBITDA of $20.2 million;</w:t>
      </w:r>
    </w:p>
    <w:p>
      <w:pPr>
        <w:pStyle w:val="TextBody"/>
        <w:spacing w:lineRule="auto" w:line="288" w:before="0" w:after="0"/>
        <w:ind w:left="0" w:right="0" w:hanging="360"/>
        <w:rPr/>
      </w:pPr>
      <w:r>
        <w:rPr>
          <w:color w:val="000000"/>
        </w:rPr>
        <w:t>•</w:t>
      </w:r>
      <w:r>
        <w:rPr>
          <w:rFonts w:ascii="Arial;sans-serif" w:hAnsi="Arial;sans-serif"/>
          <w:b w:val="false"/>
          <w:color w:val="000000"/>
          <w:sz w:val="20"/>
        </w:rPr>
        <w:t>Continued to return capital to shareholders through the share repurchase program; and</w:t>
      </w:r>
    </w:p>
    <w:p>
      <w:pPr>
        <w:pStyle w:val="TextBody"/>
        <w:spacing w:lineRule="auto" w:line="288" w:before="0" w:after="0"/>
        <w:ind w:left="0" w:right="0" w:hanging="360"/>
        <w:rPr/>
      </w:pPr>
      <w:r>
        <w:rPr>
          <w:color w:val="000000"/>
        </w:rPr>
        <w:t>•</w:t>
      </w:r>
      <w:r>
        <w:rPr>
          <w:rFonts w:ascii="Arial;sans-serif" w:hAnsi="Arial;sans-serif"/>
          <w:b w:val="false"/>
          <w:color w:val="000000"/>
          <w:sz w:val="20"/>
        </w:rPr>
        <w:t xml:space="preserve">Today announced five contract awards to provide accommodations and hospitality services at various Civeo Australia villages with expected total revenues of A$175 million spanning 2023-2028. </w:t>
      </w:r>
    </w:p>
    <w:p>
      <w:pPr>
        <w:pStyle w:val="TextBody"/>
        <w:spacing w:before="0" w:after="0"/>
        <w:rPr/>
      </w:pPr>
      <w:r>
        <w:rPr/>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HOUSTON and CALGARY, April 28, 2023 (BUSINESS WIRE) -- Civeo Corporation (NYSE:CVEO) today reported financial and operating results for the first quarter ended March 31, 2023.</w:t>
      </w:r>
    </w:p>
    <w:p>
      <w:pPr>
        <w:pStyle w:val="TextBody"/>
        <w:spacing w:lineRule="auto" w:line="268" w:before="0" w:after="0"/>
        <w:rPr>
          <w:color w:val="000000"/>
        </w:rPr>
      </w:pPr>
      <w:r>
        <w:rPr>
          <w:color w:val="000000"/>
        </w:rPr>
        <w:t>“</w:t>
      </w:r>
      <w:r>
        <w:rPr>
          <w:rFonts w:ascii="Arial;sans-serif" w:hAnsi="Arial;sans-serif"/>
          <w:b w:val="false"/>
          <w:color w:val="000000"/>
          <w:sz w:val="20"/>
        </w:rPr>
        <w:t xml:space="preserve">Through continued safe and effective operations, our first quarter 2023 financial results were in line with our expectations. We experienced the typical first quarter seasonality which always results in reduced customer activity and cash flows, but we are well positioned for a strong second quarter of turnaround activity,” said Bradley J. Dodson, Civeo's President and Chief Executive Officer. </w:t>
      </w:r>
    </w:p>
    <w:p>
      <w:pPr>
        <w:pStyle w:val="TextBody"/>
        <w:spacing w:before="0" w:after="0"/>
        <w:rPr/>
      </w:pPr>
      <w:r>
        <w:rPr/>
      </w:r>
    </w:p>
    <w:p>
      <w:pPr>
        <w:pStyle w:val="TextBody"/>
        <w:spacing w:lineRule="auto" w:line="268" w:before="0" w:after="0"/>
        <w:rPr>
          <w:color w:val="000000"/>
        </w:rPr>
      </w:pPr>
      <w:r>
        <w:rPr>
          <w:color w:val="000000"/>
        </w:rPr>
        <w:t>“</w:t>
      </w:r>
      <w:r>
        <w:rPr>
          <w:rFonts w:ascii="Arial;sans-serif" w:hAnsi="Arial;sans-serif"/>
          <w:b w:val="false"/>
          <w:color w:val="000000"/>
          <w:sz w:val="20"/>
        </w:rPr>
        <w:t xml:space="preserve">Our recent contract award wins in Australia are supported by customer activity trending upward and growing customer interest in securing room supply, resulting in increased revenue visibility for Civeo. We continue to navigate inflationary pressures through tailored mitigation efforts leveraging flexibility in our operations and our contracts. Identifying a long-term solution for our McClelland Lake assets remains a key focus of our Canadian team. Finally, we expect to continue to opportunistically buy back shares, as we did in the first quarter.”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Arial;sans-serif" w:hAnsi="Arial;sans-serif"/>
          <w:b w:val="false"/>
          <w:color w:val="000000"/>
          <w:sz w:val="20"/>
          <w:u w:val="single"/>
        </w:rPr>
      </w:pPr>
      <w:r>
        <w:rPr>
          <w:rFonts w:ascii="Arial;sans-serif" w:hAnsi="Arial;sans-serif"/>
          <w:b w:val="false"/>
          <w:color w:val="000000"/>
          <w:sz w:val="20"/>
          <w:u w:val="single"/>
        </w:rPr>
        <w:t>First Quarter 2023 Results</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 xml:space="preserve">In the first quarter of 2023, Civeo generated revenues of $167.6 million and reported a net loss of $6.4 million, or $0.42 per diluted share. During the first quarter of 2023, Civeo produced operating cash flow of $0.4 million, Adjusted EBITDA of $20.2 million and negative free cash flow of $2.1 million. The negative free cash flow in the first quarter of 2023 was primarily the result of a seasonal build in working capital of $15.6 million. </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 xml:space="preserve">By comparison, in the first quarter of 2022, Civeo generated revenues of $165.7 million and reported net income of $0.9 million, or $0.06 per diluted share. During the first quarter of 2022, Civeo produced operating cash flow of $2.0 million, Adjusted EBITDA of $25.6 million and free cash flow of $0.7 million. </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The year-over-year decrease in Adjusted EBITDA in the first quarter of 2023 was primarily driven by lower contribution from Canadian mobile camps, continued inflationary pressures and the negative impact of weakened Australian and Canadian dollars relative to the U.S. dollar. The decrease was partially offset by a $1.7 million gain on sale of assets related to the divestiture of certain U.S. assets.</w:t>
      </w:r>
    </w:p>
    <w:p>
      <w:pPr>
        <w:pStyle w:val="TextBody"/>
        <w:spacing w:lineRule="auto" w:line="288" w:before="0" w:after="160"/>
        <w:rPr>
          <w:rFonts w:ascii="Arial;sans-serif" w:hAnsi="Arial;sans-serif"/>
          <w:b w:val="false"/>
          <w:color w:val="000000"/>
          <w:sz w:val="20"/>
          <w:u w:val="single"/>
        </w:rPr>
      </w:pPr>
      <w:r>
        <w:rPr>
          <w:rFonts w:ascii="Arial;sans-serif" w:hAnsi="Arial;sans-serif"/>
          <w:b w:val="false"/>
          <w:color w:val="000000"/>
          <w:sz w:val="20"/>
          <w:u w:val="single"/>
        </w:rPr>
        <w:t>Business Segment Results</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(Unless otherwise noted, the following discussion compares the quarterly results for the first quarter of 2023 to the results for the first quarter of 2022.)</w:t>
      </w:r>
    </w:p>
    <w:p>
      <w:pPr>
        <w:pStyle w:val="TextBody"/>
        <w:spacing w:lineRule="auto" w:line="288" w:before="0" w:after="160"/>
        <w:rPr>
          <w:rFonts w:ascii="Arial;sans-serif" w:hAnsi="Arial;sans-serif"/>
          <w:b w:val="false"/>
          <w:color w:val="000000"/>
          <w:sz w:val="20"/>
          <w:u w:val="single"/>
        </w:rPr>
      </w:pPr>
      <w:r>
        <w:rPr>
          <w:rFonts w:ascii="Arial;sans-serif" w:hAnsi="Arial;sans-serif"/>
          <w:b w:val="false"/>
          <w:color w:val="000000"/>
          <w:sz w:val="20"/>
          <w:u w:val="single"/>
        </w:rPr>
        <w:t>Canada</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 xml:space="preserve">During the first quarter of 2023, the Canadian segment generated revenues of $89.5 million, operating loss of $4.5 million and Adjusted EBITDA of $12.0 million, compared to revenues of $96.0 million, operating income of $4.0 million and Adjusted EBITDA of $17.2 million in the first quarter of 2022. Results from the first quarter of 2023 reflect the impact of a weakened Canadian dollar relative to the U.S. dollar, which decreased revenues and Adjusted EBITDA by $6.0 million and $0.8 million, respectively.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On a constant currency basis, the Canadian segment revenues were relatively flat period-over-period due to an increase in Canadian lodge revenue offset by a decline in mobile camp activity. Adjusted EBITDA for the Canadian segment decreased 30% year-over-year primarily due to decreased contribution from Canadian mobile camps resulting from the wind-down in pipeline construction activity as well as inflationary pressures across the business.</w:t>
      </w:r>
    </w:p>
    <w:p>
      <w:pPr>
        <w:pStyle w:val="TextBody"/>
        <w:spacing w:before="0" w:after="0"/>
        <w:rPr/>
      </w:pPr>
      <w:r>
        <w:rPr/>
      </w:r>
    </w:p>
    <w:p>
      <w:pPr>
        <w:pStyle w:val="TextBody"/>
        <w:spacing w:lineRule="auto" w:line="288" w:before="0" w:after="160"/>
        <w:rPr>
          <w:rFonts w:ascii="Arial;sans-serif" w:hAnsi="Arial;sans-serif"/>
          <w:b w:val="false"/>
          <w:color w:val="000000"/>
          <w:sz w:val="20"/>
          <w:u w:val="single"/>
        </w:rPr>
      </w:pPr>
      <w:r>
        <w:rPr>
          <w:rFonts w:ascii="Arial;sans-serif" w:hAnsi="Arial;sans-serif"/>
          <w:b w:val="false"/>
          <w:color w:val="000000"/>
          <w:sz w:val="20"/>
          <w:u w:val="single"/>
        </w:rPr>
        <w:t>Australia</w:t>
      </w:r>
    </w:p>
    <w:p>
      <w:pPr>
        <w:pStyle w:val="TextBody"/>
        <w:spacing w:lineRule="auto" w:line="288"/>
        <w:rPr>
          <w:rFonts w:ascii="Arial;sans-serif" w:hAnsi="Arial;sans-serif"/>
          <w:b w:val="false"/>
          <w:color w:val="000000"/>
          <w:sz w:val="20"/>
        </w:rPr>
      </w:pPr>
      <w:r>
        <w:rPr>
          <w:rFonts w:ascii="Arial;sans-serif" w:hAnsi="Arial;sans-serif"/>
          <w:b w:val="false"/>
          <w:color w:val="000000"/>
          <w:sz w:val="20"/>
        </w:rPr>
        <w:t xml:space="preserve">During the first quarter of 2023, the Australian segment generated revenues of $77.0 million, operating income of $4.9 million and Adjusted EBITDA of $14.2 million, compared to revenues of $63.5 million, operating income of $6.1 </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million and Adjusted EBITDA of $15.4 million in the first quarter of 2022. Results from the first quarter of 2023 reflect the impact of a weakened Australian dollar relative to the U.S. dollar, which decreased revenues and Adjusted EBITDA by $4.6 million and $0.9 million, respectively.</w:t>
      </w:r>
    </w:p>
    <w:p>
      <w:pPr>
        <w:pStyle w:val="TextBody"/>
        <w:spacing w:before="0" w:after="0"/>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As noted above, five additional contracts were awarded for the Australian villages, including a two-year A$90 million contract renewal and a five-year A$45 million renewal. Including A$35 million in new contract wins to support short-term turnaround activity, the additional awards with respect to the Australian segment total A$175 million over five years.</w:t>
      </w:r>
    </w:p>
    <w:p>
      <w:pPr>
        <w:pStyle w:val="TextBody"/>
        <w:spacing w:before="0" w:after="0"/>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 xml:space="preserve">On a constant currency basis, the Australian segment experienced a 28% period-over-period increase in revenues primarily driven by increased integrated services revenue related to new contracts as well as a 10% year-over-year increase in village billed rooms. Adjusted EBITDA for the Australian segment decreased 8% due to inflationary pressures primarily associated with the integrated services business partially offset by higher occupancy in Civeo's owned villages. </w:t>
      </w:r>
    </w:p>
    <w:p>
      <w:pPr>
        <w:pStyle w:val="TextBody"/>
        <w:spacing w:before="0" w:after="0"/>
        <w:rPr/>
      </w:pPr>
      <w:r>
        <w:rPr/>
      </w:r>
    </w:p>
    <w:p>
      <w:pPr>
        <w:pStyle w:val="TextBody"/>
        <w:spacing w:lineRule="auto" w:line="288" w:before="0" w:after="160"/>
        <w:rPr>
          <w:rFonts w:ascii="Arial;sans-serif" w:hAnsi="Arial;sans-serif"/>
          <w:b w:val="false"/>
          <w:color w:val="000000"/>
          <w:sz w:val="20"/>
          <w:u w:val="single"/>
        </w:rPr>
      </w:pPr>
      <w:r>
        <w:rPr>
          <w:rFonts w:ascii="Arial;sans-serif" w:hAnsi="Arial;sans-serif"/>
          <w:b w:val="false"/>
          <w:color w:val="000000"/>
          <w:sz w:val="20"/>
          <w:u w:val="single"/>
        </w:rPr>
        <w:t>Financial Condition</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As of March 31, 2023, Civeo had total liquidity of approximately $90.6 million, consisting of $78.2 million available under its revolving credit facilities and $12.4 million of cash on hand.</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Civeo’s total debt outstanding on March 31, 2023 was $142.6 million, a $10.6 million increase since December 31, 2022.</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Civeo reported a net leverage ratio of 1.2x as of March 31, 2023.</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During the first quarter of 2023, Civeo invested $4.8 million in capital expenditures compared to $3.6 million invested during the first quarter of 2022. Capital expenditures in both periods were predominantly related to maintenance spending on the Company’s lodges and villages.</w:t>
      </w:r>
    </w:p>
    <w:p>
      <w:pPr>
        <w:pStyle w:val="TextBody"/>
        <w:spacing w:before="0" w:after="0"/>
        <w:rPr/>
      </w:pPr>
      <w:r>
        <w:rPr/>
      </w:r>
    </w:p>
    <w:p>
      <w:pPr>
        <w:pStyle w:val="TextBody"/>
        <w:spacing w:lineRule="auto" w:line="288" w:before="0" w:after="160"/>
        <w:rPr>
          <w:rFonts w:ascii="Arial;sans-serif" w:hAnsi="Arial;sans-serif"/>
          <w:b w:val="false"/>
          <w:color w:val="000000"/>
          <w:sz w:val="20"/>
          <w:u w:val="single"/>
        </w:rPr>
      </w:pPr>
      <w:r>
        <w:rPr>
          <w:rFonts w:ascii="Arial;sans-serif" w:hAnsi="Arial;sans-serif"/>
          <w:b w:val="false"/>
          <w:color w:val="000000"/>
          <w:sz w:val="20"/>
          <w:u w:val="single"/>
        </w:rPr>
        <w:t>Full Year 2023 Guidance</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For the full year of 2023, Civeo is maintaining its previously provided revenue and Adjusted EBITDA guidance ranges of $630 million to $650 million and $85 million to $95 million, respectively. The Company is increasing full year 2023 capital expenditure guidance to a range of $45 million to $50 million. The increase in capital expenditure guidance is entirely driven by our previously announced contract win in Australia where the customer has requested specific upgrades to three Australian villages. These upgrades will be fully funded by the customer upfront; therefore, the Company is not changing its 2023 free cash flow guidance.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Arial;sans-serif" w:hAnsi="Arial;sans-serif"/>
          <w:b w:val="false"/>
          <w:color w:val="000000"/>
          <w:sz w:val="20"/>
          <w:u w:val="single"/>
        </w:rPr>
      </w:pPr>
      <w:r>
        <w:rPr>
          <w:rFonts w:ascii="Arial;sans-serif" w:hAnsi="Arial;sans-serif"/>
          <w:b w:val="false"/>
          <w:color w:val="000000"/>
          <w:sz w:val="20"/>
          <w:u w:val="single"/>
        </w:rPr>
        <w:t>Conference Call</w:t>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Civeo will host a conference call to discuss its first quarter 2023 financial results today at 11:00 a.m. Eastern time. This call is being webcast and can be accessed at Civeo's website at www.civeo.com. Participants may also join the conference call by dialing (877) 423-9813 in the United States or (201) 689-8573 internationally and using the conference ID 13738306#. A replay will be available after the call by dialing (844) 512-2921 in the United States or (412) 317-6671 internationally and using the conference ID 13738306#.</w:t>
      </w:r>
    </w:p>
    <w:p>
      <w:pPr>
        <w:pStyle w:val="TextBody"/>
        <w:spacing w:lineRule="auto" w:line="288" w:before="0" w:after="160"/>
        <w:rPr>
          <w:rFonts w:ascii="Arial;sans-serif" w:hAnsi="Arial;sans-serif"/>
          <w:b w:val="false"/>
          <w:color w:val="000000"/>
          <w:sz w:val="20"/>
          <w:u w:val="single"/>
        </w:rPr>
      </w:pPr>
      <w:r>
        <w:rPr>
          <w:rFonts w:ascii="Arial;sans-serif" w:hAnsi="Arial;sans-serif"/>
          <w:b w:val="false"/>
          <w:color w:val="000000"/>
          <w:sz w:val="20"/>
          <w:u w:val="single"/>
        </w:rPr>
        <w:t>About Civeo</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Civeo Corporation is a leading provider of hospitality services with prominent market positions in the Canadian oil</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sands and the Australian natural resource regions. Civeo offers comprehensive solutions for lodging hundreds or</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thousands of workers with its long-term and temporary accommodations and provides food services, housekeeping,</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facility management, laundry, water and wastewater treatment, power generation, communications systems,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security and logistics services. Civeo currently operates a total of 26 lodges and villages in Canada, Australia and</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U.S., with an aggregate of approximately 28,000 rooms. Civeo is publicly traded under the symbol CVEO on the</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New York Stock Exchange. For more information, please visit Civeo's website at www.civeo.com.</w:t>
      </w:r>
    </w:p>
    <w:p>
      <w:pPr>
        <w:pStyle w:val="TextBody"/>
        <w:spacing w:before="0" w:after="0"/>
        <w:rPr/>
      </w:pPr>
      <w:r>
        <w:rPr/>
      </w:r>
    </w:p>
    <w:p>
      <w:pPr>
        <w:pStyle w:val="TextBody"/>
        <w:spacing w:lineRule="auto" w:line="288" w:before="0" w:after="160"/>
        <w:rPr>
          <w:rFonts w:ascii="Arial;sans-serif" w:hAnsi="Arial;sans-serif"/>
          <w:b w:val="false"/>
          <w:color w:val="000000"/>
          <w:sz w:val="20"/>
          <w:u w:val="single"/>
        </w:rPr>
      </w:pPr>
      <w:r>
        <w:rPr>
          <w:rFonts w:ascii="Arial;sans-serif" w:hAnsi="Arial;sans-serif"/>
          <w:b w:val="false"/>
          <w:color w:val="000000"/>
          <w:sz w:val="20"/>
          <w:u w:val="single"/>
        </w:rPr>
        <w:t>Forward Looking Statements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This news release contains forward-looking statements within the meaning of the Securities Act of 1933 and Section</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21E of the Securities Exchange Act of 1934. Forward-looking statements are those that do not state historical facts</w:t>
      </w:r>
    </w:p>
    <w:p>
      <w:pPr>
        <w:pStyle w:val="TextBody"/>
        <w:spacing w:lineRule="auto" w:line="288"/>
        <w:rPr>
          <w:rFonts w:ascii="Arial;sans-serif" w:hAnsi="Arial;sans-serif"/>
          <w:b w:val="false"/>
          <w:color w:val="000000"/>
          <w:sz w:val="20"/>
        </w:rPr>
      </w:pPr>
      <w:r>
        <w:rPr>
          <w:rFonts w:ascii="Arial;sans-serif" w:hAnsi="Arial;sans-serif"/>
          <w:b w:val="false"/>
          <w:color w:val="000000"/>
          <w:sz w:val="20"/>
        </w:rPr>
        <w:t>and are, therefore, inherently subject to risks and uncertainties. The forward-looking statements herein, including the statements regarding Civeo’s future plans and outlook, guidance, current trends and liquidity needs, and</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expected revenues from new contract awards, and future share repurchases,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 company’s ability to integrate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inflation, global weather conditions, natural disasters, global health concerns, such as the COVID-19 pandemic,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 </w:t>
      </w:r>
    </w:p>
    <w:p>
      <w:pPr>
        <w:pStyle w:val="TextBody"/>
        <w:spacing w:before="0" w:after="0"/>
        <w:rPr/>
      </w:pPr>
      <w:r>
        <w:rPr/>
      </w:r>
    </w:p>
    <w:p>
      <w:pPr>
        <w:pStyle w:val="TextBody"/>
        <w:spacing w:lineRule="auto" w:line="288" w:before="0" w:after="160"/>
        <w:rPr>
          <w:rFonts w:ascii="Arial;sans-serif" w:hAnsi="Arial;sans-serif"/>
          <w:b w:val="false"/>
          <w:color w:val="000000"/>
          <w:sz w:val="20"/>
          <w:u w:val="single"/>
        </w:rPr>
      </w:pPr>
      <w:r>
        <w:rPr>
          <w:rFonts w:ascii="Arial;sans-serif" w:hAnsi="Arial;sans-serif"/>
          <w:b w:val="false"/>
          <w:color w:val="000000"/>
          <w:sz w:val="20"/>
          <w:u w:val="single"/>
        </w:rPr>
        <w:t>Non-GAAP Financial Information</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EBITDA, Adjusted EBITDA, free cash flow, net debt, bank-adjusted EBITDA and net leverage ratio are non-GAAP</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financial measures. See “Non-GAAP Reconciliation” below for definitions and additional information concerning</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non-GAAP financial measures, including a reconciliation of the non-GAAP financial information presented in this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press release to the most directly comparable financial information presented in accordance with GAAP. Non-GAAP</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financial information supplements and should be read together with, and is not an alternative or substitute for, the</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Company’s financial results reported in accordance with GAAP. Because non-GAAP financial information is not</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standardized, it may not be possible to compare these financial measures with other companies’ non-GAAP</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financial measures.</w:t>
      </w:r>
    </w:p>
    <w:p>
      <w:pPr>
        <w:pStyle w:val="TextBody"/>
        <w:spacing w:before="0" w:after="160"/>
        <w:rPr/>
      </w:pPr>
      <w:r>
        <w:rPr/>
      </w:r>
    </w:p>
    <w:p>
      <w:pPr>
        <w:pStyle w:val="TextBody"/>
        <w:spacing w:before="0" w:after="160"/>
        <w:rPr/>
      </w:pPr>
      <w:r>
        <w:rPr/>
      </w:r>
    </w:p>
    <w:p>
      <w:pPr>
        <w:pStyle w:val="TextBody"/>
        <w:spacing w:lineRule="auto" w:line="288" w:before="0" w:after="160"/>
        <w:rPr>
          <w:rFonts w:ascii="Arial;sans-serif" w:hAnsi="Arial;sans-serif"/>
          <w:b w:val="false"/>
          <w:color w:val="000000"/>
          <w:sz w:val="20"/>
        </w:rPr>
      </w:pPr>
      <w:r>
        <w:rPr>
          <w:rFonts w:ascii="Arial;sans-serif" w:hAnsi="Arial;sans-serif"/>
          <w:b w:val="false"/>
          <w:color w:val="000000"/>
          <w:sz w:val="20"/>
        </w:rPr>
        <w:t>- Financial Schedules Follow -</w:t>
      </w:r>
    </w:p>
    <w:p>
      <w:pPr>
        <w:pStyle w:val="TextBody"/>
        <w:spacing w:before="0" w:after="16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CIVEO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CONSOLIDATED STATEMENTS OF OPERATIONS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tbl>
      <w:tblPr>
        <w:tblW w:w="8116" w:type="dxa"/>
        <w:jc w:val="center"/>
        <w:tblInd w:w="0" w:type="dxa"/>
        <w:tblCellMar>
          <w:top w:w="28" w:type="dxa"/>
          <w:left w:w="28" w:type="dxa"/>
          <w:bottom w:w="28" w:type="dxa"/>
          <w:right w:w="28" w:type="dxa"/>
        </w:tblCellMar>
      </w:tblPr>
      <w:tblGrid>
        <w:gridCol w:w="1846"/>
        <w:gridCol w:w="1624"/>
        <w:gridCol w:w="1637"/>
        <w:gridCol w:w="218"/>
        <w:gridCol w:w="821"/>
        <w:gridCol w:w="121"/>
        <w:gridCol w:w="109"/>
        <w:gridCol w:w="109"/>
        <w:gridCol w:w="109"/>
        <w:gridCol w:w="196"/>
        <w:gridCol w:w="736"/>
        <w:gridCol w:w="109"/>
        <w:gridCol w:w="109"/>
        <w:gridCol w:w="109"/>
        <w:gridCol w:w="109"/>
        <w:gridCol w:w="154"/>
      </w:tblGrid>
      <w:tr>
        <w:trPr/>
        <w:tc>
          <w:tcPr>
            <w:tcW w:w="1846" w:type="dxa"/>
            <w:tcBorders/>
            <w:shd w:fill="auto" w:val="clear"/>
            <w:vAlign w:val="center"/>
          </w:tcPr>
          <w:p>
            <w:pPr>
              <w:pStyle w:val="TableContents"/>
              <w:spacing w:before="0" w:after="283"/>
              <w:rPr>
                <w:sz w:val="4"/>
                <w:szCs w:val="4"/>
              </w:rPr>
            </w:pPr>
            <w:r>
              <w:rPr>
                <w:sz w:val="4"/>
                <w:szCs w:val="4"/>
              </w:rPr>
            </w:r>
          </w:p>
        </w:tc>
        <w:tc>
          <w:tcPr>
            <w:tcW w:w="1624"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21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167,591 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165,678 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and expenses:</w:t>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 and services</w:t>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133,514 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16,190 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21,662 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operating expense </w:t>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171,495 </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161,441 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103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(3,904)</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(3,656)</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2,450 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103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(5,078)</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03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(6,311)</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attributable to noncontrolling interest</w:t>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Civeo Corporation</w:t>
            </w:r>
          </w:p>
        </w:tc>
        <w:tc>
          <w:tcPr>
            <w:tcW w:w="103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(6,353)</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attributable to Class A preferred shares</w:t>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Civeo common shareholders</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(6,353)</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6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attributable to Civeo Corporation common shareholders: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21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(0.42)</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21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(0.42)</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number of common shares outstanding:</w:t>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15,158 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14,096 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15,158 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14,219 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CIVEO CORPORATION</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tbl>
      <w:tblPr>
        <w:tblW w:w="7315" w:type="dxa"/>
        <w:jc w:val="center"/>
        <w:tblInd w:w="0" w:type="dxa"/>
        <w:tblCellMar>
          <w:top w:w="28" w:type="dxa"/>
          <w:left w:w="28" w:type="dxa"/>
          <w:bottom w:w="28" w:type="dxa"/>
          <w:right w:w="28" w:type="dxa"/>
        </w:tblCellMar>
      </w:tblPr>
      <w:tblGrid>
        <w:gridCol w:w="1361"/>
        <w:gridCol w:w="1196"/>
        <w:gridCol w:w="1207"/>
        <w:gridCol w:w="259"/>
        <w:gridCol w:w="1017"/>
        <w:gridCol w:w="134"/>
        <w:gridCol w:w="109"/>
        <w:gridCol w:w="109"/>
        <w:gridCol w:w="109"/>
        <w:gridCol w:w="321"/>
        <w:gridCol w:w="1259"/>
        <w:gridCol w:w="234"/>
      </w:tblGrid>
      <w:tr>
        <w:trPr/>
        <w:tc>
          <w:tcPr>
            <w:tcW w:w="1361"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5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12,366 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7,954 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122,962 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119,755 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7,379 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6,907 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8,184 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8,653 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7,732 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10,280 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2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158,623 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153,549 </w:t>
            </w:r>
          </w:p>
        </w:tc>
        <w:tc>
          <w:tcPr>
            <w:tcW w:w="2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284,371 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301,890 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net</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7,565 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7,672 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80,369 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81,747 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15,059 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15,722 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5,176 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5,604 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5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551,163 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566,184 </w:t>
            </w:r>
          </w:p>
        </w:tc>
        <w:tc>
          <w:tcPr>
            <w:tcW w:w="2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5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47,819 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51,087 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21,309 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39,211 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21,485 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28,448 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8,387 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8,342 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2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103,216 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128,257 </w:t>
            </w:r>
          </w:p>
        </w:tc>
        <w:tc>
          <w:tcPr>
            <w:tcW w:w="2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120,441 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102,505 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5,874 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4,778 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12,005 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12,771 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17,450 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14,172 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2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258,986 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262,483 </w:t>
            </w:r>
          </w:p>
        </w:tc>
        <w:tc>
          <w:tcPr>
            <w:tcW w:w="2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shares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shares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1,625,379 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1,624,512 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(940,247)</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(930,123)</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stock</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(9,063)</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(9,063)</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2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(387,361)</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(385,187)</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Civeo Corporation shareholders' equity</w:t>
            </w:r>
          </w:p>
        </w:tc>
        <w:tc>
          <w:tcPr>
            <w:tcW w:w="12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288,708 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300,139 </w:t>
            </w:r>
          </w:p>
        </w:tc>
        <w:tc>
          <w:tcPr>
            <w:tcW w:w="2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12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3,469 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3,562 </w:t>
            </w:r>
          </w:p>
        </w:tc>
        <w:tc>
          <w:tcPr>
            <w:tcW w:w="2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2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292,177 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303,701 </w:t>
            </w:r>
          </w:p>
        </w:tc>
        <w:tc>
          <w:tcPr>
            <w:tcW w:w="2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25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551,163 </w:t>
            </w:r>
          </w:p>
        </w:tc>
        <w:tc>
          <w:tcPr>
            <w:tcW w:w="13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566,184 </w:t>
            </w:r>
          </w:p>
        </w:tc>
        <w:tc>
          <w:tcPr>
            <w:tcW w:w="23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CIVEO CORPORATION</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UNAUDITED CONSOLIDATED STATEMENTS OF CASH FLOWS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tbl>
      <w:tblPr>
        <w:tblW w:w="9459" w:type="dxa"/>
        <w:jc w:val="center"/>
        <w:tblInd w:w="0" w:type="dxa"/>
        <w:tblCellMar>
          <w:top w:w="28" w:type="dxa"/>
          <w:left w:w="28" w:type="dxa"/>
          <w:bottom w:w="28" w:type="dxa"/>
          <w:right w:w="28" w:type="dxa"/>
        </w:tblCellMar>
      </w:tblPr>
      <w:tblGrid>
        <w:gridCol w:w="2573"/>
        <w:gridCol w:w="2265"/>
        <w:gridCol w:w="2272"/>
        <w:gridCol w:w="211"/>
        <w:gridCol w:w="721"/>
        <w:gridCol w:w="109"/>
        <w:gridCol w:w="109"/>
        <w:gridCol w:w="109"/>
        <w:gridCol w:w="109"/>
        <w:gridCol w:w="211"/>
        <w:gridCol w:w="616"/>
        <w:gridCol w:w="154"/>
      </w:tblGrid>
      <w:tr>
        <w:trPr/>
        <w:tc>
          <w:tcPr>
            <w:tcW w:w="2573" w:type="dxa"/>
            <w:tcBorders/>
            <w:shd w:fill="auto" w:val="clear"/>
            <w:vAlign w:val="center"/>
          </w:tcPr>
          <w:p>
            <w:pPr>
              <w:pStyle w:val="TableContents"/>
              <w:spacing w:before="0" w:after="283"/>
              <w:rPr>
                <w:sz w:val="4"/>
                <w:szCs w:val="4"/>
              </w:rPr>
            </w:pPr>
            <w:r>
              <w:rPr>
                <w:sz w:val="4"/>
                <w:szCs w:val="4"/>
              </w:rPr>
            </w:r>
          </w:p>
        </w:tc>
        <w:tc>
          <w:tcPr>
            <w:tcW w:w="2265" w:type="dxa"/>
            <w:tcBorders/>
            <w:shd w:fill="auto" w:val="clear"/>
            <w:vAlign w:val="center"/>
          </w:tcPr>
          <w:p>
            <w:pPr>
              <w:pStyle w:val="TableContents"/>
              <w:spacing w:before="0" w:after="283"/>
              <w:rPr>
                <w:sz w:val="4"/>
                <w:szCs w:val="4"/>
              </w:rPr>
            </w:pPr>
            <w:r>
              <w:rPr>
                <w:sz w:val="4"/>
                <w:szCs w:val="4"/>
              </w:rPr>
            </w:r>
          </w:p>
        </w:tc>
        <w:tc>
          <w:tcPr>
            <w:tcW w:w="22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7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7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provided by operating activities: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20,127 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71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expense</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 charge</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disposals of assets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 net of recoveries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(20,075)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payable</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 and liabilities, net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flows provided by operating activities</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dispositions of property, plant and equipment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flows used in investing activities</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(2,507)</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 repayments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Revolving credit borrowings (repayments), net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shares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paid on vested shares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flows provided by (used in) financing activities</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end of period</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6,423 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CIVEO CORPORATION</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SEGMENT DATA</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CellMar>
          <w:top w:w="28" w:type="dxa"/>
          <w:left w:w="28" w:type="dxa"/>
          <w:bottom w:w="28" w:type="dxa"/>
          <w:right w:w="28" w:type="dxa"/>
        </w:tblCellMar>
      </w:tblPr>
      <w:tblGrid>
        <w:gridCol w:w="1728"/>
        <w:gridCol w:w="1443"/>
        <w:gridCol w:w="1435"/>
        <w:gridCol w:w="412"/>
        <w:gridCol w:w="1613"/>
        <w:gridCol w:w="212"/>
        <w:gridCol w:w="212"/>
        <w:gridCol w:w="212"/>
        <w:gridCol w:w="212"/>
        <w:gridCol w:w="412"/>
        <w:gridCol w:w="1613"/>
        <w:gridCol w:w="212"/>
        <w:gridCol w:w="109"/>
        <w:gridCol w:w="109"/>
        <w:gridCol w:w="109"/>
        <w:gridCol w:w="162"/>
      </w:tblGrid>
      <w:tr>
        <w:trPr/>
        <w:tc>
          <w:tcPr>
            <w:tcW w:w="1728"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gridSpan w:val="2"/>
            <w:tcBorders/>
            <w:shd w:fill="auto" w:val="clea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2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4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89,453 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95,952 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76,989 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63,529 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(2)</w:t>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6,197 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4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167,591 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165,678 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 (1)</w:t>
            </w:r>
          </w:p>
        </w:tc>
        <w:tc>
          <w:tcPr>
            <w:tcW w:w="2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4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12,011 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17,219 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14,209 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15,437 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vAlign w:val="center"/>
          </w:tcPr>
          <w:p>
            <w:pPr>
              <w:pStyle w:val="TableContents"/>
              <w:spacing w:before="0" w:after="283"/>
              <w:rPr>
                <w:sz w:val="4"/>
                <w:szCs w:val="4"/>
              </w:rPr>
            </w:pPr>
            <w:r>
              <w:rPr>
                <w:sz w:val="4"/>
                <w:szCs w:val="4"/>
              </w:rPr>
            </w:r>
          </w:p>
        </w:tc>
        <w:tc>
          <w:tcPr>
            <w:tcW w:w="223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22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other and eliminations (2)</w:t>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(6,054)</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(7,094)</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EBITDA</w:t>
            </w:r>
          </w:p>
        </w:tc>
        <w:tc>
          <w:tcPr>
            <w:tcW w:w="4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20,166 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25,562 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(1)</w:t>
            </w:r>
          </w:p>
        </w:tc>
        <w:tc>
          <w:tcPr>
            <w:tcW w:w="2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4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12,011 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17,219 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14,209 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15,437 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vAlign w:val="center"/>
          </w:tcPr>
          <w:p>
            <w:pPr>
              <w:pStyle w:val="TableContents"/>
              <w:spacing w:before="0" w:after="283"/>
              <w:rPr>
                <w:sz w:val="4"/>
                <w:szCs w:val="4"/>
              </w:rPr>
            </w:pPr>
            <w:r>
              <w:rPr>
                <w:sz w:val="4"/>
                <w:szCs w:val="4"/>
              </w:rPr>
            </w:r>
          </w:p>
        </w:tc>
        <w:tc>
          <w:tcPr>
            <w:tcW w:w="223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22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other and eliminations (2)</w:t>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(6,054)</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(7,094)</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adjusted EBITDA</w:t>
            </w:r>
          </w:p>
        </w:tc>
        <w:tc>
          <w:tcPr>
            <w:tcW w:w="4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20,166 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25,562 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2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4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(4,502)</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4,038 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4,897 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6,135 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vAlign w:val="center"/>
          </w:tcPr>
          <w:p>
            <w:pPr>
              <w:pStyle w:val="TableContents"/>
              <w:spacing w:before="0" w:after="283"/>
              <w:rPr>
                <w:sz w:val="4"/>
                <w:szCs w:val="4"/>
              </w:rPr>
            </w:pPr>
            <w:r>
              <w:rPr>
                <w:sz w:val="4"/>
                <w:szCs w:val="4"/>
              </w:rPr>
            </w:r>
          </w:p>
        </w:tc>
        <w:tc>
          <w:tcPr>
            <w:tcW w:w="223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22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other and eliminations (2)</w:t>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(4,299)</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(5,936)</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income (loss)</w:t>
            </w:r>
          </w:p>
        </w:tc>
        <w:tc>
          <w:tcPr>
            <w:tcW w:w="4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(3,904)</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4,237 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9716"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 Please see Non-GAAP Reconciliation Schedule.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gridSpan w:val="2"/>
            <w:tcBorders/>
            <w:shd w:fill="auto" w:val="clea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9716" w:type="dxa"/>
            <w:gridSpan w:val="12"/>
            <w:vMerge w:val="restart"/>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(2) Prior to the first quarter of 2023, we presented the U.S. operating segment as a separate reportable segment. Our operating segment in the U.S. no longer meets the reportable segment quantitative thresholds, and is included within the Other and Corporate, other and eliminations categories. Prior periods have been adjusted.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9716" w:type="dxa"/>
            <w:gridSpan w:val="12"/>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9716" w:type="dxa"/>
            <w:gridSpan w:val="12"/>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CIVEO CORPORATION</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NON-GAAP RECONCILIATIONS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spacing w:before="0" w:after="0"/>
        <w:jc w:val="center"/>
        <w:rPr/>
      </w:pPr>
      <w:r>
        <w:rPr/>
      </w:r>
    </w:p>
    <w:tbl>
      <w:tblPr>
        <w:tblW w:w="8465" w:type="dxa"/>
        <w:jc w:val="center"/>
        <w:tblInd w:w="0" w:type="dxa"/>
        <w:tblCellMar>
          <w:top w:w="28" w:type="dxa"/>
          <w:left w:w="28" w:type="dxa"/>
          <w:bottom w:w="28" w:type="dxa"/>
          <w:right w:w="28" w:type="dxa"/>
        </w:tblCellMar>
      </w:tblPr>
      <w:tblGrid>
        <w:gridCol w:w="715"/>
        <w:gridCol w:w="632"/>
        <w:gridCol w:w="633"/>
        <w:gridCol w:w="211"/>
        <w:gridCol w:w="721"/>
        <w:gridCol w:w="109"/>
        <w:gridCol w:w="109"/>
        <w:gridCol w:w="109"/>
        <w:gridCol w:w="109"/>
        <w:gridCol w:w="211"/>
        <w:gridCol w:w="721"/>
        <w:gridCol w:w="109"/>
        <w:gridCol w:w="109"/>
        <w:gridCol w:w="109"/>
        <w:gridCol w:w="109"/>
        <w:gridCol w:w="109"/>
        <w:gridCol w:w="109"/>
        <w:gridCol w:w="2851"/>
        <w:gridCol w:w="109"/>
        <w:gridCol w:w="167"/>
        <w:gridCol w:w="167"/>
        <w:gridCol w:w="237"/>
      </w:tblGrid>
      <w:tr>
        <w:trPr/>
        <w:tc>
          <w:tcPr>
            <w:tcW w:w="715"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1" w:type="dxa"/>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Twelve Months Ended March 31,</w:t>
            </w:r>
          </w:p>
        </w:tc>
        <w:tc>
          <w:tcPr>
            <w:tcW w:w="680" w:type="dxa"/>
            <w:gridSpan w:val="4"/>
            <w:tcBorders/>
            <w:shd w:fill="auto" w:val="clea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 (1)</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(1)</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 (2)</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Leverage Ratio (3)</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1.2x</w:t>
            </w:r>
          </w:p>
        </w:tc>
      </w:tr>
    </w:tbl>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(1)The term EBITDA is a non-GAAP financial measure that is defined as net income (loss) attributable to Civeo Corporation plus interest, taxes, depreciation and amortization. The term Adjusted EBITDA is a non-GAAP financial measure that is 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310"/>
        <w:gridCol w:w="1128"/>
        <w:gridCol w:w="1131"/>
        <w:gridCol w:w="211"/>
        <w:gridCol w:w="721"/>
        <w:gridCol w:w="109"/>
        <w:gridCol w:w="109"/>
        <w:gridCol w:w="109"/>
        <w:gridCol w:w="109"/>
        <w:gridCol w:w="211"/>
        <w:gridCol w:w="721"/>
        <w:gridCol w:w="109"/>
        <w:gridCol w:w="109"/>
        <w:gridCol w:w="109"/>
        <w:gridCol w:w="109"/>
        <w:gridCol w:w="109"/>
        <w:gridCol w:w="109"/>
        <w:gridCol w:w="2380"/>
        <w:gridCol w:w="109"/>
        <w:gridCol w:w="211"/>
        <w:gridCol w:w="826"/>
        <w:gridCol w:w="156"/>
      </w:tblGrid>
      <w:tr>
        <w:trPr/>
        <w:tc>
          <w:tcPr>
            <w:tcW w:w="1310"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Twelve Months Ended March 31,</w:t>
            </w:r>
          </w:p>
        </w:tc>
        <w:tc>
          <w:tcPr>
            <w:tcW w:w="1302" w:type="dxa"/>
            <w:gridSpan w:val="4"/>
            <w:tcBorders/>
            <w:shd w:fill="auto" w:val="clea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Civeo Corporation</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4,078 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88,749 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12,662 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101,652 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EBITDA</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Impairment of long-lived assets (a)</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5,721 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107,373 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(a)Relates to asset impairments in the fourth quarter of 2022. In the fourth quarter of 2022, we recorded a pre-tax loss related to the impairment of long-lived assets in our Australian segment of $3.8 million and a pre-tax loss related to the impairment of long-lived assets in the U.S. of $1.9 million.</w:t>
      </w:r>
    </w:p>
    <w:p>
      <w:pPr>
        <w:pStyle w:val="TextBody"/>
        <w:spacing w:before="0" w:after="0"/>
        <w:ind w:left="0" w:right="0" w:hanging="360"/>
        <w:rPr/>
      </w:pPr>
      <w:r>
        <w:rPr/>
      </w:r>
    </w:p>
    <w:p>
      <w:pPr>
        <w:pStyle w:val="TextBody"/>
        <w:spacing w:lineRule="auto" w:line="288"/>
        <w:ind w:left="0" w:right="0" w:hanging="360"/>
        <w:rPr>
          <w:rFonts w:ascii="Arial;sans-serif" w:hAnsi="Arial;sans-serif"/>
          <w:b w:val="false"/>
          <w:color w:val="000000"/>
          <w:sz w:val="18"/>
        </w:rPr>
      </w:pPr>
      <w:r>
        <w:rPr>
          <w:rFonts w:ascii="Arial;sans-serif" w:hAnsi="Arial;sans-serif"/>
          <w:b w:val="false"/>
          <w:color w:val="000000"/>
          <w:sz w:val="18"/>
        </w:rPr>
        <w:t xml:space="preserve">(2)The term Free Cash Flow is a non-GAAP financial measure that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w:t>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service obligations. Civeo uses Free Cash Flow to compare and to understand, manage, make operating decisions and evaluate Civeo's business. It is also used as a benchmark for the award of incentive compensation under its annual incentive compensation plan.</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pStyle w:val="TextBody"/>
        <w:spacing w:before="0" w:after="0"/>
        <w:rPr/>
      </w:pPr>
      <w:r>
        <w:rPr/>
      </w:r>
    </w:p>
    <w:tbl>
      <w:tblPr>
        <w:tblW w:w="7764" w:type="dxa"/>
        <w:jc w:val="center"/>
        <w:tblInd w:w="0" w:type="dxa"/>
        <w:tblCellMar>
          <w:top w:w="28" w:type="dxa"/>
          <w:left w:w="28" w:type="dxa"/>
          <w:bottom w:w="28" w:type="dxa"/>
          <w:right w:w="28" w:type="dxa"/>
        </w:tblCellMar>
      </w:tblPr>
      <w:tblGrid>
        <w:gridCol w:w="1814"/>
        <w:gridCol w:w="1592"/>
        <w:gridCol w:w="1603"/>
        <w:gridCol w:w="211"/>
        <w:gridCol w:w="691"/>
        <w:gridCol w:w="109"/>
        <w:gridCol w:w="109"/>
        <w:gridCol w:w="109"/>
        <w:gridCol w:w="109"/>
        <w:gridCol w:w="211"/>
        <w:gridCol w:w="616"/>
        <w:gridCol w:w="109"/>
        <w:gridCol w:w="109"/>
        <w:gridCol w:w="109"/>
        <w:gridCol w:w="109"/>
        <w:gridCol w:w="154"/>
      </w:tblGrid>
      <w:tr>
        <w:trPr/>
        <w:tc>
          <w:tcPr>
            <w:tcW w:w="1814" w:type="dxa"/>
            <w:tcBorders/>
            <w:shd w:fill="auto" w:val="clear"/>
            <w:vAlign w:val="center"/>
          </w:tcPr>
          <w:p>
            <w:pPr>
              <w:pStyle w:val="TableContents"/>
              <w:spacing w:before="0" w:after="283"/>
              <w:rPr>
                <w:sz w:val="4"/>
                <w:szCs w:val="4"/>
              </w:rPr>
            </w:pPr>
            <w:r>
              <w:rPr>
                <w:sz w:val="4"/>
                <w:szCs w:val="4"/>
              </w:rPr>
            </w:r>
          </w:p>
        </w:tc>
        <w:tc>
          <w:tcPr>
            <w:tcW w:w="1592" w:type="dxa"/>
            <w:tcBorders/>
            <w:shd w:fill="auto" w:val="clear"/>
            <w:vAlign w:val="center"/>
          </w:tcPr>
          <w:p>
            <w:pPr>
              <w:pStyle w:val="TableContents"/>
              <w:spacing w:before="0" w:after="283"/>
              <w:rPr>
                <w:sz w:val="4"/>
                <w:szCs w:val="4"/>
              </w:rPr>
            </w:pPr>
            <w:r>
              <w:rPr>
                <w:sz w:val="4"/>
                <w:szCs w:val="4"/>
              </w:rPr>
            </w:r>
          </w:p>
        </w:tc>
        <w:tc>
          <w:tcPr>
            <w:tcW w:w="16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Flows Provided by Operating Activities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dispositions of property, plant and equipment</w:t>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(3)The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following table sets forth a reconciliation of net debt, bank-adjusted EBITDA and net leverage ratio to the most directly comparable measures of financial performance calculated under GAAP (in thousands) (unaudited):</w:t>
      </w:r>
    </w:p>
    <w:p>
      <w:pPr>
        <w:pStyle w:val="TextBody"/>
        <w:spacing w:before="0" w:after="0"/>
        <w:rPr/>
      </w:pPr>
      <w:r>
        <w:rPr/>
      </w:r>
    </w:p>
    <w:tbl>
      <w:tblPr>
        <w:tblW w:w="9786" w:type="dxa"/>
        <w:jc w:val="left"/>
        <w:tblInd w:w="0" w:type="dxa"/>
        <w:tblCellMar>
          <w:top w:w="28" w:type="dxa"/>
          <w:left w:w="28" w:type="dxa"/>
          <w:bottom w:w="28" w:type="dxa"/>
          <w:right w:w="28" w:type="dxa"/>
        </w:tblCellMar>
      </w:tblPr>
      <w:tblGrid>
        <w:gridCol w:w="2516"/>
        <w:gridCol w:w="2208"/>
        <w:gridCol w:w="2241"/>
        <w:gridCol w:w="139"/>
        <w:gridCol w:w="139"/>
        <w:gridCol w:w="139"/>
        <w:gridCol w:w="394"/>
        <w:gridCol w:w="1545"/>
        <w:gridCol w:w="202"/>
        <w:gridCol w:w="109"/>
        <w:gridCol w:w="154"/>
      </w:tblGrid>
      <w:tr>
        <w:trPr/>
        <w:tc>
          <w:tcPr>
            <w:tcW w:w="2516" w:type="dxa"/>
            <w:tcBorders/>
            <w:shd w:fill="auto" w:val="clear"/>
            <w:vAlign w:val="center"/>
          </w:tcPr>
          <w:p>
            <w:pPr>
              <w:pStyle w:val="TableContents"/>
              <w:spacing w:before="0" w:after="283"/>
              <w:rPr>
                <w:sz w:val="4"/>
                <w:szCs w:val="4"/>
              </w:rPr>
            </w:pPr>
            <w:r>
              <w:rPr>
                <w:sz w:val="4"/>
                <w:szCs w:val="4"/>
              </w:rPr>
            </w:r>
          </w:p>
        </w:tc>
        <w:tc>
          <w:tcPr>
            <w:tcW w:w="2208" w:type="dxa"/>
            <w:tcBorders/>
            <w:shd w:fill="auto" w:val="clear"/>
            <w:vAlign w:val="center"/>
          </w:tcPr>
          <w:p>
            <w:pPr>
              <w:pStyle w:val="TableContents"/>
              <w:spacing w:before="0" w:after="283"/>
              <w:rPr>
                <w:sz w:val="4"/>
                <w:szCs w:val="4"/>
              </w:rPr>
            </w:pPr>
            <w:r>
              <w:rPr>
                <w:sz w:val="4"/>
                <w:szCs w:val="4"/>
              </w:rPr>
            </w:r>
          </w:p>
        </w:tc>
        <w:tc>
          <w:tcPr>
            <w:tcW w:w="224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 OF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142,608 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 and cash equivalents</w:t>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12,366 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debt</w:t>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130,242 </w:t>
            </w:r>
          </w:p>
        </w:tc>
        <w:tc>
          <w:tcPr>
            <w:tcW w:w="20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EBITDA for the twelve months ended March 31, 2023 (a)</w:t>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107,373 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Adjusted EBITDA</w:t>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3,623 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Bank-adjusted EBITDA</w:t>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111,067 </w:t>
            </w:r>
          </w:p>
        </w:tc>
        <w:tc>
          <w:tcPr>
            <w:tcW w:w="20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leverage ratio (b)</w:t>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1.2x</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523"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(a)</w:t>
            </w:r>
            <w:r>
              <w:rPr>
                <w:color w:val="000000"/>
              </w:rPr>
              <w:t xml:space="preserve"> </w:t>
            </w:r>
            <w:r>
              <w:rPr>
                <w:rFonts w:ascii="Arial;sans-serif" w:hAnsi="Arial;sans-serif"/>
                <w:b w:val="false"/>
                <w:color w:val="000000"/>
                <w:sz w:val="18"/>
              </w:rPr>
              <w:t>See footnote 1 above for reconciliation of Adjusted EBITDA to net income (loss) attributable to Civeo Corporation</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523"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(b) Calculated as net debt divided by bank-adjusted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CIVEO CORPORATION</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NON-GAAP RECONCILIATIONS - GUIDANCE</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(in millions)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spacing w:before="0" w:after="0"/>
        <w:jc w:val="center"/>
        <w:rPr/>
      </w:pPr>
      <w:r>
        <w:rPr/>
      </w:r>
    </w:p>
    <w:tbl>
      <w:tblPr>
        <w:tblW w:w="5905" w:type="dxa"/>
        <w:jc w:val="center"/>
        <w:tblInd w:w="0" w:type="dxa"/>
        <w:tblCellMar>
          <w:top w:w="28" w:type="dxa"/>
          <w:left w:w="28" w:type="dxa"/>
          <w:bottom w:w="28" w:type="dxa"/>
          <w:right w:w="28" w:type="dxa"/>
        </w:tblCellMar>
      </w:tblPr>
      <w:tblGrid>
        <w:gridCol w:w="591"/>
        <w:gridCol w:w="521"/>
        <w:gridCol w:w="523"/>
        <w:gridCol w:w="109"/>
        <w:gridCol w:w="109"/>
        <w:gridCol w:w="296"/>
        <w:gridCol w:w="296"/>
        <w:gridCol w:w="573"/>
        <w:gridCol w:w="1388"/>
        <w:gridCol w:w="296"/>
        <w:gridCol w:w="109"/>
        <w:gridCol w:w="109"/>
        <w:gridCol w:w="109"/>
        <w:gridCol w:w="211"/>
        <w:gridCol w:w="511"/>
        <w:gridCol w:w="154"/>
      </w:tblGrid>
      <w:tr>
        <w:trPr/>
        <w:tc>
          <w:tcPr>
            <w:tcW w:w="59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Ending December 31, 2023</w:t>
            </w:r>
          </w:p>
        </w:tc>
        <w:tc>
          <w:tcPr>
            <w:tcW w:w="1203" w:type="dxa"/>
            <w:gridSpan w:val="6"/>
            <w:tcBorders/>
            <w:shd w:fill="auto" w:val="clea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 Range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2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76" w:before="0" w:after="0"/>
        <w:ind w:left="0" w:right="0" w:hanging="360"/>
        <w:rPr>
          <w:rFonts w:ascii="Arial;sans-serif" w:hAnsi="Arial;sans-serif"/>
          <w:b w:val="false"/>
          <w:color w:val="000000"/>
          <w:sz w:val="18"/>
        </w:rPr>
      </w:pPr>
      <w:r>
        <w:rPr>
          <w:rFonts w:ascii="Arial;sans-serif" w:hAnsi="Arial;sans-serif"/>
          <w:b w:val="false"/>
          <w:color w:val="000000"/>
          <w:sz w:val="18"/>
        </w:rPr>
        <w:t>(1)The following table sets forth a reconciliation of estimated EBITDA to estimated net loss, which is the most directly comparable measure of financial performance calculated under generally accepted accounting principles (in millions) (unaudited):</w:t>
      </w:r>
    </w:p>
    <w:p>
      <w:pPr>
        <w:pStyle w:val="TextBody"/>
        <w:spacing w:before="0" w:after="0"/>
        <w:jc w:val="center"/>
        <w:rPr/>
      </w:pPr>
      <w:r>
        <w:rPr/>
      </w:r>
    </w:p>
    <w:tbl>
      <w:tblPr>
        <w:tblW w:w="6850" w:type="dxa"/>
        <w:jc w:val="center"/>
        <w:tblInd w:w="0" w:type="dxa"/>
        <w:tblCellMar>
          <w:top w:w="28" w:type="dxa"/>
          <w:left w:w="28" w:type="dxa"/>
          <w:bottom w:w="28" w:type="dxa"/>
          <w:right w:w="28" w:type="dxa"/>
        </w:tblCellMar>
      </w:tblPr>
      <w:tblGrid>
        <w:gridCol w:w="935"/>
        <w:gridCol w:w="819"/>
        <w:gridCol w:w="826"/>
        <w:gridCol w:w="109"/>
        <w:gridCol w:w="109"/>
        <w:gridCol w:w="276"/>
        <w:gridCol w:w="276"/>
        <w:gridCol w:w="535"/>
        <w:gridCol w:w="1486"/>
        <w:gridCol w:w="276"/>
        <w:gridCol w:w="109"/>
        <w:gridCol w:w="109"/>
        <w:gridCol w:w="109"/>
        <w:gridCol w:w="211"/>
        <w:gridCol w:w="511"/>
        <w:gridCol w:w="154"/>
      </w:tblGrid>
      <w:tr>
        <w:trPr/>
        <w:tc>
          <w:tcPr>
            <w:tcW w:w="935"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Year Ending December 31, 2023</w:t>
            </w:r>
          </w:p>
        </w:tc>
        <w:tc>
          <w:tcPr>
            <w:tcW w:w="1203" w:type="dxa"/>
            <w:gridSpan w:val="6"/>
            <w:tcBorders/>
            <w:shd w:fill="auto" w:val="clea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(estimated)</w:t>
            </w:r>
          </w:p>
        </w:tc>
        <w:tc>
          <w:tcPr>
            <w:tcW w:w="1203" w:type="dxa"/>
            <w:gridSpan w:val="6"/>
            <w:tcBorders/>
            <w:shd w:fill="auto" w:val="clea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53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27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95.0 </w:t>
            </w:r>
          </w:p>
        </w:tc>
        <w:tc>
          <w:tcPr>
            <w:tcW w:w="154"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CIVEO CORPORATION</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SUPPLEMENTAL QUARTERLY SEGMENT AND OPERATING DATA</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(U.S. dollars in thousands, except for room counts and average daily rates)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7359" w:type="dxa"/>
        <w:jc w:val="center"/>
        <w:tblInd w:w="0" w:type="dxa"/>
        <w:tblCellMar>
          <w:top w:w="28" w:type="dxa"/>
          <w:left w:w="28" w:type="dxa"/>
          <w:bottom w:w="28" w:type="dxa"/>
          <w:right w:w="28" w:type="dxa"/>
        </w:tblCellMar>
      </w:tblPr>
      <w:tblGrid>
        <w:gridCol w:w="1620"/>
        <w:gridCol w:w="1423"/>
        <w:gridCol w:w="1426"/>
        <w:gridCol w:w="211"/>
        <w:gridCol w:w="721"/>
        <w:gridCol w:w="109"/>
        <w:gridCol w:w="109"/>
        <w:gridCol w:w="109"/>
        <w:gridCol w:w="109"/>
        <w:gridCol w:w="211"/>
        <w:gridCol w:w="721"/>
        <w:gridCol w:w="109"/>
        <w:gridCol w:w="109"/>
        <w:gridCol w:w="109"/>
        <w:gridCol w:w="109"/>
        <w:gridCol w:w="154"/>
      </w:tblGrid>
      <w:tr>
        <w:trPr/>
        <w:tc>
          <w:tcPr>
            <w:tcW w:w="1620"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Supplemental Operating Data - Canadian Segment</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Revenues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Accommodation revenue (1)</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Mobile facility rental revenue (2)</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24,018 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Food and other services revenue (3)</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Total Canadian revenues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89,453 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Accommodation cost</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Mobile facility rental cost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Food and other services cost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other cost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Canadian cost of sales and services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73,905 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75,206 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Average daily rates (4)</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Billed rooms (5)</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642,796 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635,555 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Canadian dollar to U.S. dollar</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Supplemental Operating Data - Australian Segment</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Revenues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Accommodation revenue (1)</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40,599 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37,599 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Food and other services revenue (3)</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25,930 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Total Australian revenues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76,989 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63,529 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Accommodation cost</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20,318 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Food and other services cost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other cost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Australian cost of sales and services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58,308 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44,514 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Average daily rates (4)</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Billed rooms (5)</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522,713 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474,474 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Australian dollar to U.S. dollar</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0.684 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0.724 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(1)Includes revenues related to lodge and village rooms and hospitality services for owned rooms for the periods presented.</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(2)Includes revenues related to mobile assets for the periods presented.</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(3)Includes revenues related to food services, laundry and water and wastewater treatment services, and facilities management for the periods presented.</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(4)Average daily rate is based on billed rooms and accommodation revenue.</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(5)Billed rooms represents total billed days for owned assets for the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CONTACTS: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Carolyn J. Stone</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Civeo Corporation</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Senior Vice President &amp; Chief Financial Officer</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713-510-2400</w:t>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4332</Words>
  <CharactersWithSpaces>28684</CharactersWithSpaces>
  <Paragraphs>755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