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Washington, D.C. 20549</w:t>
      </w:r>
    </w:p>
    <w:p>
      <w:pPr>
        <w:spacing w:after="0" w:line="10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840" w:right="1900" w:hanging="805"/>
        <w:spacing w:after="0" w:line="328" w:lineRule="auto"/>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333" w:lineRule="exact"/>
        <w:rPr>
          <w:sz w:val="24"/>
          <w:szCs w:val="24"/>
          <w:color w:val="auto"/>
        </w:rPr>
      </w:pPr>
    </w:p>
    <w:p>
      <w:pPr>
        <w:ind w:left="840"/>
        <w:spacing w:after="0"/>
        <w:rPr>
          <w:sz w:val="20"/>
          <w:szCs w:val="20"/>
          <w:color w:val="auto"/>
        </w:rPr>
      </w:pPr>
      <w:r>
        <w:rPr>
          <w:rFonts w:ascii="Arial" w:cs="Arial" w:eastAsia="Arial" w:hAnsi="Arial"/>
          <w:sz w:val="18"/>
          <w:szCs w:val="18"/>
          <w:color w:val="auto"/>
        </w:rPr>
        <w:t>For the transition period from _________________________ to _________________________</w:t>
      </w:r>
    </w:p>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11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97155</wp:posOffset>
            </wp:positionV>
            <wp:extent cx="1380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316"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00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British Columbia, Canada</w:t>
            </w:r>
          </w:p>
        </w:tc>
        <w:tc>
          <w:tcPr>
            <w:tcW w:w="4320" w:type="dxa"/>
            <w:vAlign w:val="bottom"/>
            <w:gridSpan w:val="5"/>
          </w:tcPr>
          <w:p>
            <w:pPr>
              <w:jc w:val="right"/>
              <w:ind w:right="240"/>
              <w:spacing w:after="0"/>
              <w:rPr>
                <w:sz w:val="20"/>
                <w:szCs w:val="20"/>
                <w:color w:val="auto"/>
              </w:rPr>
            </w:pPr>
            <w:r>
              <w:rPr>
                <w:rFonts w:ascii="Arial" w:cs="Arial" w:eastAsia="Arial" w:hAnsi="Arial"/>
                <w:sz w:val="18"/>
                <w:szCs w:val="18"/>
                <w:color w:val="auto"/>
              </w:rPr>
              <w:t>98-1253716</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380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(State or other jurisdiction of</w:t>
            </w:r>
          </w:p>
        </w:tc>
        <w:tc>
          <w:tcPr>
            <w:tcW w:w="4320" w:type="dxa"/>
            <w:vAlign w:val="bottom"/>
            <w:gridSpan w:val="5"/>
          </w:tcPr>
          <w:p>
            <w:pPr>
              <w:jc w:val="center"/>
              <w:ind w:left="2890"/>
              <w:spacing w:after="0"/>
              <w:rPr>
                <w:sz w:val="20"/>
                <w:szCs w:val="20"/>
                <w:color w:val="auto"/>
              </w:rPr>
            </w:pPr>
            <w:r>
              <w:rPr>
                <w:rFonts w:ascii="Arial" w:cs="Arial" w:eastAsia="Arial" w:hAnsi="Arial"/>
                <w:sz w:val="18"/>
                <w:szCs w:val="18"/>
                <w:color w:val="auto"/>
                <w:w w:val="92"/>
              </w:rPr>
              <w:t>(I.R.S. Employer</w:t>
            </w:r>
          </w:p>
        </w:tc>
      </w:tr>
      <w:tr>
        <w:trPr>
          <w:trHeight w:val="270"/>
        </w:trPr>
        <w:tc>
          <w:tcPr>
            <w:tcW w:w="380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incorporation or organization)</w:t>
            </w:r>
          </w:p>
        </w:tc>
        <w:tc>
          <w:tcPr>
            <w:tcW w:w="4320" w:type="dxa"/>
            <w:vAlign w:val="bottom"/>
            <w:gridSpan w:val="5"/>
          </w:tcPr>
          <w:p>
            <w:pPr>
              <w:jc w:val="center"/>
              <w:ind w:left="289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38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Allen Center, 333 Clay Street, Suite 4980,</w:t>
            </w:r>
          </w:p>
        </w:tc>
        <w:tc>
          <w:tcPr>
            <w:tcW w:w="342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20" w:type="dxa"/>
            <w:vAlign w:val="bottom"/>
            <w:gridSpan w:val="3"/>
          </w:tcPr>
          <w:p>
            <w:pPr>
              <w:jc w:val="center"/>
              <w:ind w:right="1500"/>
              <w:spacing w:after="0"/>
              <w:rPr>
                <w:sz w:val="20"/>
                <w:szCs w:val="20"/>
                <w:color w:val="auto"/>
              </w:rPr>
            </w:pPr>
            <w:r>
              <w:rPr>
                <w:rFonts w:ascii="Arial" w:cs="Arial" w:eastAsia="Arial" w:hAnsi="Arial"/>
                <w:sz w:val="18"/>
                <w:szCs w:val="18"/>
                <w:color w:val="auto"/>
                <w:w w:val="88"/>
              </w:rPr>
              <w:t>Houston, Texas</w:t>
            </w:r>
          </w:p>
        </w:tc>
        <w:tc>
          <w:tcPr>
            <w:tcW w:w="3220" w:type="dxa"/>
            <w:vAlign w:val="bottom"/>
          </w:tcPr>
          <w:p>
            <w:pPr>
              <w:spacing w:after="0"/>
              <w:rPr>
                <w:sz w:val="21"/>
                <w:szCs w:val="21"/>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(Zip Code)</w:t>
            </w:r>
          </w:p>
        </w:tc>
      </w:tr>
      <w:tr>
        <w:trPr>
          <w:trHeight w:val="20"/>
        </w:trPr>
        <w:tc>
          <w:tcPr>
            <w:tcW w:w="118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380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(Address of principal executive offices)</w:t>
            </w: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tcPr>
          <w:p>
            <w:pPr>
              <w:jc w:val="right"/>
              <w:ind w:right="1710"/>
              <w:spacing w:after="0"/>
              <w:rPr>
                <w:sz w:val="20"/>
                <w:szCs w:val="20"/>
                <w:color w:val="auto"/>
              </w:rPr>
            </w:pPr>
            <w:r>
              <w:rPr>
                <w:rFonts w:ascii="Arial" w:cs="Arial" w:eastAsia="Arial" w:hAnsi="Arial"/>
                <w:sz w:val="18"/>
                <w:szCs w:val="18"/>
                <w:color w:val="auto"/>
              </w:rPr>
              <w:t>(713) 510-2400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4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113"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0" w:lineRule="exact"/>
        <w:rPr>
          <w:sz w:val="24"/>
          <w:szCs w:val="24"/>
          <w:color w:val="auto"/>
        </w:rPr>
      </w:pPr>
    </w:p>
    <w:p>
      <w:pPr>
        <w:ind w:left="3600"/>
        <w:spacing w:after="0"/>
        <w:tabs>
          <w:tab w:leader="none" w:pos="834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2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0" w:lineRule="exact"/>
        <w:rPr>
          <w:sz w:val="24"/>
          <w:szCs w:val="24"/>
          <w:color w:val="auto"/>
        </w:rPr>
      </w:pPr>
    </w:p>
    <w:p>
      <w:pPr>
        <w:ind w:left="3600"/>
        <w:spacing w:after="0"/>
        <w:tabs>
          <w:tab w:leader="none" w:pos="834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23"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 ]</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[X]</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 ]</w:t>
      </w:r>
    </w:p>
    <w:p>
      <w:pPr>
        <w:spacing w:after="0" w:line="200" w:lineRule="exact"/>
        <w:rPr>
          <w:sz w:val="24"/>
          <w:szCs w:val="24"/>
          <w:color w:val="auto"/>
        </w:rPr>
      </w:pPr>
    </w:p>
    <w:p>
      <w:pPr>
        <w:sectPr>
          <w:pgSz w:w="11900" w:h="16838" w:orient="portrait"/>
          <w:cols w:equalWidth="0" w:num="3">
            <w:col w:w="4700" w:space="720"/>
            <w:col w:w="2340" w:space="720"/>
            <w:col w:w="2940"/>
          </w:cols>
          <w:pgMar w:left="240" w:top="233" w:right="239" w:bottom="144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 [ ]</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160"/>
        <w:spacing w:after="0"/>
        <w:rPr>
          <w:sz w:val="20"/>
          <w:szCs w:val="20"/>
          <w:color w:val="auto"/>
        </w:rPr>
      </w:pPr>
      <w:r>
        <w:rPr>
          <w:rFonts w:ascii="Arial" w:cs="Arial" w:eastAsia="Arial" w:hAnsi="Arial"/>
          <w:sz w:val="13"/>
          <w:szCs w:val="13"/>
          <w:color w:val="auto"/>
        </w:rPr>
        <w:t>Smaller Reporting Company [ ]</w:t>
      </w:r>
    </w:p>
    <w:p>
      <w:pPr>
        <w:spacing w:after="0" w:line="188" w:lineRule="exact"/>
        <w:rPr>
          <w:sz w:val="24"/>
          <w:szCs w:val="24"/>
          <w:color w:val="auto"/>
        </w:rPr>
      </w:pPr>
    </w:p>
    <w:p>
      <w:pPr>
        <w:sectPr>
          <w:pgSz w:w="11900" w:h="16838" w:orient="portrait"/>
          <w:cols w:equalWidth="0" w:num="2">
            <w:col w:w="4700" w:space="720"/>
            <w:col w:w="6000"/>
          </w:cols>
          <w:pgMar w:left="240" w:top="233" w:right="239" w:bottom="1440" w:gutter="0" w:footer="0" w:header="0"/>
          <w:type w:val="continuous"/>
        </w:sect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63" w:lineRule="exact"/>
        <w:rPr>
          <w:sz w:val="24"/>
          <w:szCs w:val="24"/>
          <w:color w:val="auto"/>
        </w:rPr>
      </w:pPr>
    </w:p>
    <w:p>
      <w:pPr>
        <w:ind w:left="3620"/>
        <w:spacing w:after="0"/>
        <w:tabs>
          <w:tab w:leader="none" w:pos="8320" w:val="left"/>
        </w:tabs>
        <w:rPr>
          <w:sz w:val="20"/>
          <w:szCs w:val="20"/>
          <w:color w:val="auto"/>
        </w:rPr>
      </w:pPr>
      <w:r>
        <w:rPr>
          <w:rFonts w:ascii="Arial" w:cs="Arial" w:eastAsia="Arial" w:hAnsi="Arial"/>
          <w:sz w:val="14"/>
          <w:szCs w:val="14"/>
          <w:color w:val="auto"/>
        </w:rPr>
        <w:t>YES [ ]</w:t>
      </w:r>
      <w:r>
        <w:rPr>
          <w:sz w:val="20"/>
          <w:szCs w:val="20"/>
          <w:color w:val="auto"/>
        </w:rPr>
        <w:tab/>
      </w:r>
      <w:r>
        <w:rPr>
          <w:rFonts w:ascii="Arial" w:cs="Arial" w:eastAsia="Arial" w:hAnsi="Arial"/>
          <w:sz w:val="14"/>
          <w:szCs w:val="14"/>
          <w:color w:val="auto"/>
        </w:rPr>
        <w:t>NO [X ]</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The Registrant had 169,301,917 common shares outstanding as of April 22, 2019.</w:t>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139"/>
        <w:spacing w:after="0"/>
        <w:rPr>
          <w:sz w:val="20"/>
          <w:szCs w:val="20"/>
          <w:color w:val="auto"/>
        </w:rPr>
      </w:pPr>
      <w:r>
        <w:rPr>
          <w:rFonts w:ascii="Arial" w:cs="Arial" w:eastAsia="Arial" w:hAnsi="Arial"/>
          <w:sz w:val="18"/>
          <w:szCs w:val="18"/>
          <w:color w:val="auto"/>
        </w:rPr>
        <w:t>CIVEO CORPORATION</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INDEX</w:t>
      </w:r>
    </w:p>
    <w:p>
      <w:pPr>
        <w:spacing w:after="0" w:line="271" w:lineRule="exact"/>
        <w:rPr>
          <w:sz w:val="20"/>
          <w:szCs w:val="20"/>
          <w:color w:val="auto"/>
        </w:rPr>
      </w:pPr>
    </w:p>
    <w:p>
      <w:pPr>
        <w:ind w:left="10640"/>
        <w:spacing w:after="0"/>
        <w:rPr>
          <w:sz w:val="20"/>
          <w:szCs w:val="20"/>
          <w:color w:val="auto"/>
        </w:rPr>
      </w:pPr>
      <w:r>
        <w:rPr>
          <w:rFonts w:ascii="Arial" w:cs="Arial" w:eastAsia="Arial" w:hAnsi="Arial"/>
          <w:sz w:val="14"/>
          <w:szCs w:val="14"/>
          <w:b w:val="1"/>
          <w:bCs w:val="1"/>
          <w:u w:val="single" w:color="auto"/>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Consolidated Financial Statements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0760" w:type="dxa"/>
            <w:vAlign w:val="bottom"/>
          </w:tcPr>
          <w:p>
            <w:pPr>
              <w:ind w:left="340"/>
              <w:spacing w:after="0"/>
              <w:rPr>
                <w:sz w:val="20"/>
                <w:szCs w:val="20"/>
                <w:color w:val="auto"/>
              </w:rPr>
            </w:pPr>
            <w:r>
              <w:rPr>
                <w:rFonts w:ascii="Arial" w:cs="Arial" w:eastAsia="Arial" w:hAnsi="Arial"/>
                <w:sz w:val="14"/>
                <w:szCs w:val="14"/>
                <w:color w:val="auto"/>
              </w:rPr>
              <w:t>Unaudited Consolidated Statements of Operations for the Three Months Ended March 31, 2019 and 2018</w:t>
            </w:r>
          </w:p>
        </w:tc>
        <w:tc>
          <w:tcPr>
            <w:tcW w:w="160" w:type="dxa"/>
            <w:vAlign w:val="bottom"/>
            <w:gridSpan w:val="2"/>
          </w:tcPr>
          <w:p>
            <w:pPr>
              <w:jc w:val="right"/>
              <w:spacing w:after="0"/>
              <w:rPr>
                <w:rFonts w:ascii="Arial" w:cs="Arial" w:eastAsia="Arial" w:hAnsi="Arial"/>
                <w:sz w:val="14"/>
                <w:szCs w:val="14"/>
                <w:color w:val="0000EE"/>
              </w:rPr>
            </w:pPr>
            <w:hyperlink w:anchor="page3">
              <w:r>
                <w:rPr>
                  <w:rFonts w:ascii="Arial" w:cs="Arial" w:eastAsia="Arial" w:hAnsi="Arial"/>
                  <w:sz w:val="14"/>
                  <w:szCs w:val="14"/>
                  <w:color w:val="0000EE"/>
                </w:rPr>
                <w:t>3</w:t>
              </w:r>
            </w:hyperlink>
          </w:p>
        </w:tc>
        <w:tc>
          <w:tcPr>
            <w:tcW w:w="2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80" w:type="dxa"/>
            <w:vAlign w:val="bottom"/>
            <w:tcBorders>
              <w:bottom w:val="single" w:sz="8" w:color="CCEEFF"/>
            </w:tcBorders>
            <w:shd w:val="clear" w:color="auto" w:fill="CCEEFF"/>
          </w:tcPr>
          <w:p>
            <w:pPr>
              <w:spacing w:after="0"/>
              <w:rPr>
                <w:sz w:val="15"/>
                <w:szCs w:val="15"/>
                <w:color w:val="auto"/>
              </w:rPr>
            </w:pPr>
          </w:p>
        </w:tc>
        <w:tc>
          <w:tcPr>
            <w:tcW w:w="10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Unaudited Consolidated Statements of Comprehensive Loss for the Three Months Ended March 31, 2019 and 2018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0000EE"/>
            </w:tcBorders>
            <w:shd w:val="clear" w:color="auto" w:fill="CCEEFF"/>
          </w:tcPr>
          <w:p>
            <w:pPr>
              <w:jc w:val="right"/>
              <w:spacing w:after="0"/>
              <w:rPr>
                <w:rFonts w:ascii="Arial" w:cs="Arial" w:eastAsia="Arial" w:hAnsi="Arial"/>
                <w:sz w:val="14"/>
                <w:szCs w:val="14"/>
                <w:color w:val="0000EE"/>
                <w:w w:val="76"/>
              </w:rPr>
            </w:pPr>
            <w:hyperlink w:anchor="page4">
              <w:r>
                <w:rPr>
                  <w:rFonts w:ascii="Arial" w:cs="Arial" w:eastAsia="Arial" w:hAnsi="Arial"/>
                  <w:sz w:val="14"/>
                  <w:szCs w:val="14"/>
                  <w:color w:val="0000EE"/>
                  <w:w w:val="76"/>
                </w:rPr>
                <w:t>4</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62"/>
        </w:trPr>
        <w:tc>
          <w:tcPr>
            <w:tcW w:w="480" w:type="dxa"/>
            <w:vAlign w:val="bottom"/>
          </w:tcPr>
          <w:p>
            <w:pPr>
              <w:spacing w:after="0"/>
              <w:rPr>
                <w:sz w:val="14"/>
                <w:szCs w:val="14"/>
                <w:color w:val="auto"/>
              </w:rPr>
            </w:pPr>
          </w:p>
        </w:tc>
        <w:tc>
          <w:tcPr>
            <w:tcW w:w="10760" w:type="dxa"/>
            <w:vAlign w:val="bottom"/>
          </w:tcPr>
          <w:p>
            <w:pPr>
              <w:ind w:left="340"/>
              <w:spacing w:after="0"/>
              <w:rPr>
                <w:sz w:val="20"/>
                <w:szCs w:val="20"/>
                <w:color w:val="auto"/>
              </w:rPr>
            </w:pPr>
            <w:r>
              <w:rPr>
                <w:rFonts w:ascii="Arial" w:cs="Arial" w:eastAsia="Arial" w:hAnsi="Arial"/>
                <w:sz w:val="14"/>
                <w:szCs w:val="14"/>
                <w:color w:val="auto"/>
              </w:rPr>
              <w:t>Consolidated Balance Sheets – as of March 31, 2019 (unaudited) and December 31, 2018</w:t>
            </w:r>
          </w:p>
        </w:tc>
        <w:tc>
          <w:tcPr>
            <w:tcW w:w="160" w:type="dxa"/>
            <w:vAlign w:val="bottom"/>
            <w:gridSpan w:val="2"/>
          </w:tcPr>
          <w:p>
            <w:pPr>
              <w:jc w:val="right"/>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2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80" w:type="dxa"/>
            <w:vAlign w:val="bottom"/>
            <w:tcBorders>
              <w:bottom w:val="single" w:sz="8" w:color="CCEEFF"/>
            </w:tcBorders>
            <w:shd w:val="clear" w:color="auto" w:fill="CCEEFF"/>
          </w:tcPr>
          <w:p>
            <w:pPr>
              <w:spacing w:after="0"/>
              <w:rPr>
                <w:sz w:val="15"/>
                <w:szCs w:val="15"/>
                <w:color w:val="auto"/>
              </w:rPr>
            </w:pPr>
          </w:p>
        </w:tc>
        <w:tc>
          <w:tcPr>
            <w:tcW w:w="10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Unaudited Consolidated Statements of Changes in Shareholders’ Equity for the Three Months Ended March 31, 2019 and 2018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0000EE"/>
            </w:tcBorders>
            <w:shd w:val="clear" w:color="auto" w:fill="CCEEFF"/>
          </w:tcPr>
          <w:p>
            <w:pPr>
              <w:jc w:val="right"/>
              <w:spacing w:after="0"/>
              <w:rPr>
                <w:rFonts w:ascii="Arial" w:cs="Arial" w:eastAsia="Arial" w:hAnsi="Arial"/>
                <w:sz w:val="14"/>
                <w:szCs w:val="14"/>
                <w:color w:val="0000EE"/>
                <w:w w:val="76"/>
              </w:rPr>
            </w:pPr>
            <w:hyperlink w:anchor="page6">
              <w:r>
                <w:rPr>
                  <w:rFonts w:ascii="Arial" w:cs="Arial" w:eastAsia="Arial" w:hAnsi="Arial"/>
                  <w:sz w:val="14"/>
                  <w:szCs w:val="14"/>
                  <w:color w:val="0000EE"/>
                  <w:w w:val="76"/>
                </w:rPr>
                <w:t>6</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62"/>
        </w:trPr>
        <w:tc>
          <w:tcPr>
            <w:tcW w:w="480" w:type="dxa"/>
            <w:vAlign w:val="bottom"/>
          </w:tcPr>
          <w:p>
            <w:pPr>
              <w:spacing w:after="0"/>
              <w:rPr>
                <w:sz w:val="14"/>
                <w:szCs w:val="14"/>
                <w:color w:val="auto"/>
              </w:rPr>
            </w:pPr>
          </w:p>
        </w:tc>
        <w:tc>
          <w:tcPr>
            <w:tcW w:w="10760" w:type="dxa"/>
            <w:vAlign w:val="bottom"/>
          </w:tcPr>
          <w:p>
            <w:pPr>
              <w:ind w:left="340"/>
              <w:spacing w:after="0"/>
              <w:rPr>
                <w:sz w:val="20"/>
                <w:szCs w:val="20"/>
                <w:color w:val="auto"/>
              </w:rPr>
            </w:pPr>
            <w:r>
              <w:rPr>
                <w:rFonts w:ascii="Arial" w:cs="Arial" w:eastAsia="Arial" w:hAnsi="Arial"/>
                <w:sz w:val="14"/>
                <w:szCs w:val="14"/>
                <w:color w:val="auto"/>
              </w:rPr>
              <w:t>Unaudited Consolidated Statements of Cash Flows for the Three Months Ended March 31, 2019 and 2018</w:t>
            </w:r>
          </w:p>
        </w:tc>
        <w:tc>
          <w:tcPr>
            <w:tcW w:w="160" w:type="dxa"/>
            <w:vAlign w:val="bottom"/>
            <w:gridSpan w:val="2"/>
          </w:tcPr>
          <w:p>
            <w:pPr>
              <w:jc w:val="right"/>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2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80" w:type="dxa"/>
            <w:vAlign w:val="bottom"/>
            <w:shd w:val="clear" w:color="auto" w:fill="CCEEFF"/>
          </w:tcPr>
          <w:p>
            <w:pPr>
              <w:spacing w:after="0"/>
              <w:rPr>
                <w:sz w:val="15"/>
                <w:szCs w:val="15"/>
                <w:color w:val="auto"/>
              </w:rPr>
            </w:pPr>
          </w:p>
        </w:tc>
        <w:tc>
          <w:tcPr>
            <w:tcW w:w="10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Notes to Unaudited Consolidated Financial Statements</w:t>
            </w:r>
          </w:p>
        </w:tc>
        <w:tc>
          <w:tcPr>
            <w:tcW w:w="160" w:type="dxa"/>
            <w:vAlign w:val="bottom"/>
            <w:gridSpan w:val="2"/>
            <w:shd w:val="clear" w:color="auto" w:fill="CCEEFF"/>
          </w:tcPr>
          <w:p>
            <w:pPr>
              <w:jc w:val="right"/>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20" w:type="dxa"/>
            <w:vAlign w:val="bottom"/>
            <w:shd w:val="clear" w:color="auto" w:fill="CCEEFF"/>
          </w:tcPr>
          <w:p>
            <w:pPr>
              <w:spacing w:after="0"/>
              <w:rPr>
                <w:sz w:val="15"/>
                <w:szCs w:val="15"/>
                <w:color w:val="auto"/>
              </w:rPr>
            </w:pPr>
          </w:p>
        </w:tc>
      </w:tr>
      <w:tr>
        <w:trPr>
          <w:trHeight w:val="284"/>
        </w:trPr>
        <w:tc>
          <w:tcPr>
            <w:tcW w:w="1124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88"/>
        </w:trPr>
        <w:tc>
          <w:tcPr>
            <w:tcW w:w="1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Cautionary Statement Regarding Forward-Looking Statements</w:t>
            </w: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89"/>
              </w:rPr>
            </w:pPr>
            <w:hyperlink w:anchor="page20">
              <w:r>
                <w:rPr>
                  <w:rFonts w:ascii="Arial" w:cs="Arial" w:eastAsia="Arial" w:hAnsi="Arial"/>
                  <w:sz w:val="14"/>
                  <w:szCs w:val="14"/>
                  <w:color w:val="0000EE"/>
                  <w:w w:val="89"/>
                </w:rPr>
                <w:t>20</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84"/>
        </w:trPr>
        <w:tc>
          <w:tcPr>
            <w:tcW w:w="1124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88"/>
        </w:trPr>
        <w:tc>
          <w:tcPr>
            <w:tcW w:w="1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89"/>
              </w:rPr>
            </w:pPr>
            <w:hyperlink w:anchor="page20">
              <w:r>
                <w:rPr>
                  <w:rFonts w:ascii="Arial" w:cs="Arial" w:eastAsia="Arial" w:hAnsi="Arial"/>
                  <w:sz w:val="14"/>
                  <w:szCs w:val="14"/>
                  <w:color w:val="0000EE"/>
                  <w:w w:val="89"/>
                </w:rPr>
                <w:t>20</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84"/>
        </w:trPr>
        <w:tc>
          <w:tcPr>
            <w:tcW w:w="1124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88"/>
        </w:trPr>
        <w:tc>
          <w:tcPr>
            <w:tcW w:w="1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89"/>
              </w:rPr>
            </w:pPr>
            <w:hyperlink w:anchor="page32">
              <w:r>
                <w:rPr>
                  <w:rFonts w:ascii="Arial" w:cs="Arial" w:eastAsia="Arial" w:hAnsi="Arial"/>
                  <w:sz w:val="14"/>
                  <w:szCs w:val="14"/>
                  <w:color w:val="0000EE"/>
                  <w:w w:val="89"/>
                </w:rPr>
                <w:t>32</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84"/>
        </w:trPr>
        <w:tc>
          <w:tcPr>
            <w:tcW w:w="480" w:type="dxa"/>
            <w:vAlign w:val="bottom"/>
            <w:tcBorders>
              <w:top w:val="single" w:sz="8" w:color="CCEEFF"/>
            </w:tcBorders>
          </w:tcPr>
          <w:p>
            <w:pPr>
              <w:spacing w:after="0"/>
              <w:rPr>
                <w:sz w:val="24"/>
                <w:szCs w:val="24"/>
                <w:color w:val="auto"/>
              </w:rPr>
            </w:pPr>
          </w:p>
        </w:tc>
        <w:tc>
          <w:tcPr>
            <w:tcW w:w="107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88"/>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8"/>
              </w:rPr>
              <w:t>Item 4.</w:t>
            </w:r>
          </w:p>
        </w:tc>
        <w:tc>
          <w:tcPr>
            <w:tcW w:w="10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Controls and Procedures</w:t>
            </w: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89"/>
              </w:rPr>
            </w:pPr>
            <w:hyperlink w:anchor="page32">
              <w:r>
                <w:rPr>
                  <w:rFonts w:ascii="Arial" w:cs="Arial" w:eastAsia="Arial" w:hAnsi="Arial"/>
                  <w:sz w:val="14"/>
                  <w:szCs w:val="14"/>
                  <w:color w:val="0000EE"/>
                  <w:w w:val="89"/>
                </w:rPr>
                <w:t>32</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84"/>
        </w:trPr>
        <w:tc>
          <w:tcPr>
            <w:tcW w:w="480" w:type="dxa"/>
            <w:vAlign w:val="bottom"/>
            <w:tcBorders>
              <w:top w:val="single" w:sz="8" w:color="CCEEFF"/>
            </w:tcBorders>
          </w:tcPr>
          <w:p>
            <w:pPr>
              <w:spacing w:after="0"/>
              <w:rPr>
                <w:sz w:val="24"/>
                <w:szCs w:val="24"/>
                <w:color w:val="auto"/>
              </w:rPr>
            </w:pPr>
          </w:p>
        </w:tc>
        <w:tc>
          <w:tcPr>
            <w:tcW w:w="107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84"/>
        </w:trPr>
        <w:tc>
          <w:tcPr>
            <w:tcW w:w="480" w:type="dxa"/>
            <w:vAlign w:val="bottom"/>
            <w:shd w:val="clear" w:color="auto" w:fill="CCEEFF"/>
          </w:tcPr>
          <w:p>
            <w:pPr>
              <w:spacing w:after="0"/>
              <w:rPr>
                <w:sz w:val="24"/>
                <w:szCs w:val="24"/>
                <w:color w:val="auto"/>
              </w:rPr>
            </w:pPr>
          </w:p>
        </w:tc>
        <w:tc>
          <w:tcPr>
            <w:tcW w:w="10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91"/>
        </w:trPr>
        <w:tc>
          <w:tcPr>
            <w:tcW w:w="480" w:type="dxa"/>
            <w:vAlign w:val="bottom"/>
          </w:tcPr>
          <w:p>
            <w:pPr>
              <w:spacing w:after="0"/>
              <w:rPr>
                <w:sz w:val="16"/>
                <w:szCs w:val="16"/>
                <w:color w:val="auto"/>
              </w:rPr>
            </w:pPr>
          </w:p>
        </w:tc>
        <w:tc>
          <w:tcPr>
            <w:tcW w:w="10760" w:type="dxa"/>
            <w:vAlign w:val="bottom"/>
          </w:tcPr>
          <w:p>
            <w:pPr>
              <w:ind w:left="980"/>
              <w:spacing w:after="0"/>
              <w:rPr>
                <w:sz w:val="20"/>
                <w:szCs w:val="20"/>
                <w:color w:val="auto"/>
              </w:rPr>
            </w:pPr>
            <w:r>
              <w:rPr>
                <w:rFonts w:ascii="Arial" w:cs="Arial" w:eastAsia="Arial" w:hAnsi="Arial"/>
                <w:sz w:val="14"/>
                <w:szCs w:val="14"/>
                <w:color w:val="auto"/>
              </w:rPr>
              <w:t>Part II -- OTHER INFORMATION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80"/>
        </w:trPr>
        <w:tc>
          <w:tcPr>
            <w:tcW w:w="480" w:type="dxa"/>
            <w:vAlign w:val="bottom"/>
          </w:tcPr>
          <w:p>
            <w:pPr>
              <w:spacing w:after="0"/>
              <w:rPr>
                <w:sz w:val="6"/>
                <w:szCs w:val="6"/>
                <w:color w:val="auto"/>
              </w:rPr>
            </w:pPr>
          </w:p>
        </w:tc>
        <w:tc>
          <w:tcPr>
            <w:tcW w:w="10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84"/>
        </w:trPr>
        <w:tc>
          <w:tcPr>
            <w:tcW w:w="480" w:type="dxa"/>
            <w:vAlign w:val="bottom"/>
            <w:shd w:val="clear" w:color="auto" w:fill="CCEEFF"/>
          </w:tcPr>
          <w:p>
            <w:pPr>
              <w:spacing w:after="0"/>
              <w:rPr>
                <w:sz w:val="24"/>
                <w:szCs w:val="24"/>
                <w:color w:val="auto"/>
              </w:rPr>
            </w:pPr>
          </w:p>
        </w:tc>
        <w:tc>
          <w:tcPr>
            <w:tcW w:w="10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62"/>
        </w:trPr>
        <w:tc>
          <w:tcPr>
            <w:tcW w:w="480" w:type="dxa"/>
            <w:vAlign w:val="bottom"/>
          </w:tcPr>
          <w:p>
            <w:pPr>
              <w:ind w:left="40"/>
              <w:spacing w:after="0"/>
              <w:rPr>
                <w:sz w:val="20"/>
                <w:szCs w:val="20"/>
                <w:color w:val="auto"/>
              </w:rPr>
            </w:pPr>
            <w:r>
              <w:rPr>
                <w:rFonts w:ascii="Arial" w:cs="Arial" w:eastAsia="Arial" w:hAnsi="Arial"/>
                <w:sz w:val="14"/>
                <w:szCs w:val="14"/>
                <w:color w:val="auto"/>
                <w:w w:val="98"/>
              </w:rPr>
              <w:t>Item 1.</w:t>
            </w:r>
          </w:p>
        </w:tc>
        <w:tc>
          <w:tcPr>
            <w:tcW w:w="10760" w:type="dxa"/>
            <w:vAlign w:val="bottom"/>
          </w:tcPr>
          <w:p>
            <w:pPr>
              <w:ind w:left="140"/>
              <w:spacing w:after="0"/>
              <w:rPr>
                <w:sz w:val="20"/>
                <w:szCs w:val="20"/>
                <w:color w:val="auto"/>
              </w:rPr>
            </w:pPr>
            <w:r>
              <w:rPr>
                <w:rFonts w:ascii="Arial" w:cs="Arial" w:eastAsia="Arial" w:hAnsi="Arial"/>
                <w:sz w:val="14"/>
                <w:szCs w:val="14"/>
                <w:color w:val="auto"/>
              </w:rPr>
              <w:t>Legal Proceedings</w:t>
            </w: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33">
              <w:r>
                <w:rPr>
                  <w:rFonts w:ascii="Arial" w:cs="Arial" w:eastAsia="Arial" w:hAnsi="Arial"/>
                  <w:sz w:val="14"/>
                  <w:szCs w:val="14"/>
                  <w:color w:val="0000EE"/>
                  <w:w w:val="89"/>
                </w:rPr>
                <w:t>33</w:t>
              </w:r>
            </w:hyperlink>
          </w:p>
        </w:tc>
        <w:tc>
          <w:tcPr>
            <w:tcW w:w="2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1124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62"/>
        </w:trPr>
        <w:tc>
          <w:tcPr>
            <w:tcW w:w="11240" w:type="dxa"/>
            <w:vAlign w:val="bottom"/>
            <w:gridSpan w:val="2"/>
          </w:tcPr>
          <w:p>
            <w:pPr>
              <w:ind w:left="40"/>
              <w:spacing w:after="0"/>
              <w:rPr>
                <w:sz w:val="20"/>
                <w:szCs w:val="20"/>
                <w:color w:val="auto"/>
              </w:rPr>
            </w:pPr>
            <w:r>
              <w:rPr>
                <w:rFonts w:ascii="Arial" w:cs="Arial" w:eastAsia="Arial" w:hAnsi="Arial"/>
                <w:sz w:val="14"/>
                <w:szCs w:val="14"/>
                <w:color w:val="auto"/>
              </w:rPr>
              <w:t>Item 1A. Risk Factors</w:t>
            </w: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33">
              <w:r>
                <w:rPr>
                  <w:rFonts w:ascii="Arial" w:cs="Arial" w:eastAsia="Arial" w:hAnsi="Arial"/>
                  <w:sz w:val="14"/>
                  <w:szCs w:val="14"/>
                  <w:color w:val="0000EE"/>
                  <w:w w:val="89"/>
                </w:rPr>
                <w:t>33</w:t>
              </w:r>
            </w:hyperlink>
          </w:p>
        </w:tc>
        <w:tc>
          <w:tcPr>
            <w:tcW w:w="2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480" w:type="dxa"/>
            <w:vAlign w:val="bottom"/>
            <w:shd w:val="clear" w:color="auto" w:fill="CCEEFF"/>
          </w:tcPr>
          <w:p>
            <w:pPr>
              <w:spacing w:after="0"/>
              <w:rPr>
                <w:sz w:val="24"/>
                <w:szCs w:val="24"/>
                <w:color w:val="auto"/>
              </w:rPr>
            </w:pPr>
          </w:p>
        </w:tc>
        <w:tc>
          <w:tcPr>
            <w:tcW w:w="10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62"/>
        </w:trPr>
        <w:tc>
          <w:tcPr>
            <w:tcW w:w="480" w:type="dxa"/>
            <w:vAlign w:val="bottom"/>
          </w:tcPr>
          <w:p>
            <w:pPr>
              <w:ind w:left="40"/>
              <w:spacing w:after="0"/>
              <w:rPr>
                <w:sz w:val="20"/>
                <w:szCs w:val="20"/>
                <w:color w:val="auto"/>
              </w:rPr>
            </w:pPr>
            <w:r>
              <w:rPr>
                <w:rFonts w:ascii="Arial" w:cs="Arial" w:eastAsia="Arial" w:hAnsi="Arial"/>
                <w:sz w:val="14"/>
                <w:szCs w:val="14"/>
                <w:color w:val="auto"/>
                <w:w w:val="98"/>
              </w:rPr>
              <w:t>Item 2.</w:t>
            </w:r>
          </w:p>
        </w:tc>
        <w:tc>
          <w:tcPr>
            <w:tcW w:w="10760" w:type="dxa"/>
            <w:vAlign w:val="bottom"/>
          </w:tcPr>
          <w:p>
            <w:pPr>
              <w:ind w:left="40"/>
              <w:spacing w:after="0"/>
              <w:rPr>
                <w:sz w:val="20"/>
                <w:szCs w:val="20"/>
                <w:color w:val="auto"/>
              </w:rPr>
            </w:pPr>
            <w:r>
              <w:rPr>
                <w:rFonts w:ascii="Arial" w:cs="Arial" w:eastAsia="Arial" w:hAnsi="Arial"/>
                <w:sz w:val="14"/>
                <w:szCs w:val="14"/>
                <w:color w:val="auto"/>
              </w:rPr>
              <w:t>Unregistered Sales of Equity Securities and Use of Proceeds</w:t>
            </w: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33">
              <w:r>
                <w:rPr>
                  <w:rFonts w:ascii="Arial" w:cs="Arial" w:eastAsia="Arial" w:hAnsi="Arial"/>
                  <w:sz w:val="14"/>
                  <w:szCs w:val="14"/>
                  <w:color w:val="0000EE"/>
                  <w:w w:val="89"/>
                </w:rPr>
                <w:t>33</w:t>
              </w:r>
            </w:hyperlink>
          </w:p>
        </w:tc>
        <w:tc>
          <w:tcPr>
            <w:tcW w:w="2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480" w:type="dxa"/>
            <w:vAlign w:val="bottom"/>
            <w:shd w:val="clear" w:color="auto" w:fill="CCEEFF"/>
          </w:tcPr>
          <w:p>
            <w:pPr>
              <w:spacing w:after="0"/>
              <w:rPr>
                <w:sz w:val="24"/>
                <w:szCs w:val="24"/>
                <w:color w:val="auto"/>
              </w:rPr>
            </w:pPr>
          </w:p>
        </w:tc>
        <w:tc>
          <w:tcPr>
            <w:tcW w:w="10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62"/>
        </w:trPr>
        <w:tc>
          <w:tcPr>
            <w:tcW w:w="480" w:type="dxa"/>
            <w:vAlign w:val="bottom"/>
          </w:tcPr>
          <w:p>
            <w:pPr>
              <w:ind w:left="40"/>
              <w:spacing w:after="0"/>
              <w:rPr>
                <w:sz w:val="20"/>
                <w:szCs w:val="20"/>
                <w:color w:val="auto"/>
              </w:rPr>
            </w:pPr>
            <w:r>
              <w:rPr>
                <w:rFonts w:ascii="Arial" w:cs="Arial" w:eastAsia="Arial" w:hAnsi="Arial"/>
                <w:sz w:val="14"/>
                <w:szCs w:val="14"/>
                <w:color w:val="auto"/>
                <w:w w:val="98"/>
              </w:rPr>
              <w:t>Item 6.</w:t>
            </w:r>
          </w:p>
        </w:tc>
        <w:tc>
          <w:tcPr>
            <w:tcW w:w="10760" w:type="dxa"/>
            <w:vAlign w:val="bottom"/>
          </w:tcPr>
          <w:p>
            <w:pPr>
              <w:ind w:left="140"/>
              <w:spacing w:after="0"/>
              <w:rPr>
                <w:sz w:val="20"/>
                <w:szCs w:val="20"/>
                <w:color w:val="auto"/>
              </w:rPr>
            </w:pPr>
            <w:r>
              <w:rPr>
                <w:rFonts w:ascii="Arial" w:cs="Arial" w:eastAsia="Arial" w:hAnsi="Arial"/>
                <w:sz w:val="14"/>
                <w:szCs w:val="14"/>
                <w:color w:val="auto"/>
              </w:rPr>
              <w:t>Exhibits</w:t>
            </w: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34">
              <w:r>
                <w:rPr>
                  <w:rFonts w:ascii="Arial" w:cs="Arial" w:eastAsia="Arial" w:hAnsi="Arial"/>
                  <w:sz w:val="14"/>
                  <w:szCs w:val="14"/>
                  <w:color w:val="0000EE"/>
                  <w:w w:val="89"/>
                </w:rPr>
                <w:t>34</w:t>
              </w:r>
            </w:hyperlink>
          </w:p>
        </w:tc>
        <w:tc>
          <w:tcPr>
            <w:tcW w:w="2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480" w:type="dxa"/>
            <w:vAlign w:val="bottom"/>
            <w:shd w:val="clear" w:color="auto" w:fill="CCEEFF"/>
          </w:tcPr>
          <w:p>
            <w:pPr>
              <w:spacing w:after="0"/>
              <w:rPr>
                <w:sz w:val="24"/>
                <w:szCs w:val="24"/>
                <w:color w:val="auto"/>
              </w:rPr>
            </w:pPr>
          </w:p>
        </w:tc>
        <w:tc>
          <w:tcPr>
            <w:tcW w:w="10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62"/>
        </w:trPr>
        <w:tc>
          <w:tcPr>
            <w:tcW w:w="480" w:type="dxa"/>
            <w:vAlign w:val="bottom"/>
          </w:tcPr>
          <w:p>
            <w:pPr>
              <w:spacing w:after="0"/>
              <w:rPr>
                <w:sz w:val="14"/>
                <w:szCs w:val="14"/>
                <w:color w:val="auto"/>
              </w:rPr>
            </w:pPr>
          </w:p>
        </w:tc>
        <w:tc>
          <w:tcPr>
            <w:tcW w:w="10760" w:type="dxa"/>
            <w:vAlign w:val="bottom"/>
          </w:tcPr>
          <w:p>
            <w:pPr>
              <w:ind w:left="340"/>
              <w:spacing w:after="0"/>
              <w:rPr>
                <w:sz w:val="20"/>
                <w:szCs w:val="20"/>
                <w:color w:val="auto"/>
              </w:rPr>
            </w:pPr>
            <w:r>
              <w:rPr>
                <w:rFonts w:ascii="Arial" w:cs="Arial" w:eastAsia="Arial" w:hAnsi="Arial"/>
                <w:sz w:val="14"/>
                <w:szCs w:val="14"/>
                <w:color w:val="auto"/>
              </w:rPr>
              <w:t>(a) Index of Exhibits</w:t>
            </w: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34">
              <w:r>
                <w:rPr>
                  <w:rFonts w:ascii="Arial" w:cs="Arial" w:eastAsia="Arial" w:hAnsi="Arial"/>
                  <w:sz w:val="14"/>
                  <w:szCs w:val="14"/>
                  <w:color w:val="0000EE"/>
                  <w:w w:val="89"/>
                </w:rPr>
                <w:t>34</w:t>
              </w:r>
            </w:hyperlink>
          </w:p>
        </w:tc>
        <w:tc>
          <w:tcPr>
            <w:tcW w:w="2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1124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62"/>
        </w:trPr>
        <w:tc>
          <w:tcPr>
            <w:tcW w:w="11240" w:type="dxa"/>
            <w:vAlign w:val="bottom"/>
            <w:gridSpan w:val="2"/>
          </w:tcPr>
          <w:p>
            <w:pPr>
              <w:ind w:left="40"/>
              <w:spacing w:after="0"/>
              <w:rPr>
                <w:sz w:val="20"/>
                <w:szCs w:val="20"/>
                <w:color w:val="auto"/>
              </w:rPr>
            </w:pPr>
            <w:r>
              <w:rPr>
                <w:rFonts w:ascii="Arial" w:cs="Arial" w:eastAsia="Arial" w:hAnsi="Arial"/>
                <w:sz w:val="14"/>
                <w:szCs w:val="14"/>
                <w:color w:val="auto"/>
              </w:rPr>
              <w:t>Signature Page</w:t>
            </w: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35">
              <w:r>
                <w:rPr>
                  <w:rFonts w:ascii="Arial" w:cs="Arial" w:eastAsia="Arial" w:hAnsi="Arial"/>
                  <w:sz w:val="14"/>
                  <w:szCs w:val="14"/>
                  <w:color w:val="0000EE"/>
                  <w:w w:val="89"/>
                </w:rPr>
                <w:t>35</w:t>
              </w:r>
            </w:hyperlink>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2" w:name="page3"/>
    <w:bookmarkEnd w:id="2"/>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65"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13335</wp:posOffset>
            </wp:positionV>
            <wp:extent cx="15093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256"/>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4"/>
        </w:trPr>
        <w:tc>
          <w:tcPr>
            <w:tcW w:w="6260" w:type="dxa"/>
            <w:vAlign w:val="bottom"/>
          </w:tcPr>
          <w:p>
            <w:pPr>
              <w:ind w:left="16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100,079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93,083</w:t>
            </w:r>
          </w:p>
        </w:tc>
      </w:tr>
      <w:tr>
        <w:trPr>
          <w:trHeight w:val="276"/>
        </w:trPr>
        <w:tc>
          <w:tcPr>
            <w:tcW w:w="6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3,321</w:t>
            </w:r>
          </w:p>
        </w:tc>
      </w:tr>
      <w:tr>
        <w:trPr>
          <w:trHeight w:val="264"/>
        </w:trPr>
        <w:tc>
          <w:tcPr>
            <w:tcW w:w="62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5,100</w:t>
            </w:r>
          </w:p>
        </w:tc>
      </w:tr>
      <w:tr>
        <w:trPr>
          <w:trHeight w:val="256"/>
        </w:trPr>
        <w:tc>
          <w:tcPr>
            <w:tcW w:w="62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108,550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101,504</w:t>
            </w:r>
          </w:p>
        </w:tc>
      </w:tr>
      <w:tr>
        <w:trPr>
          <w:trHeight w:val="258"/>
        </w:trPr>
        <w:tc>
          <w:tcPr>
            <w:tcW w:w="626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72,644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68,806</w:t>
            </w:r>
          </w:p>
        </w:tc>
      </w:tr>
      <w:tr>
        <w:trPr>
          <w:trHeight w:val="264"/>
        </w:trPr>
        <w:tc>
          <w:tcPr>
            <w:tcW w:w="6260" w:type="dxa"/>
            <w:vAlign w:val="bottom"/>
          </w:tcPr>
          <w:p>
            <w:pPr>
              <w:ind w:left="16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5,150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4,522</w:t>
            </w:r>
          </w:p>
        </w:tc>
      </w:tr>
      <w:tr>
        <w:trPr>
          <w:trHeight w:val="276"/>
        </w:trPr>
        <w:tc>
          <w:tcPr>
            <w:tcW w:w="6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4,373</w:t>
            </w:r>
          </w:p>
        </w:tc>
      </w:tr>
      <w:tr>
        <w:trPr>
          <w:trHeight w:val="264"/>
        </w:trPr>
        <w:tc>
          <w:tcPr>
            <w:tcW w:w="6260" w:type="dxa"/>
            <w:vAlign w:val="bottom"/>
          </w:tcPr>
          <w:p>
            <w:pPr>
              <w:ind w:left="16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16,096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16,514</w:t>
            </w:r>
          </w:p>
        </w:tc>
      </w:tr>
      <w:tr>
        <w:trPr>
          <w:trHeight w:val="276"/>
        </w:trPr>
        <w:tc>
          <w:tcPr>
            <w:tcW w:w="6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30,764</w:t>
            </w:r>
          </w:p>
        </w:tc>
      </w:tr>
      <w:tr>
        <w:trPr>
          <w:trHeight w:val="264"/>
        </w:trPr>
        <w:tc>
          <w:tcPr>
            <w:tcW w:w="6260" w:type="dxa"/>
            <w:vAlign w:val="bottom"/>
          </w:tcPr>
          <w:p>
            <w:pPr>
              <w:ind w:left="16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28,661</w:t>
            </w:r>
          </w:p>
        </w:tc>
      </w:tr>
      <w:tr>
        <w:trPr>
          <w:trHeight w:val="270"/>
        </w:trPr>
        <w:tc>
          <w:tcPr>
            <w:tcW w:w="6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w:t>
            </w:r>
          </w:p>
        </w:tc>
      </w:tr>
      <w:tr>
        <w:trPr>
          <w:trHeight w:val="250"/>
        </w:trPr>
        <w:tc>
          <w:tcPr>
            <w:tcW w:w="6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126,443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154,019</w:t>
            </w:r>
          </w:p>
        </w:tc>
      </w:tr>
      <w:tr>
        <w:trPr>
          <w:trHeight w:val="256"/>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(52,515)</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(5,822)</w:t>
            </w:r>
          </w:p>
        </w:tc>
      </w:tr>
      <w:tr>
        <w:trPr>
          <w:trHeight w:val="264"/>
        </w:trPr>
        <w:tc>
          <w:tcPr>
            <w:tcW w:w="62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58</w:t>
            </w:r>
          </w:p>
        </w:tc>
      </w:t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2,978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2,259</w:t>
            </w:r>
          </w:p>
        </w:tc>
      </w:tr>
      <w:tr>
        <w:trPr>
          <w:trHeight w:val="250"/>
        </w:trPr>
        <w:tc>
          <w:tcPr>
            <w:tcW w:w="6260" w:type="dxa"/>
            <w:vAlign w:val="bottom"/>
          </w:tcPr>
          <w:p>
            <w:pPr>
              <w:ind w:left="16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(56,020)</w:t>
            </w:r>
          </w:p>
        </w:tc>
      </w:t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4,484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685</w:t>
            </w:r>
          </w:p>
        </w:tc>
      </w:tr>
      <w:tr>
        <w:trPr>
          <w:trHeight w:val="250"/>
        </w:trPr>
        <w:tc>
          <w:tcPr>
            <w:tcW w:w="626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(55,335)</w:t>
            </w:r>
          </w:p>
        </w:tc>
      </w:tr>
      <w:tr>
        <w:trPr>
          <w:trHeight w:val="270"/>
        </w:trPr>
        <w:tc>
          <w:tcPr>
            <w:tcW w:w="6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r>
      <w:tr>
        <w:trPr>
          <w:trHeight w:val="250"/>
        </w:trPr>
        <w:tc>
          <w:tcPr>
            <w:tcW w:w="6260" w:type="dxa"/>
            <w:vAlign w:val="bottom"/>
          </w:tcPr>
          <w:p>
            <w:pPr>
              <w:ind w:left="20"/>
              <w:spacing w:after="0"/>
              <w:rPr>
                <w:sz w:val="20"/>
                <w:szCs w:val="20"/>
                <w:color w:val="auto"/>
              </w:rPr>
            </w:pPr>
            <w:r>
              <w:rPr>
                <w:rFonts w:ascii="Arial" w:cs="Arial" w:eastAsia="Arial" w:hAnsi="Arial"/>
                <w:sz w:val="14"/>
                <w:szCs w:val="14"/>
                <w:color w:val="auto"/>
              </w:rPr>
              <w:t>Net loss attributable to Civeo Corporation</w:t>
            </w: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(55,457)</w:t>
            </w:r>
          </w:p>
        </w:tc>
      </w:tr>
      <w:tr>
        <w:trPr>
          <w:trHeight w:val="270"/>
        </w:trPr>
        <w:tc>
          <w:tcPr>
            <w:tcW w:w="6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8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Civeo common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(55,457)</w:t>
            </w:r>
          </w:p>
        </w:tc>
      </w:tr>
      <w:tr>
        <w:trPr>
          <w:trHeight w:val="251"/>
        </w:trPr>
        <w:tc>
          <w:tcPr>
            <w:tcW w:w="6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 Share Data (see Note 9)</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260" w:type="dxa"/>
            <w:vAlign w:val="bottom"/>
          </w:tcPr>
          <w:p>
            <w:pPr>
              <w:ind w:left="20"/>
              <w:spacing w:after="0"/>
              <w:rPr>
                <w:sz w:val="20"/>
                <w:szCs w:val="20"/>
                <w:color w:val="auto"/>
              </w:rPr>
            </w:pPr>
            <w:r>
              <w:rPr>
                <w:rFonts w:ascii="Arial" w:cs="Arial" w:eastAsia="Arial" w:hAnsi="Arial"/>
                <w:sz w:val="14"/>
                <w:szCs w:val="14"/>
                <w:color w:val="auto"/>
              </w:rPr>
              <w:t>Basic net loss per share attributable to Civeo Corporation common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(0.42)</w:t>
            </w:r>
          </w:p>
        </w:tc>
      </w:tr>
      <w:tr>
        <w:trPr>
          <w:trHeight w:val="276"/>
        </w:trPr>
        <w:tc>
          <w:tcPr>
            <w:tcW w:w="6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6260" w:type="dxa"/>
            <w:vAlign w:val="bottom"/>
          </w:tcPr>
          <w:p>
            <w:pPr>
              <w:ind w:left="20"/>
              <w:spacing w:after="0"/>
              <w:rPr>
                <w:sz w:val="20"/>
                <w:szCs w:val="20"/>
                <w:color w:val="auto"/>
              </w:rPr>
            </w:pPr>
            <w:r>
              <w:rPr>
                <w:rFonts w:ascii="Arial" w:cs="Arial" w:eastAsia="Arial" w:hAnsi="Arial"/>
                <w:sz w:val="14"/>
                <w:szCs w:val="14"/>
                <w:color w:val="auto"/>
              </w:rPr>
              <w:t>Diluted net loss per share attributable to Civeo Corporation common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(0.42)</w:t>
            </w:r>
          </w:p>
        </w:tc>
      </w:tr>
      <w:tr>
        <w:trPr>
          <w:trHeight w:val="276"/>
        </w:trPr>
        <w:tc>
          <w:tcPr>
            <w:tcW w:w="6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626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165,330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131,631</w:t>
            </w:r>
          </w:p>
        </w:tc>
      </w:tr>
      <w:tr>
        <w:trPr>
          <w:trHeight w:val="258"/>
        </w:trPr>
        <w:tc>
          <w:tcPr>
            <w:tcW w:w="6260" w:type="dxa"/>
            <w:vAlign w:val="bottom"/>
          </w:tcPr>
          <w:p>
            <w:pPr>
              <w:ind w:left="16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165,330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131,631</w:t>
            </w:r>
          </w:p>
        </w:tc>
      </w:tr>
    </w:tbl>
    <w:p>
      <w:pPr>
        <w:spacing w:after="0" w:line="10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079"/>
          </w:cols>
          <w:pgMar w:left="380" w:top="364"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079"/>
          </w:cols>
          <w:pgMar w:left="380" w:top="364" w:right="1440" w:bottom="1440" w:gutter="0" w:footer="0" w:header="0"/>
          <w:type w:val="continuous"/>
        </w:sectPr>
      </w:pPr>
    </w:p>
    <w:bookmarkStart w:id="3" w:name="page4"/>
    <w:bookmarkEnd w:id="3"/>
    <w:p>
      <w:pPr>
        <w:jc w:val="center"/>
        <w:ind w:right="-1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13335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87"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297"/>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(55,335)</w:t>
            </w:r>
          </w:p>
        </w:tc>
      </w:tr>
      <w:tr>
        <w:trPr>
          <w:trHeight w:val="297"/>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60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 currency translation adjustment, net of taxes of zero</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5,379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(7,821)</w:t>
            </w:r>
          </w:p>
        </w:tc>
      </w:tr>
      <w:tr>
        <w:trPr>
          <w:trHeight w:val="250"/>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5,379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(7,821)</w:t>
            </w:r>
          </w:p>
        </w:tc>
      </w:tr>
      <w:tr>
        <w:trPr>
          <w:trHeight w:val="297"/>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(63,156)</w:t>
            </w:r>
          </w:p>
        </w:tc>
      </w:tr>
      <w:tr>
        <w:trPr>
          <w:trHeight w:val="264"/>
        </w:trPr>
        <w:tc>
          <w:tcPr>
            <w:tcW w:w="6040" w:type="dxa"/>
            <w:vAlign w:val="bottom"/>
          </w:tcPr>
          <w:p>
            <w:pPr>
              <w:ind w:left="16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28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122</w:t>
            </w:r>
          </w:p>
        </w:tc>
      </w:tr>
      <w:tr>
        <w:trPr>
          <w:trHeight w:val="243"/>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Civeo Corporation</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(63,278)</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364" w:right="1440"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December 31, 2018</w:t>
            </w:r>
          </w:p>
        </w:tc>
      </w:tr>
      <w:tr>
        <w:trPr>
          <w:trHeight w:val="264"/>
        </w:trPr>
        <w:tc>
          <w:tcPr>
            <w:tcW w:w="7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7900" w:type="dxa"/>
            <w:vAlign w:val="bottom"/>
            <w:shd w:val="clear" w:color="auto" w:fill="CCEEFF"/>
          </w:tcPr>
          <w:p>
            <w:pPr>
              <w:ind w:left="370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30"/>
        </w:trPr>
        <w:tc>
          <w:tcPr>
            <w:tcW w:w="7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7,992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12,372</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70,223</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4,276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4,313</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7,036</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3,702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3,556</w:t>
            </w:r>
          </w:p>
        </w:tc>
      </w:tr>
      <w:tr>
        <w:trPr>
          <w:trHeight w:val="27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Assets held for sale</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8,058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10,297</w:t>
            </w:r>
          </w:p>
        </w:tc>
      </w:tr>
      <w:tr>
        <w:trPr>
          <w:trHeight w:val="250"/>
        </w:trPr>
        <w:tc>
          <w:tcPr>
            <w:tcW w:w="790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103,106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107,797</w:t>
            </w:r>
          </w:p>
        </w:tc>
      </w:tr>
      <w:tr>
        <w:trPr>
          <w:trHeight w:val="236"/>
        </w:trPr>
        <w:tc>
          <w:tcPr>
            <w:tcW w:w="7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650,919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658,905</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119,158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114,207</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Other intangible assets, net</w:t>
            </w:r>
          </w:p>
        </w:tc>
        <w:tc>
          <w:tcPr>
            <w:tcW w:w="2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111,542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119,409</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1,359</w:t>
            </w:r>
          </w:p>
        </w:tc>
      </w:tr>
      <w:tr>
        <w:trPr>
          <w:trHeight w:val="243"/>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1,007,998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1,001,677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0"/>
        </w:trPr>
        <w:tc>
          <w:tcPr>
            <w:tcW w:w="7900" w:type="dxa"/>
            <w:vAlign w:val="bottom"/>
            <w:shd w:val="clear" w:color="auto" w:fill="CCEEFF"/>
          </w:tcPr>
          <w:p>
            <w:pPr>
              <w:ind w:left="2480"/>
              <w:spacing w:after="0"/>
              <w:rPr>
                <w:sz w:val="20"/>
                <w:szCs w:val="20"/>
                <w:color w:val="auto"/>
              </w:rPr>
            </w:pPr>
            <w:r>
              <w:rPr>
                <w:rFonts w:ascii="Arial" w:cs="Arial" w:eastAsia="Arial" w:hAnsi="Arial"/>
                <w:sz w:val="14"/>
                <w:szCs w:val="14"/>
                <w:color w:val="auto"/>
              </w:rPr>
              <w:t>LIABILITIES AND SHAREHOLDERS’ EQUITY</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7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30,053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28,334</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15,956</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2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310</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33,329</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3,598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3,035</w:t>
            </w:r>
          </w:p>
        </w:tc>
      </w:tr>
      <w:tr>
        <w:trPr>
          <w:trHeight w:val="27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9,407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5,719</w:t>
            </w:r>
          </w:p>
        </w:tc>
      </w:tr>
      <w:tr>
        <w:trPr>
          <w:trHeight w:val="250"/>
        </w:trPr>
        <w:tc>
          <w:tcPr>
            <w:tcW w:w="790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91,069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86,683</w:t>
            </w:r>
          </w:p>
        </w:tc>
      </w:tr>
      <w:tr>
        <w:trPr>
          <w:trHeight w:val="236"/>
        </w:trPr>
        <w:tc>
          <w:tcPr>
            <w:tcW w:w="7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Long-term debt, less current maturities</w:t>
            </w:r>
          </w:p>
        </w:tc>
        <w:tc>
          <w:tcPr>
            <w:tcW w:w="2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346,841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342,908</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18,442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18,529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18,220</w:t>
            </w:r>
          </w:p>
        </w:tc>
      </w:tr>
      <w:tr>
        <w:trPr>
          <w:trHeight w:val="250"/>
        </w:trPr>
        <w:tc>
          <w:tcPr>
            <w:tcW w:w="790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486,681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466,253</w:t>
            </w:r>
          </w:p>
        </w:tc>
      </w:tr>
      <w:tr>
        <w:trPr>
          <w:trHeight w:val="236"/>
        </w:trPr>
        <w:tc>
          <w:tcPr>
            <w:tcW w:w="7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Commitments and contingencies (Note 12)</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6"/>
        </w:trPr>
        <w:tc>
          <w:tcPr>
            <w:tcW w:w="7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63"/>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Preferred shares (Class A Series 1, no par value; 50,000,000 shares authorized, 9,042 shares issued and outstanding, respectively;</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94"/>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aggregate liquidation preference of $92,236,909 as of March 31, 2019)</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56,280</w:t>
            </w:r>
          </w:p>
        </w:tc>
      </w:tr>
      <w:tr>
        <w:trPr>
          <w:trHeight w:val="157"/>
        </w:trPr>
        <w:tc>
          <w:tcPr>
            <w:tcW w:w="7900" w:type="dxa"/>
            <w:vAlign w:val="bottom"/>
          </w:tcPr>
          <w:p>
            <w:pPr>
              <w:ind w:left="180"/>
              <w:spacing w:after="0" w:line="157" w:lineRule="exact"/>
              <w:rPr>
                <w:sz w:val="20"/>
                <w:szCs w:val="20"/>
                <w:color w:val="auto"/>
              </w:rPr>
            </w:pPr>
            <w:r>
              <w:rPr>
                <w:rFonts w:ascii="Arial" w:cs="Arial" w:eastAsia="Arial" w:hAnsi="Arial"/>
                <w:sz w:val="14"/>
                <w:szCs w:val="14"/>
                <w:color w:val="auto"/>
                <w:w w:val="92"/>
              </w:rPr>
              <w:t>Common shares (no par value; 550,000,000 shares authorized, 171,401,230 shares and 166,392,479 shares issued, respectively, and</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8"/>
        </w:trPr>
        <w:tc>
          <w:tcPr>
            <w:tcW w:w="7900" w:type="dxa"/>
            <w:vAlign w:val="bottom"/>
          </w:tcPr>
          <w:p>
            <w:pPr>
              <w:ind w:left="180"/>
              <w:spacing w:after="0"/>
              <w:rPr>
                <w:sz w:val="20"/>
                <w:szCs w:val="20"/>
                <w:color w:val="auto"/>
              </w:rPr>
            </w:pPr>
            <w:r>
              <w:rPr>
                <w:rFonts w:ascii="Arial" w:cs="Arial" w:eastAsia="Arial" w:hAnsi="Arial"/>
                <w:sz w:val="14"/>
                <w:szCs w:val="14"/>
                <w:color w:val="auto"/>
              </w:rPr>
              <w:t>169,301,917 shares and 165,932,334 shares outstanding, respectively)</w:t>
            </w:r>
          </w:p>
        </w:tc>
        <w:tc>
          <w:tcPr>
            <w:tcW w:w="24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1,564,667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1,562,133</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(728,748)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(710,551)</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shares held in treasury at cost, 2,099,313 and 460,145 shares, respectively</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(365,870)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(371,249)</w:t>
            </w:r>
          </w:p>
        </w:tc>
      </w:tr>
      <w:tr>
        <w:trPr>
          <w:trHeight w:val="25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Civeo Corporation 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521,317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535,424</w:t>
            </w:r>
          </w:p>
        </w:tc>
      </w:tr>
      <w:tr>
        <w:trPr>
          <w:trHeight w:val="250"/>
        </w:trPr>
        <w:tc>
          <w:tcPr>
            <w:tcW w:w="790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521,317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535,424</w:t>
            </w:r>
          </w:p>
        </w:tc>
      </w:tr>
      <w:tr>
        <w:trPr>
          <w:trHeight w:val="243"/>
        </w:trPr>
        <w:tc>
          <w:tcPr>
            <w:tcW w:w="7900" w:type="dxa"/>
            <w:vAlign w:val="bottom"/>
          </w:tcPr>
          <w:p>
            <w:pPr>
              <w:ind w:left="380"/>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1,007,998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1,001,677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364" w:right="239" w:bottom="47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476" w:gutter="0" w:footer="0" w:header="0"/>
          <w:type w:val="continuous"/>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Attributable to Civeo</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Preferred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30"/>
        </w:trPr>
        <w:tc>
          <w:tcPr>
            <w:tcW w:w="27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1"/>
                <w:szCs w:val="11"/>
                <w:color w:val="auto"/>
              </w:rPr>
            </w:pPr>
          </w:p>
        </w:tc>
        <w:tc>
          <w:tcPr>
            <w:tcW w:w="10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1"/>
                <w:szCs w:val="11"/>
                <w:color w:val="auto"/>
              </w:rPr>
            </w:pPr>
          </w:p>
        </w:tc>
        <w:tc>
          <w:tcPr>
            <w:tcW w:w="90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7"/>
              </w:rPr>
              <w:t>Shareholders’</w:t>
            </w:r>
          </w:p>
        </w:tc>
      </w:tr>
      <w:tr>
        <w:trPr>
          <w:trHeight w:val="174"/>
        </w:trPr>
        <w:tc>
          <w:tcPr>
            <w:tcW w:w="2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3"/>
                <w:szCs w:val="13"/>
                <w:b w:val="1"/>
                <w:bCs w:val="1"/>
                <w:color w:val="auto"/>
                <w:w w:val="91"/>
              </w:rPr>
              <w:t>Par Value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1,383,934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(579,113)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(328,213)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476,367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(55,457)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(55,335)</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paid</w:t>
            </w:r>
          </w:p>
        </w:tc>
        <w:tc>
          <w:tcPr>
            <w:tcW w:w="1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Cumulative effect of implementation of ASU</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2014-09</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Issuance of shares for acquisition</w:t>
            </w:r>
          </w:p>
        </w:tc>
        <w:tc>
          <w:tcPr>
            <w:tcW w:w="1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4,500</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2,200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1,606</w:t>
            </w:r>
          </w:p>
        </w:tc>
      </w:tr>
      <w:tr>
        <w:trPr>
          <w:trHeight w:val="28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b w:val="1"/>
                <w:bCs w:val="1"/>
                <w:color w:val="auto"/>
              </w:rPr>
              <w:t>1,390,634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(634,176)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(952)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(336,034)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b w:val="1"/>
                <w:bCs w:val="1"/>
                <w:color w:val="auto"/>
              </w:rPr>
              <w:t>419,592</w:t>
            </w:r>
          </w:p>
        </w:tc>
      </w:tr>
      <w:tr>
        <w:trPr>
          <w:trHeight w:val="251"/>
        </w:trPr>
        <w:tc>
          <w:tcPr>
            <w:tcW w:w="27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r>
      <w:tr>
        <w:trPr>
          <w:trHeight w:val="270"/>
        </w:trPr>
        <w:tc>
          <w:tcPr>
            <w:tcW w:w="2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56,280</w:t>
            </w:r>
          </w:p>
        </w:tc>
        <w:tc>
          <w:tcPr>
            <w:tcW w:w="40" w:type="dxa"/>
            <w:vAlign w:val="bottom"/>
            <w:shd w:val="clear" w:color="auto" w:fill="CCEEFF"/>
          </w:tcPr>
          <w:p>
            <w:pPr>
              <w:spacing w:after="0"/>
              <w:rPr>
                <w:sz w:val="23"/>
                <w:szCs w:val="23"/>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1,562,133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(710,551)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(371,249)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535,424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(17,039)</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5,379</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8"/>
              </w:rPr>
              <w:t>Cumulative effect of implementation of ASU</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2016-02</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(699)</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attributable to Class A preferred</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Share-based compensation</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2,534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(1,748)</w:t>
            </w: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56,739</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1,564,667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(728,748)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(365,870)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521,317</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2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center"/>
              <w:ind w:left="89"/>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49"/>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Shares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Shares (in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thousands)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center"/>
              <w:ind w:left="69"/>
              <w:spacing w:after="0"/>
              <w:rPr>
                <w:sz w:val="20"/>
                <w:szCs w:val="20"/>
                <w:color w:val="auto"/>
              </w:rPr>
            </w:pPr>
            <w:r>
              <w:rPr>
                <w:rFonts w:ascii="Arial" w:cs="Arial" w:eastAsia="Arial" w:hAnsi="Arial"/>
                <w:sz w:val="14"/>
                <w:szCs w:val="14"/>
                <w:b w:val="1"/>
                <w:bCs w:val="1"/>
                <w:color w:val="auto"/>
                <w:w w:val="90"/>
              </w:rPr>
              <w:t>thousands)</w:t>
            </w:r>
          </w:p>
        </w:tc>
        <w:tc>
          <w:tcPr>
            <w:tcW w:w="14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80" w:type="dxa"/>
            <w:vAlign w:val="bottom"/>
            <w:shd w:val="clear" w:color="auto" w:fill="CCEEFF"/>
          </w:tcPr>
          <w:p>
            <w:pPr>
              <w:spacing w:after="0"/>
              <w:rPr>
                <w:sz w:val="22"/>
                <w:szCs w:val="22"/>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9,042</w:t>
            </w:r>
          </w:p>
        </w:tc>
        <w:tc>
          <w:tcPr>
            <w:tcW w:w="6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165,932</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3,370</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80" w:type="dxa"/>
            <w:vAlign w:val="bottom"/>
          </w:tcPr>
          <w:p>
            <w:pPr>
              <w:spacing w:after="0"/>
              <w:rPr>
                <w:sz w:val="21"/>
                <w:szCs w:val="21"/>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9,042</w:t>
            </w:r>
          </w:p>
        </w:tc>
        <w:tc>
          <w:tcPr>
            <w:tcW w:w="6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169,302</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center"/>
        <w:ind w:right="-3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13335</wp:posOffset>
            </wp:positionV>
            <wp:extent cx="1912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5"/>
              </w:rPr>
              <w:t>(17,039)</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(55,335)</w:t>
            </w: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30,782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30,764</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charges</w:t>
            </w:r>
          </w:p>
        </w:tc>
        <w:tc>
          <w:tcPr>
            <w:tcW w:w="8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28,661</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Deferred income tax provision (benefit)</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compensation charge</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2,200</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Gains on disposals of assets</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(2,147)</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loss on receivables, net of recoveries</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2,047</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16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4,837</w:t>
            </w:r>
          </w:p>
        </w:tc>
      </w:tr>
      <w:tr>
        <w:trPr>
          <w:trHeight w:val="27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2,190</w:t>
            </w:r>
          </w:p>
        </w:tc>
      </w:tr>
      <w:tr>
        <w:trPr>
          <w:trHeight w:val="264"/>
        </w:trPr>
        <w:tc>
          <w:tcPr>
            <w:tcW w:w="8160" w:type="dxa"/>
            <w:vAlign w:val="bottom"/>
          </w:tcPr>
          <w:p>
            <w:pPr>
              <w:ind w:left="380"/>
              <w:spacing w:after="0"/>
              <w:rPr>
                <w:sz w:val="20"/>
                <w:szCs w:val="20"/>
                <w:color w:val="auto"/>
              </w:rPr>
            </w:pPr>
            <w:r>
              <w:rPr>
                <w:rFonts w:ascii="Arial" w:cs="Arial" w:eastAsia="Arial" w:hAnsi="Arial"/>
                <w:sz w:val="14"/>
                <w:szCs w:val="14"/>
                <w:color w:val="auto"/>
              </w:rPr>
              <w:t>Accounts payable and accrued liabilities</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(10,352)</w:t>
            </w:r>
          </w:p>
        </w:tc>
      </w:tr>
      <w:tr>
        <w:trPr>
          <w:trHeight w:val="27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payable</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w:t>
            </w:r>
          </w:p>
        </w:tc>
      </w:tr>
      <w:tr>
        <w:trPr>
          <w:trHeight w:val="264"/>
        </w:trPr>
        <w:tc>
          <w:tcPr>
            <w:tcW w:w="81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current assets and liabilities, net</w:t>
            </w: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1,364</w:t>
            </w:r>
          </w:p>
        </w:tc>
      </w:tr>
      <w:tr>
        <w:trPr>
          <w:trHeight w:val="25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flows provided by operating activities</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2,838</w:t>
            </w:r>
          </w:p>
        </w:tc>
      </w:tr>
      <w:tr>
        <w:trPr>
          <w:trHeight w:val="162"/>
        </w:trPr>
        <w:tc>
          <w:tcPr>
            <w:tcW w:w="8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(2,696)</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related to acquisitions, net of cash acquired</w:t>
            </w:r>
          </w:p>
        </w:tc>
        <w:tc>
          <w:tcPr>
            <w:tcW w:w="8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(23,771)</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Proceeds from disposition of property, plant and equipment</w:t>
            </w:r>
          </w:p>
        </w:tc>
        <w:tc>
          <w:tcPr>
            <w:tcW w:w="88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4,457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2,718</w:t>
            </w:r>
          </w:p>
        </w:tc>
      </w:tr>
      <w:tr>
        <w:trPr>
          <w:trHeight w:val="270"/>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r>
      <w:tr>
        <w:trPr>
          <w:trHeight w:val="250"/>
        </w:trPr>
        <w:tc>
          <w:tcPr>
            <w:tcW w:w="8160" w:type="dxa"/>
            <w:vAlign w:val="bottom"/>
          </w:tcPr>
          <w:p>
            <w:pPr>
              <w:ind w:left="380"/>
              <w:spacing w:after="0"/>
              <w:rPr>
                <w:sz w:val="20"/>
                <w:szCs w:val="20"/>
                <w:color w:val="auto"/>
              </w:rPr>
            </w:pPr>
            <w:r>
              <w:rPr>
                <w:rFonts w:ascii="Arial" w:cs="Arial" w:eastAsia="Arial" w:hAnsi="Arial"/>
                <w:sz w:val="14"/>
                <w:szCs w:val="14"/>
                <w:color w:val="auto"/>
              </w:rPr>
              <w:t>Net cash flows used in investing activities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(23,639)</w:t>
            </w:r>
          </w:p>
        </w:tc>
      </w:tr>
      <w:tr>
        <w:trPr>
          <w:trHeight w:val="168"/>
        </w:trPr>
        <w:tc>
          <w:tcPr>
            <w:tcW w:w="8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Revolving credit borrowings</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80,324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47,166</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Revolving credit repayments</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5"/>
              </w:rPr>
              <w:t>(74,928)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(11,525)</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 repayments</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(4,079)</w:t>
            </w:r>
          </w:p>
        </w:tc>
      </w:tr>
      <w:tr>
        <w:trPr>
          <w:trHeight w:val="264"/>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Taxes paid on vested shares</w:t>
            </w: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r>
      <w:tr>
        <w:trPr>
          <w:trHeight w:val="25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flows provided by (used in) financing activities</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30,968</w:t>
            </w:r>
          </w:p>
        </w:tc>
      </w:tr>
      <w:tr>
        <w:trPr>
          <w:trHeight w:val="162"/>
        </w:trPr>
        <w:tc>
          <w:tcPr>
            <w:tcW w:w="8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64"/>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w:t>
            </w:r>
          </w:p>
        </w:tc>
      </w:tr>
      <w:tr>
        <w:trPr>
          <w:trHeight w:val="250"/>
        </w:trPr>
        <w:tc>
          <w:tcPr>
            <w:tcW w:w="816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9,330</w:t>
            </w: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12,372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32,647</w:t>
            </w:r>
          </w:p>
        </w:tc>
      </w:tr>
      <w:tr>
        <w:trPr>
          <w:trHeight w:val="162"/>
        </w:trPr>
        <w:tc>
          <w:tcPr>
            <w:tcW w:w="8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41,977</w:t>
            </w: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1"/>
        </w:trPr>
        <w:tc>
          <w:tcPr>
            <w:tcW w:w="8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activities:</w:t>
            </w: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Value of common shares issued as consideration for acquisitions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4,500</w:t>
            </w:r>
          </w:p>
        </w:tc>
      </w:tr>
      <w:tr>
        <w:trPr>
          <w:trHeight w:val="276"/>
        </w:trPr>
        <w:tc>
          <w:tcPr>
            <w:tcW w:w="8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Non-cash financing activities:</w:t>
            </w: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dividends paid-in-kind</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94"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60"/>
          </w:cols>
          <w:pgMar w:left="240" w:top="364" w:right="4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60"/>
          </w:cols>
          <w:pgMar w:left="240" w:top="364" w:right="499" w:bottom="1440" w:gutter="0" w:footer="0" w:header="0"/>
          <w:type w:val="continuous"/>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We also, in many cases, provide services that support the day-to-day operations of accommodation facilities, such as laundry, facility management and maintenance, water and wastewater treatment, power generation, communication systems, security and group logistics. We also offer development activities for workforce accommodation facilities, including site selection, permitting, engineering and design, manufacturing management and site construction, along with providing hospitality services once the facility is constructed. We operate in some of the world’s most active oil, coal and iron ore producing regions, and our customers include major and independent oil companies, mining companies and oilfield and mining service companies. We operate in three principal reportable business segments – Canada, Australia and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459"/>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ind w:right="20" w:firstLine="459"/>
        <w:spacing w:after="0" w:line="291"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 Certain reclassifications have been made to the consolidated statements of operations for the three months ended March 31, 2018 to conform to current year presentation.</w:t>
      </w:r>
    </w:p>
    <w:p>
      <w:pPr>
        <w:spacing w:after="0" w:line="167" w:lineRule="exact"/>
        <w:rPr>
          <w:sz w:val="20"/>
          <w:szCs w:val="20"/>
          <w:color w:val="auto"/>
        </w:rPr>
      </w:pPr>
    </w:p>
    <w:p>
      <w:pPr>
        <w:ind w:right="500" w:firstLine="459"/>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2018.</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59"/>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6" w:lineRule="exact"/>
        <w:rPr>
          <w:sz w:val="20"/>
          <w:szCs w:val="20"/>
          <w:color w:val="auto"/>
        </w:rPr>
      </w:pPr>
    </w:p>
    <w:p>
      <w:pPr>
        <w:ind w:right="20" w:firstLine="459"/>
        <w:spacing w:after="0" w:line="272" w:lineRule="auto"/>
        <w:rPr>
          <w:sz w:val="20"/>
          <w:szCs w:val="20"/>
          <w:color w:val="auto"/>
        </w:rPr>
      </w:pPr>
      <w:r>
        <w:rPr>
          <w:rFonts w:ascii="Arial" w:cs="Arial" w:eastAsia="Arial" w:hAnsi="Arial"/>
          <w:sz w:val="17"/>
          <w:szCs w:val="17"/>
          <w:color w:val="auto"/>
        </w:rPr>
        <w:t>In January 2017, the FASB issued Accounting Standards Update (ASU) 2017-04, "Intangibles-Goodwill and Other (Topic 350): Simplifying the Test for Goodwill Impairment." The standard simplifies the accounting for goodwill impairment by requiring a goodwill impairment to be measured using a single step impairment model, whereby the impairment equals the difference between the carrying amount and the fair value of the specified reporting units in their entirety. This eliminates the second step of the current impairment model that requires companies to first estimate the fair value of all assets in a reporting unit and measure impairments based on those fair values and a residual measurement approach. It also specifies that any loss recognized should not exceed the total amount of goodwill allocated to that reporting unit. ASU 2017-04 is effective prospectively for public business entities for annual reporting periods beginning after December 15, 2019, and early adoption 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permitted. We will adopt this new standard no later than January 1, 2020. The impact of the new standard will be dependent on the specific facts and circumstances of future individual goodwill impairments, if any.</w:t>
      </w:r>
    </w:p>
    <w:p>
      <w:pPr>
        <w:spacing w:after="0" w:line="170"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anticipate adopting ASU 2016-13 as of January 1, 2020. We are currently evaluating the impact of this new standard on our consolidated financial statements.</w:t>
      </w:r>
    </w:p>
    <w:p>
      <w:pPr>
        <w:spacing w:after="0" w:line="154" w:lineRule="exact"/>
        <w:rPr>
          <w:sz w:val="20"/>
          <w:szCs w:val="20"/>
          <w:color w:val="auto"/>
        </w:rPr>
      </w:pPr>
    </w:p>
    <w:p>
      <w:pPr>
        <w:ind w:firstLine="459"/>
        <w:spacing w:after="0" w:line="285" w:lineRule="auto"/>
        <w:rPr>
          <w:sz w:val="20"/>
          <w:szCs w:val="20"/>
          <w:color w:val="auto"/>
        </w:rPr>
      </w:pPr>
      <w:r>
        <w:rPr>
          <w:rFonts w:ascii="Arial" w:cs="Arial" w:eastAsia="Arial" w:hAnsi="Arial"/>
          <w:sz w:val="16"/>
          <w:szCs w:val="16"/>
          <w:color w:val="auto"/>
        </w:rPr>
        <w:t>In February 2016, the FASB issued ASU 2016-02, “Leases” (Topic 842), which replaces the existing guidance for lease accounting. The guidance is effective for financial statements issued for reporting periods beginning after December 15, 2018 and interim periods within the reporting periods. Effective with this quarterly report on Form 10-Q for the quarter ended March 31, 2019, we have adopted this standard effective January 1, 2019 using the optional transition method, which allows us upon adoption to recognize a cumulative-effect adjustment to the opening balance of accumulated deficit for the application of the standard to our existing leases. Upon adoption of this standard, we recognized a cumulative effect adjustment of $0.7 million (net of $0.2 million of taxes) to increase accumulated deficit in the accompanying unaudited consolidated balance sheet as of March 31, 2019. ASU 2016-02 requires lessees to recognize a lease liability and a right-of-use asset for certain leases. We elected the package of practical expedients, which among other things, allowed us to carry forward the historical lease identification and classification. In addition, we have elected the short-term lease recognition exemption for all leases that qualify. Accordingly, we did not recognize right-of-use assets or lease liabilities for leases with terms shorter than 12 months. Our evaluation process included reviewing all forms of leases, performing a completeness assessment over the lease population and analyzing the available practical expedients in order to determine the best implementation strategy. We determined that certain of our accommodation contracts with customers contain both a lease and non-lease or service component and in those instances concluded the service component was the predominant component. As a result, we elected the practical expedient under ASU 2018-11, which allows us to combine the lease and non-lease components of revenues for presentation purposes in accordance with Accounting Standards Codification (ASC) Topic 606, “Revenue from Contracts with Customers” (ASC 606). We also have identified certain arrangements with customers whereby we are a lessor for the rental of mobile camp assets primarily in our U.S segment. For arrangements where we are the lessor, the adoption of the new lease standard did not have a material impact on our financial statements as all of our leases are operating leases, which will result in straight-line recognition of rental revenue. Adoption of the new standard resulted in $21.3 million of operating lease right-of-use assets and $22.4 million of operating lease liabilities as of January 1, 2019. Please see Note 14 – Leases for further information.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80" w:firstLine="135"/>
        <w:spacing w:after="0" w:line="277" w:lineRule="auto"/>
        <w:rPr>
          <w:sz w:val="20"/>
          <w:szCs w:val="20"/>
          <w:color w:val="auto"/>
        </w:rPr>
      </w:pPr>
      <w:r>
        <w:rPr>
          <w:rFonts w:ascii="Arial" w:cs="Arial" w:eastAsia="Arial" w:hAnsi="Arial"/>
          <w:sz w:val="18"/>
          <w:szCs w:val="18"/>
          <w:color w:val="auto"/>
        </w:rPr>
        <w:t>The following table disaggregates our revenue by our three reportable segments: Canada, Australia and U.S., and major categories for the periods indicated (in thousands):</w:t>
      </w:r>
    </w:p>
    <w:p>
      <w:pPr>
        <w:spacing w:after="0" w:line="333" w:lineRule="exact"/>
        <w:rPr>
          <w:sz w:val="20"/>
          <w:szCs w:val="20"/>
          <w:color w:val="auto"/>
        </w:rPr>
      </w:pPr>
    </w:p>
    <w:p>
      <w:pPr>
        <w:jc w:val="center"/>
        <w:ind w:left="56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56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33020</wp:posOffset>
            </wp:positionV>
            <wp:extent cx="1818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72" w:lineRule="exact"/>
        <w:rPr>
          <w:sz w:val="20"/>
          <w:szCs w:val="20"/>
          <w:color w:val="auto"/>
        </w:rPr>
      </w:pPr>
    </w:p>
    <w:tbl>
      <w:tblPr>
        <w:tblLayout w:type="fixed"/>
        <w:tblInd w:w="146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33"/>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Canada</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57,652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50,647</w:t>
            </w:r>
          </w:p>
        </w:tc>
      </w:tr>
      <w:tr>
        <w:trPr>
          <w:trHeight w:val="33"/>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Mobile facility rental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7,794</w:t>
            </w:r>
          </w:p>
        </w:tc>
      </w:tr>
      <w:tr>
        <w:trPr>
          <w:trHeight w:val="237"/>
        </w:trPr>
        <w:tc>
          <w:tcPr>
            <w:tcW w:w="5660" w:type="dxa"/>
            <w:vAlign w:val="bottom"/>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3,739</w:t>
            </w:r>
          </w:p>
        </w:tc>
      </w:tr>
      <w:tr>
        <w:trPr>
          <w:trHeight w:val="33"/>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Manufacturing revenues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1,210</w:t>
            </w:r>
          </w:p>
        </w:tc>
      </w:tr>
      <w:tr>
        <w:trPr>
          <w:trHeight w:val="217"/>
        </w:trPr>
        <w:tc>
          <w:tcPr>
            <w:tcW w:w="5660" w:type="dxa"/>
            <w:vAlign w:val="bottom"/>
          </w:tcPr>
          <w:p>
            <w:pPr>
              <w:ind w:left="160"/>
              <w:spacing w:after="0"/>
              <w:rPr>
                <w:sz w:val="20"/>
                <w:szCs w:val="20"/>
                <w:color w:val="auto"/>
              </w:rPr>
            </w:pPr>
            <w:r>
              <w:rPr>
                <w:rFonts w:ascii="Arial" w:cs="Arial" w:eastAsia="Arial" w:hAnsi="Arial"/>
                <w:sz w:val="16"/>
                <w:szCs w:val="16"/>
                <w:color w:val="auto"/>
              </w:rPr>
              <w:t>Total Canada revenues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66,770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63,390</w:t>
            </w:r>
          </w:p>
        </w:tc>
      </w:tr>
      <w:tr>
        <w:trPr>
          <w:trHeight w:val="33"/>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62"/>
        </w:trPr>
        <w:tc>
          <w:tcPr>
            <w:tcW w:w="5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Australia</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27,698</w:t>
            </w:r>
          </w:p>
        </w:tc>
      </w:tr>
      <w:tr>
        <w:trPr>
          <w:trHeight w:val="237"/>
        </w:trPr>
        <w:tc>
          <w:tcPr>
            <w:tcW w:w="5660" w:type="dxa"/>
            <w:vAlign w:val="bottom"/>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Australia revenues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28,421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27,875</w:t>
            </w:r>
          </w:p>
        </w:tc>
      </w:tr>
      <w:tr>
        <w:trPr>
          <w:trHeight w:val="162"/>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4,924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3,166</w:t>
            </w:r>
          </w:p>
        </w:tc>
      </w:tr>
      <w:tr>
        <w:trPr>
          <w:trHeight w:val="33"/>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Mobile facility rental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3,577</w:t>
            </w:r>
          </w:p>
        </w:tc>
      </w:tr>
      <w:tr>
        <w:trPr>
          <w:trHeight w:val="237"/>
        </w:trPr>
        <w:tc>
          <w:tcPr>
            <w:tcW w:w="5660" w:type="dxa"/>
            <w:vAlign w:val="bottom"/>
          </w:tcPr>
          <w:p>
            <w:pPr>
              <w:ind w:left="20"/>
              <w:spacing w:after="0"/>
              <w:rPr>
                <w:sz w:val="20"/>
                <w:szCs w:val="20"/>
                <w:color w:val="auto"/>
              </w:rPr>
            </w:pPr>
            <w:r>
              <w:rPr>
                <w:rFonts w:ascii="Arial" w:cs="Arial" w:eastAsia="Arial" w:hAnsi="Arial"/>
                <w:sz w:val="16"/>
                <w:szCs w:val="16"/>
                <w:color w:val="auto"/>
              </w:rPr>
              <w:t>Manufacturing revenues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3,464</w:t>
            </w:r>
          </w:p>
        </w:tc>
      </w:tr>
      <w:tr>
        <w:trPr>
          <w:trHeight w:val="33"/>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17"/>
        </w:trPr>
        <w:tc>
          <w:tcPr>
            <w:tcW w:w="5660" w:type="dxa"/>
            <w:vAlign w:val="bottom"/>
          </w:tcPr>
          <w:p>
            <w:pPr>
              <w:ind w:left="160"/>
              <w:spacing w:after="0"/>
              <w:rPr>
                <w:sz w:val="20"/>
                <w:szCs w:val="20"/>
                <w:color w:val="auto"/>
              </w:rPr>
            </w:pPr>
            <w:r>
              <w:rPr>
                <w:rFonts w:ascii="Arial" w:cs="Arial" w:eastAsia="Arial" w:hAnsi="Arial"/>
                <w:sz w:val="16"/>
                <w:szCs w:val="16"/>
                <w:color w:val="auto"/>
              </w:rPr>
              <w:t>Total United States revenues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13,359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10,239</w:t>
            </w:r>
          </w:p>
        </w:tc>
      </w:tr>
      <w:tr>
        <w:trPr>
          <w:trHeight w:val="33"/>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62"/>
        </w:trPr>
        <w:tc>
          <w:tcPr>
            <w:tcW w:w="56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r>
      <w:tr>
        <w:trPr>
          <w:trHeight w:val="244"/>
        </w:trPr>
        <w:tc>
          <w:tcPr>
            <w:tcW w:w="56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108,550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101,504</w:t>
            </w: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59"/>
        <w:spacing w:after="0" w:line="277" w:lineRule="auto"/>
        <w:rPr>
          <w:sz w:val="20"/>
          <w:szCs w:val="20"/>
          <w:color w:val="auto"/>
        </w:rPr>
      </w:pPr>
      <w:r>
        <w:rPr>
          <w:rFonts w:ascii="Arial" w:cs="Arial" w:eastAsia="Arial" w:hAnsi="Arial"/>
          <w:sz w:val="18"/>
          <w:szCs w:val="18"/>
          <w:color w:val="auto"/>
        </w:rPr>
        <w:t>As of March 31, 2019, for contracts that are greater than one year, the table below discloses the estimated revenues related to performance obligations that are unsatisfied (or partially unsatisfied) and when we expect to recognize the revenue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8"/>
          </w:tcPr>
          <w:p>
            <w:pPr>
              <w:ind w:left="620"/>
              <w:spacing w:after="0"/>
              <w:rPr>
                <w:sz w:val="20"/>
                <w:szCs w:val="20"/>
                <w:color w:val="auto"/>
              </w:rPr>
            </w:pPr>
            <w:r>
              <w:rPr>
                <w:rFonts w:ascii="Arial" w:cs="Arial" w:eastAsia="Arial" w:hAnsi="Arial"/>
                <w:sz w:val="16"/>
                <w:szCs w:val="16"/>
                <w:b w:val="1"/>
                <w:bCs w:val="1"/>
                <w:color w:val="auto"/>
              </w:rPr>
              <w:t>For the years ending 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Thereafter</w:t>
            </w: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Revenue expected to be recognized as of March 31, 2019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74,823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55,613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138,335</w:t>
            </w:r>
          </w:p>
        </w:tc>
      </w:tr>
      <w:tr>
        <w:trPr>
          <w:trHeight w:val="33"/>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ind w:right="140" w:firstLine="459"/>
        <w:spacing w:after="0" w:line="259" w:lineRule="auto"/>
        <w:rPr>
          <w:sz w:val="20"/>
          <w:szCs w:val="20"/>
          <w:color w:val="auto"/>
        </w:rPr>
      </w:pPr>
      <w:r>
        <w:rPr>
          <w:rFonts w:ascii="Arial" w:cs="Arial" w:eastAsia="Arial" w:hAnsi="Arial"/>
          <w:sz w:val="18"/>
          <w:szCs w:val="18"/>
          <w:color w:val="auto"/>
        </w:rPr>
        <w:t>As of March 31, 2019 and December 31, 2018,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right="80" w:firstLine="459"/>
        <w:spacing w:after="0" w:line="257" w:lineRule="auto"/>
        <w:rPr>
          <w:sz w:val="20"/>
          <w:szCs w:val="20"/>
          <w:color w:val="auto"/>
        </w:rPr>
      </w:pPr>
      <w:r>
        <w:rPr>
          <w:rFonts w:ascii="Arial" w:cs="Arial" w:eastAsia="Arial" w:hAnsi="Arial"/>
          <w:sz w:val="18"/>
          <w:szCs w:val="18"/>
          <w:color w:val="auto"/>
        </w:rPr>
        <w:t>During the first quarter of 2018, we wrote down certain long-lived assets to fair value.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 Please see Note 6 – Impairment Charges for further information.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firstLine="459"/>
        <w:spacing w:after="0" w:line="276" w:lineRule="auto"/>
        <w:rPr>
          <w:sz w:val="20"/>
          <w:szCs w:val="20"/>
          <w:color w:val="auto"/>
        </w:rPr>
      </w:pPr>
      <w:r>
        <w:rPr>
          <w:rFonts w:ascii="Arial" w:cs="Arial" w:eastAsia="Arial" w:hAnsi="Arial"/>
          <w:sz w:val="17"/>
          <w:szCs w:val="17"/>
          <w:color w:val="auto"/>
        </w:rPr>
        <w:t>During the first and second quarter of 2018, we acquired certain assets and businesses and recorded them at fair value. Determining the fair value of assets acquired and liabilities assumed requires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 term business plans and recent operating performance. Please see Note 7 – Acquisitions for further information.</w:t>
      </w:r>
    </w:p>
    <w:p>
      <w:pPr>
        <w:spacing w:after="0" w:line="16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information regarding selected balance sheet accounts at March 31, 2019 and December 31, 2018 is presented below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Accounts receivable, net: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Trade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48,089</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48,875</w:t>
            </w:r>
          </w:p>
        </w:tc>
      </w:tr>
      <w:tr>
        <w:trPr>
          <w:trHeight w:val="33"/>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Unbilled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21,169</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555</w:t>
            </w:r>
          </w:p>
        </w:tc>
      </w:tr>
      <w:tr>
        <w:trPr>
          <w:trHeight w:val="33"/>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accounts receivable</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73,762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70,599</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Allowance for doubtful accounts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33"/>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73,513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70,223</w:t>
            </w: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Finished goods and purchased products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2,461</w:t>
            </w:r>
          </w:p>
        </w:tc>
      </w:tr>
      <w:tr>
        <w:trPr>
          <w:trHeight w:val="33"/>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 in process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907</w:t>
            </w:r>
          </w:p>
        </w:tc>
      </w:tr>
      <w:tr>
        <w:trPr>
          <w:trHeight w:val="33"/>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4,313</w:t>
            </w: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1"/>
              </w:rPr>
              <w:t>Estimated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Useful Life</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(in years)</w:t>
            </w: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46,846</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46,805</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Accommodations assets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1,675,611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1,650,758</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50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ind w:left="10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25,496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25,168</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10,693</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50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ind w:lef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55,081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54,459</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14,589</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14,415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7,119</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property, plant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1,842,877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1,809,591</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(1,191,958)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(1,150,686)</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650,919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658,905</w:t>
            </w:r>
          </w:p>
        </w:tc>
      </w:tr>
      <w:tr>
        <w:trPr>
          <w:trHeight w:val="20"/>
        </w:trPr>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21" w:right="299" w:bottom="1440" w:gutter="0" w:footer="0" w:header="0"/>
        </w:sectPr>
      </w:pPr>
    </w:p>
    <w:bookmarkStart w:id="11" w:name="page12"/>
    <w:bookmarkEnd w:id="11"/>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10,040</w:t>
            </w:r>
          </w:p>
        </w:tc>
        <w:tc>
          <w:tcPr>
            <w:tcW w:w="10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13,545</w:t>
            </w:r>
          </w:p>
        </w:tc>
      </w:tr>
      <w:tr>
        <w:trPr>
          <w:trHeight w:val="33"/>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taxes, other than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2,177</w:t>
            </w: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r>
        <w:trPr>
          <w:trHeight w:val="244"/>
        </w:trPr>
        <w:tc>
          <w:tcPr>
            <w:tcW w:w="7820" w:type="dxa"/>
            <w:vAlign w:val="bottom"/>
          </w:tcPr>
          <w:p>
            <w:pPr>
              <w:ind w:left="40"/>
              <w:spacing w:after="0"/>
              <w:rPr>
                <w:sz w:val="20"/>
                <w:szCs w:val="20"/>
                <w:color w:val="auto"/>
              </w:rPr>
            </w:pPr>
            <w:r>
              <w:rPr>
                <w:rFonts w:ascii="Arial" w:cs="Arial" w:eastAsia="Arial" w:hAnsi="Arial"/>
                <w:sz w:val="16"/>
                <w:szCs w:val="16"/>
                <w:color w:val="auto"/>
              </w:rPr>
              <w:t>Total accrued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13,371</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15,956</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tab/>
        <w:t>IMPAIRMENT CHARGES</w:t>
      </w:r>
    </w:p>
    <w:p>
      <w:pPr>
        <w:spacing w:after="0" w:line="229"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b w:val="1"/>
          <w:bCs w:val="1"/>
          <w:i w:val="1"/>
          <w:iCs w:val="1"/>
          <w:color w:val="auto"/>
        </w:rPr>
        <w:t>Quarter ended March 31, 2018</w:t>
      </w:r>
      <w:r>
        <w:rPr>
          <w:rFonts w:ascii="Arial" w:cs="Arial" w:eastAsia="Arial" w:hAnsi="Arial"/>
          <w:sz w:val="17"/>
          <w:szCs w:val="17"/>
          <w:color w:val="auto"/>
        </w:rPr>
        <w:t>. During the first quarter of 2018, we identified an indicator that certain long-lived assets used in the Canadian oil sands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impaired due to market developments, including expected customer commitments, occurring in the first quarter of 2018. For purposes of our impairment assessment, we separated two lodges that were previously treated as a single asset group due to the lodges no longer being used together to generate joint cash flows. We assessed the carrying value of the asset group to determine if it continued to be recoverable based on estimated future cash flows. Based on the assessment, the carrying value was determined to not be fully recoverable, and we proceeded to compare the estimated fair value of the asset group to its respective carrying value. Accordingly, the value of a Canadian lodge was written down to its estimated fair value of zero. As a result of the analysis described above, we recorded an impairment expense of $28.7 million.</w:t>
      </w:r>
    </w:p>
    <w:p>
      <w:pPr>
        <w:spacing w:after="0" w:line="17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Noralta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Description of Transaction</w:t>
      </w:r>
      <w:r>
        <w:rPr>
          <w:rFonts w:ascii="Arial" w:cs="Arial" w:eastAsia="Arial" w:hAnsi="Arial"/>
          <w:sz w:val="17"/>
          <w:szCs w:val="17"/>
          <w:color w:val="auto"/>
        </w:rPr>
        <w:t>. On April 2, 2018, we acquired the equity of Noralta Lodge Ltd. (Noralta), located in Alberta, Canada. The total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consideration, which is subject to adjustment in accordance with the terms of the definitive agreement, included (i) C$207.7 million (or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US$161.2 million) in cash, subject to customary post-closing adjustments for working capital, indebtedness and transactions expenses, (ii) 32.8 million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and (iii) 9,679 Class A Series 1 Preferred Shares (the Preferred Shares) with an initial liquidation preference of $96.8 million and initially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convertible into 29.3 million of our common shares. As a result of the Noralta acquisition, we expanded our existing accommodations business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Canadian oil sands market. We funded the cash consideration with cash on hand and borrowings under the Amended Credit Agreement (as defined in Note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Debt).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first quarter of 2019, $2.1 million in cash was released to us from escrow to cover certain agreed upon indemnification claims.</w:t>
      </w:r>
    </w:p>
    <w:p>
      <w:pPr>
        <w:spacing w:after="0" w:line="225"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The Noralta acquisition was accounted for in accordance with the acquisition method of accounting for business combinations and, accordingly, the results of operations of Noralta were reported in our financial statements as part of our Canadian reportable business segment beginning on April 2, 2018, the date of acquisition.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right="80" w:firstLine="459"/>
        <w:spacing w:after="0" w:line="272" w:lineRule="auto"/>
        <w:rPr>
          <w:sz w:val="20"/>
          <w:szCs w:val="20"/>
          <w:color w:val="auto"/>
        </w:rPr>
      </w:pPr>
      <w:r>
        <w:rPr>
          <w:rFonts w:ascii="Arial" w:cs="Arial" w:eastAsia="Arial" w:hAnsi="Arial"/>
          <w:sz w:val="17"/>
          <w:szCs w:val="17"/>
          <w:b w:val="1"/>
          <w:bCs w:val="1"/>
          <w:i w:val="1"/>
          <w:iCs w:val="1"/>
          <w:color w:val="auto"/>
        </w:rPr>
        <w:t xml:space="preserve">Purchase Price Allocation. </w:t>
      </w:r>
      <w:r>
        <w:rPr>
          <w:rFonts w:ascii="Arial" w:cs="Arial" w:eastAsia="Arial" w:hAnsi="Arial"/>
          <w:sz w:val="17"/>
          <w:szCs w:val="17"/>
          <w:color w:val="auto"/>
        </w:rPr>
        <w:t>The application of purchase accounting under ASC 805 requires that the total purchase price be allocated to the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assets acquired and liabilities assumed based on their fair values at April 2, 2018, with amounts exceeding the fair values being recorded as goodwill. The allocation process requires an analysis of acquired fixed assets, contracts, and contingencies to identify and record the fair value of all assets acquired and liabilities assumed. During the three months ended March 31, 2019, we recorded insignificant measurement period adjustments related to amortizable intangible assets, goodwill and deferred taxes. Our allocation of the purchase price, which we finalized in the first quarter of 2019, to specific assets and liabilities is based, in part, upon outside appraisals using customary valuation procedures and techniques. The following table summarizes the fair values of the assets acquired and liabilities assumed at April 2, 2018 (in thousands):</w:t>
      </w:r>
    </w:p>
    <w:p>
      <w:pPr>
        <w:spacing w:after="0" w:line="327" w:lineRule="exact"/>
        <w:rPr>
          <w:sz w:val="20"/>
          <w:szCs w:val="20"/>
          <w:color w:val="auto"/>
        </w:rPr>
      </w:pPr>
    </w:p>
    <w:tbl>
      <w:tblPr>
        <w:tblLayout w:type="fixed"/>
        <w:tblInd w:w="140" w:type="dxa"/>
        <w:tblCellMar>
          <w:top w:w="0" w:type="dxa"/>
          <w:left w:w="0" w:type="dxa"/>
          <w:bottom w:w="0" w:type="dxa"/>
          <w:right w:w="0" w:type="dxa"/>
        </w:tblCellMar>
      </w:tblP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Accounts receivable (1)</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21,456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4,266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129,424</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123,569</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6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110,736</w:t>
            </w:r>
          </w:p>
        </w:tc>
      </w:tr>
      <w:tr>
        <w:trPr>
          <w:trHeight w:val="217"/>
        </w:trPr>
        <w:tc>
          <w:tcPr>
            <w:tcW w:w="9380" w:type="dxa"/>
            <w:vAlign w:val="bottom"/>
          </w:tcPr>
          <w:p>
            <w:pPr>
              <w:ind w:left="160"/>
              <w:spacing w:after="0"/>
              <w:rPr>
                <w:sz w:val="20"/>
                <w:szCs w:val="20"/>
                <w:color w:val="auto"/>
              </w:rPr>
            </w:pPr>
            <w:r>
              <w:rPr>
                <w:rFonts w:ascii="Arial" w:cs="Arial" w:eastAsia="Arial" w:hAnsi="Arial"/>
                <w:sz w:val="16"/>
                <w:szCs w:val="16"/>
                <w:color w:val="auto"/>
              </w:rPr>
              <w:t>Total assets acquired</w:t>
            </w:r>
          </w:p>
        </w:tc>
        <w:tc>
          <w:tcPr>
            <w:tcW w:w="6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390,314</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9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15,023</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2,027</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51,543</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5,133</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 assumed</w:t>
            </w: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74,764</w:t>
            </w:r>
          </w:p>
        </w:tc>
      </w:tr>
      <w:tr>
        <w:trPr>
          <w:trHeight w:val="244"/>
        </w:trPr>
        <w:tc>
          <w:tcPr>
            <w:tcW w:w="9380" w:type="dxa"/>
            <w:vAlign w:val="bottom"/>
          </w:tcPr>
          <w:p>
            <w:pPr>
              <w:ind w:left="380"/>
              <w:spacing w:after="0"/>
              <w:rPr>
                <w:sz w:val="20"/>
                <w:szCs w:val="20"/>
                <w:color w:val="auto"/>
              </w:rPr>
            </w:pPr>
            <w:r>
              <w:rPr>
                <w:rFonts w:ascii="Arial" w:cs="Arial" w:eastAsia="Arial" w:hAnsi="Arial"/>
                <w:sz w:val="16"/>
                <w:szCs w:val="16"/>
                <w:color w:val="auto"/>
              </w:rPr>
              <w:t>Net assets acquired</w:t>
            </w: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315,550</w:t>
            </w:r>
          </w:p>
        </w:tc>
      </w:tr>
      <w:tr>
        <w:trPr>
          <w:trHeight w:val="20"/>
        </w:trPr>
        <w:tc>
          <w:tcPr>
            <w:tcW w:w="9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aggregate fair value of the acquired accounts receivable approximated the aggregate gross contractual amount.</w:t>
      </w:r>
    </w:p>
    <w:p>
      <w:pPr>
        <w:spacing w:after="0" w:line="225"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b w:val="1"/>
          <w:bCs w:val="1"/>
          <w:i w:val="1"/>
          <w:iCs w:val="1"/>
          <w:color w:val="auto"/>
        </w:rPr>
        <w:t xml:space="preserve">Transaction Costs. </w:t>
      </w:r>
      <w:r>
        <w:rPr>
          <w:rFonts w:ascii="Arial" w:cs="Arial" w:eastAsia="Arial" w:hAnsi="Arial"/>
          <w:sz w:val="18"/>
          <w:szCs w:val="18"/>
          <w:color w:val="auto"/>
        </w:rPr>
        <w:t>During the three months ended March 31, 2018, we recognized $1.0 million of costs in connection with the Noralta acquisition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included in SG&amp;A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Acadian Acres</w:t>
      </w:r>
    </w:p>
    <w:p>
      <w:pPr>
        <w:spacing w:after="0" w:line="225" w:lineRule="exact"/>
        <w:rPr>
          <w:sz w:val="20"/>
          <w:szCs w:val="20"/>
          <w:color w:val="auto"/>
        </w:rPr>
      </w:pPr>
    </w:p>
    <w:p>
      <w:pPr>
        <w:ind w:right="120" w:firstLine="459"/>
        <w:spacing w:after="0" w:line="276" w:lineRule="auto"/>
        <w:rPr>
          <w:sz w:val="20"/>
          <w:szCs w:val="20"/>
          <w:color w:val="auto"/>
        </w:rPr>
      </w:pPr>
      <w:r>
        <w:rPr>
          <w:rFonts w:ascii="Arial" w:cs="Arial" w:eastAsia="Arial" w:hAnsi="Arial"/>
          <w:sz w:val="17"/>
          <w:szCs w:val="17"/>
          <w:color w:val="auto"/>
        </w:rPr>
        <w:t>On February 28, 2018, we acquired the assets of Lakeland, L.L.C. (Lakeland), located near Lake Charles, Louisiana, for total consideration of $28.0 million, composed of $23.5 million in cash and $4.5 million of our common shares. The asset purchase agreement also includes potential future earn-out payments through December 2020 of up to 1.2 million Civeo common shares, based upon satisfaction of certain future revenue targets. The acquisition included a 400 room lodge, 40 acres of land and related assets. We funded the cash consideration with cash on hand. Lakeland’s operations are reported as a new lodge location, Acadian Acres, in our U.S. reportable business segment.</w:t>
      </w:r>
    </w:p>
    <w:p>
      <w:pPr>
        <w:spacing w:after="0" w:line="173" w:lineRule="exact"/>
        <w:rPr>
          <w:sz w:val="20"/>
          <w:szCs w:val="20"/>
          <w:color w:val="auto"/>
        </w:rPr>
      </w:pPr>
    </w:p>
    <w:p>
      <w:pPr>
        <w:ind w:right="80" w:firstLine="459"/>
        <w:spacing w:after="0" w:line="257" w:lineRule="auto"/>
        <w:rPr>
          <w:sz w:val="20"/>
          <w:szCs w:val="20"/>
          <w:color w:val="auto"/>
        </w:rPr>
      </w:pPr>
      <w:r>
        <w:rPr>
          <w:rFonts w:ascii="Arial" w:cs="Arial" w:eastAsia="Arial" w:hAnsi="Arial"/>
          <w:sz w:val="18"/>
          <w:szCs w:val="18"/>
          <w:color w:val="auto"/>
        </w:rPr>
        <w:t>This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Accordingly, we allocated the excess consideration over the fair value of the assets acquired to the acquired assets, pro rata, on the basis of relative fair values to increase the related assets acquired.</w:t>
      </w:r>
    </w:p>
    <w:p>
      <w:pPr>
        <w:spacing w:after="0" w:line="18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229" w:lineRule="exact"/>
        <w:rPr>
          <w:sz w:val="20"/>
          <w:szCs w:val="20"/>
          <w:color w:val="auto"/>
        </w:rPr>
      </w:pPr>
    </w:p>
    <w:p>
      <w:pPr>
        <w:ind w:right="80" w:firstLine="459"/>
        <w:spacing w:after="0" w:line="312" w:lineRule="auto"/>
        <w:rPr>
          <w:sz w:val="20"/>
          <w:szCs w:val="20"/>
          <w:color w:val="auto"/>
        </w:rPr>
      </w:pPr>
      <w:r>
        <w:rPr>
          <w:rFonts w:ascii="Arial" w:cs="Arial" w:eastAsia="Arial" w:hAnsi="Arial"/>
          <w:sz w:val="16"/>
          <w:szCs w:val="16"/>
          <w:color w:val="auto"/>
        </w:rPr>
        <w:t>During the fourth quarter of 2017, we made the decision to dispose of our modular construction and manufacturing plant near Edmonton, Alberta, Canada due to changing geographic and market needs. Accordingly, the facility met the criteria of held for sale. Its estimated fair value less the cost to sell exceeded its carrying value. Additionally, we have discontinued depreciation of the facility. The facility is part of our Canadian reportable business segment.</w:t>
      </w:r>
    </w:p>
    <w:p>
      <w:pPr>
        <w:sectPr>
          <w:pgSz w:w="11900" w:h="16838" w:orient="portrait"/>
          <w:cols w:equalWidth="0" w:num="1">
            <w:col w:w="11360"/>
          </w:cols>
          <w:pgMar w:left="240" w:top="121" w:right="299" w:bottom="1440" w:gutter="0" w:footer="0" w:header="0"/>
        </w:sect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60"/>
          </w:cols>
          <w:pgMar w:left="240" w:top="121" w:right="299" w:bottom="1440" w:gutter="0" w:footer="0" w:header="0"/>
          <w:type w:val="continuous"/>
        </w:sectPr>
      </w:pPr>
    </w:p>
    <w:bookmarkStart w:id="13" w:name="page14"/>
    <w:bookmarkEnd w:id="13"/>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right="160" w:firstLine="459"/>
        <w:spacing w:after="0" w:line="264" w:lineRule="auto"/>
        <w:rPr>
          <w:sz w:val="20"/>
          <w:szCs w:val="20"/>
          <w:color w:val="auto"/>
        </w:rPr>
      </w:pPr>
      <w:r>
        <w:rPr>
          <w:rFonts w:ascii="Arial" w:cs="Arial" w:eastAsia="Arial" w:hAnsi="Arial"/>
          <w:sz w:val="18"/>
          <w:szCs w:val="18"/>
          <w:color w:val="auto"/>
        </w:rPr>
        <w:t>Certain undeveloped land positions in the British Columbia LNG market in our Canadian segment previously met the criteria of held for sale. During the first quarter of 2019, we received $4.0 million in proceeds from the sale of four different land positions. The remaining assets are recorded at the estimated fair value less costs to sell of approximately $1.6 million.</w:t>
      </w:r>
    </w:p>
    <w:p>
      <w:pPr>
        <w:spacing w:after="0" w:line="181" w:lineRule="exact"/>
        <w:rPr>
          <w:sz w:val="20"/>
          <w:szCs w:val="20"/>
          <w:color w:val="auto"/>
        </w:rPr>
      </w:pPr>
    </w:p>
    <w:p>
      <w:pPr>
        <w:ind w:right="320" w:firstLine="459"/>
        <w:spacing w:after="0" w:line="264" w:lineRule="auto"/>
        <w:rPr>
          <w:sz w:val="20"/>
          <w:szCs w:val="20"/>
          <w:color w:val="auto"/>
        </w:rPr>
      </w:pPr>
      <w:r>
        <w:rPr>
          <w:rFonts w:ascii="Arial" w:cs="Arial" w:eastAsia="Arial" w:hAnsi="Arial"/>
          <w:sz w:val="18"/>
          <w:szCs w:val="18"/>
          <w:color w:val="auto"/>
        </w:rPr>
        <w:t>In addition, as a result of the Noralta acquisition, Noralta’s corporate offices located on two adjacent property titles in Nisku, Alberta, Canada were closed. During the fourth quarter of 2018, we sold one property. The remaining property is recorded at the estimated fair value less costs to sell of approximately $1.8 million and was the same value used in the purchase price allocation.</w:t>
      </w:r>
    </w:p>
    <w:p>
      <w:pPr>
        <w:spacing w:after="0" w:line="181" w:lineRule="exact"/>
        <w:rPr>
          <w:sz w:val="20"/>
          <w:szCs w:val="20"/>
          <w:color w:val="auto"/>
        </w:rPr>
      </w:pPr>
    </w:p>
    <w:p>
      <w:pPr>
        <w:ind w:right="320" w:firstLine="459"/>
        <w:spacing w:after="0" w:line="342" w:lineRule="auto"/>
        <w:rPr>
          <w:sz w:val="20"/>
          <w:szCs w:val="20"/>
          <w:color w:val="auto"/>
        </w:rPr>
      </w:pPr>
      <w:r>
        <w:rPr>
          <w:rFonts w:ascii="Arial" w:cs="Arial" w:eastAsia="Arial" w:hAnsi="Arial"/>
          <w:sz w:val="16"/>
          <w:szCs w:val="16"/>
          <w:color w:val="auto"/>
        </w:rPr>
        <w:t>The following table summarizes the carrying amount as of March 31, 2019 and December 31, 2018 of the major classes of assets from the modular construction and manufacturing plant, undeveloped land positions and Noralta’s corporate offices we classified as held for sale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746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8,058</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10,297</w:t>
            </w:r>
          </w:p>
        </w:tc>
      </w:tr>
      <w:tr>
        <w:trPr>
          <w:trHeight w:val="33"/>
        </w:trPr>
        <w:tc>
          <w:tcPr>
            <w:tcW w:w="7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held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10,297</w:t>
            </w:r>
          </w:p>
        </w:tc>
      </w:tr>
      <w:tr>
        <w:trPr>
          <w:trHeight w:val="20"/>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calculation of earnings per share attributable to Civeo is presented below for the periods indicated (in thousands, except per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136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33"/>
        </w:trPr>
        <w:tc>
          <w:tcPr>
            <w:tcW w:w="6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Loss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Net loss attributable to Civeo common shareholders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(17,498)</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(55,457)</w:t>
            </w:r>
          </w:p>
        </w:tc>
      </w:tr>
      <w:tr>
        <w:trPr>
          <w:trHeight w:val="33"/>
        </w:trPr>
        <w:tc>
          <w:tcPr>
            <w:tcW w:w="6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undistributed net income to participating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Civeo common shareholders - basic</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(17,498)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(55,457)</w:t>
            </w:r>
          </w:p>
        </w:tc>
      </w:tr>
      <w:tr>
        <w:trPr>
          <w:trHeight w:val="163"/>
        </w:trPr>
        <w:tc>
          <w:tcPr>
            <w:tcW w:w="6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165,330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131,631</w:t>
            </w:r>
          </w:p>
        </w:tc>
      </w:tr>
      <w:tr>
        <w:trPr>
          <w:trHeight w:val="33"/>
        </w:trPr>
        <w:tc>
          <w:tcPr>
            <w:tcW w:w="6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6"/>
        </w:trPr>
        <w:tc>
          <w:tcPr>
            <w:tcW w:w="6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Basic loss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33"/>
        </w:trPr>
        <w:tc>
          <w:tcPr>
            <w:tcW w:w="6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6"/>
        </w:trPr>
        <w:tc>
          <w:tcPr>
            <w:tcW w:w="6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Diluted Loss per Share</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6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Civeo common shareholders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(55,457)</w:t>
            </w: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Less: undistributed net income to participating securities</w:t>
            </w: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Civeo common shareholders -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(55,457)</w:t>
            </w: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3"/>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131,631</w:t>
            </w: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Effect of dilutive securities (1)</w:t>
            </w: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165,330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131,631</w:t>
            </w:r>
          </w:p>
        </w:tc>
      </w:tr>
      <w:tr>
        <w:trPr>
          <w:trHeight w:val="176"/>
        </w:trPr>
        <w:tc>
          <w:tcPr>
            <w:tcW w:w="6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r>
      <w:tr>
        <w:trPr>
          <w:trHeight w:val="33"/>
        </w:trPr>
        <w:tc>
          <w:tcPr>
            <w:tcW w:w="6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line="29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three months ended March 31, 2019 and 2018. In the three months ended March 31, 2019 and 2018, we excluded from the calculation 3.6 million and 2.8 million share based awards, respectively, since the effect would have been anti-dilutive. In the three months ended March 31, 2019, we excluded from the calculation the impact of converting the Preferred Shares into 28.0 million common shares, since the effect would have been anti-dilutive.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1" w:right="279" w:bottom="1440" w:gutter="0" w:footer="0" w:header="0"/>
        </w:sectPr>
      </w:pPr>
    </w:p>
    <w:bookmarkStart w:id="14" w:name="page15"/>
    <w:bookmarkEnd w:id="14"/>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2019 and December 31, 2018, long-term debt consisted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Canadian term loan, which matures on November 30, 2020; 3.125% of aggregate principal repayable per quarter;</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of 5.7% for the three-month period ended</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244,477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247,910</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U.S. revolving credit facility, which matures on November 30, 2020, weighted average interest rate of 7.0% for the three-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month period ended March 31, 2019</w:t>
            </w: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vMerge w:val="continue"/>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Canadian revolving credit facility, which matures on November 30, 2020, weighted average interest rate of 6.4% for the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three-month period ended March 31, 2019</w:t>
            </w: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136,191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114,348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Australian revolving credit facility, which matures on November 30, 2020, weighted average interest rate of 5.5% for the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three-month period ended March 31, 2019</w:t>
            </w: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2,838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16,918</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383,506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379,176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Unamortized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217"/>
        </w:trPr>
        <w:tc>
          <w:tcPr>
            <w:tcW w:w="8000" w:type="dxa"/>
            <w:vAlign w:val="bottom"/>
          </w:tcPr>
          <w:p>
            <w:pPr>
              <w:ind w:left="180"/>
              <w:spacing w:after="0"/>
              <w:rPr>
                <w:sz w:val="20"/>
                <w:szCs w:val="20"/>
                <w:color w:val="auto"/>
              </w:rPr>
            </w:pPr>
            <w:r>
              <w:rPr>
                <w:rFonts w:ascii="Arial" w:cs="Arial" w:eastAsia="Arial" w:hAnsi="Arial"/>
                <w:sz w:val="16"/>
                <w:szCs w:val="16"/>
                <w:color w:val="auto"/>
              </w:rPr>
              <w:t>Total debt</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380,909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376,237</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33,329</w:t>
            </w:r>
          </w:p>
        </w:tc>
        <w:tc>
          <w:tcPr>
            <w:tcW w:w="0" w:type="dxa"/>
            <w:vAlign w:val="bottom"/>
          </w:tcPr>
          <w:p>
            <w:pPr>
              <w:spacing w:after="0"/>
              <w:rPr>
                <w:sz w:val="1"/>
                <w:szCs w:val="1"/>
                <w:color w:val="auto"/>
              </w:rPr>
            </w:pPr>
          </w:p>
        </w:tc>
      </w:tr>
      <w:tr>
        <w:trPr>
          <w:trHeight w:val="244"/>
        </w:trPr>
        <w:tc>
          <w:tcPr>
            <w:tcW w:w="800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346,841</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342,908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capitalized interest to net against interest expense for the three months ended March 31,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225" w:lineRule="exact"/>
        <w:rPr>
          <w:sz w:val="20"/>
          <w:szCs w:val="20"/>
          <w:color w:val="auto"/>
        </w:rPr>
      </w:pPr>
    </w:p>
    <w:p>
      <w:pPr>
        <w:ind w:firstLine="459"/>
        <w:spacing w:after="0" w:line="276" w:lineRule="auto"/>
        <w:rPr>
          <w:sz w:val="20"/>
          <w:szCs w:val="20"/>
          <w:color w:val="auto"/>
        </w:rPr>
      </w:pPr>
      <w:r>
        <w:rPr>
          <w:rFonts w:ascii="Arial" w:cs="Arial" w:eastAsia="Arial" w:hAnsi="Arial"/>
          <w:sz w:val="17"/>
          <w:szCs w:val="17"/>
          <w:color w:val="auto"/>
        </w:rPr>
        <w:t>As of March 31, 2019, our Credit Agreement, as then amended to date (the Amended Credit Agreement), provided for: (i) a $239.5 million revolving credit facility scheduled to mature on November 30, 2020, allocated as follows: (A) a $20.0 million senior secured revolving credit facility in favor of certain of our U.S. subsidiaries, as borrowers; (B) a $159.5 million senior secured revolving credit facility in favor of Civeo and certain of our Canadian subsidiaries, as borrowers; and (C) a $60.0 million senior secured revolving credit facility in favor of one of our Australian subsidiaries, as borrower; and (ii) a $325.0 million term loan facility scheduled to mature on November 30, 2020 in favor of Civeo.</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maximum leverage ratio financial covenant is set forth in the tables below.</w:t>
      </w:r>
    </w:p>
    <w:p>
      <w:pPr>
        <w:spacing w:after="0" w:line="225" w:lineRule="exact"/>
        <w:rPr>
          <w:sz w:val="20"/>
          <w:szCs w:val="20"/>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qualified offering of indebtedness with gross proceeds in excess of $150 million has been consummated, a Maximum Leverage Ratio not to exceed the ratios set forth in the following table: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860" w:type="dxa"/>
            <w:vAlign w:val="bottom"/>
            <w:gridSpan w:val="3"/>
          </w:tcPr>
          <w:p>
            <w:pPr>
              <w:ind w:left="4460"/>
              <w:spacing w:after="0" w:line="176" w:lineRule="exact"/>
              <w:rPr>
                <w:sz w:val="20"/>
                <w:szCs w:val="20"/>
                <w:color w:val="auto"/>
              </w:rPr>
            </w:pPr>
            <w:r>
              <w:rPr>
                <w:rFonts w:ascii="Arial" w:cs="Arial" w:eastAsia="Arial" w:hAnsi="Arial"/>
                <w:sz w:val="16"/>
                <w:szCs w:val="16"/>
                <w:b w:val="1"/>
                <w:bCs w:val="1"/>
                <w:color w:val="auto"/>
              </w:rPr>
              <w:t>Period Ended</w:t>
            </w: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Ratio</w:t>
            </w:r>
          </w:p>
        </w:tc>
      </w:tr>
      <w:tr>
        <w:trPr>
          <w:trHeight w:val="48"/>
        </w:trPr>
        <w:tc>
          <w:tcPr>
            <w:tcW w:w="446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March 31, 2019</w:t>
            </w:r>
          </w:p>
        </w:tc>
        <w:tc>
          <w:tcPr>
            <w:tcW w:w="1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2"/>
              </w:rPr>
              <w:t>4.75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June 30, 2019</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w w:val="92"/>
              </w:rPr>
              <w:t>4.50 : 1:00</w:t>
            </w:r>
          </w:p>
        </w:tc>
      </w:tr>
      <w:tr>
        <w:trPr>
          <w:trHeight w:val="33"/>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4"/>
        </w:trPr>
        <w:tc>
          <w:tcPr>
            <w:tcW w:w="9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September 30, 2019 &amp; thereafter</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92"/>
              </w:rPr>
              <w:t>4.00 : 1:00</w:t>
            </w:r>
          </w:p>
        </w:tc>
      </w:tr>
      <w:tr>
        <w:trPr>
          <w:trHeight w:val="33"/>
        </w:trPr>
        <w:tc>
          <w:tcPr>
            <w:tcW w:w="4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1" w:right="299" w:bottom="1440" w:gutter="0" w:footer="0" w:header="0"/>
        </w:sectPr>
      </w:pPr>
    </w:p>
    <w:bookmarkStart w:id="15" w:name="page16"/>
    <w:bookmarkEnd w:id="15"/>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and, if such qualified offering has not been consummated, a maximum leverage ratio not to exceed the ratios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860" w:type="dxa"/>
            <w:vAlign w:val="bottom"/>
            <w:gridSpan w:val="3"/>
          </w:tcPr>
          <w:p>
            <w:pPr>
              <w:ind w:left="4460"/>
              <w:spacing w:after="0" w:line="176" w:lineRule="exact"/>
              <w:rPr>
                <w:sz w:val="20"/>
                <w:szCs w:val="20"/>
                <w:color w:val="auto"/>
              </w:rPr>
            </w:pPr>
            <w:r>
              <w:rPr>
                <w:rFonts w:ascii="Arial" w:cs="Arial" w:eastAsia="Arial" w:hAnsi="Arial"/>
                <w:sz w:val="16"/>
                <w:szCs w:val="16"/>
                <w:b w:val="1"/>
                <w:bCs w:val="1"/>
                <w:color w:val="auto"/>
              </w:rPr>
              <w:t>Period Ended</w:t>
            </w: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Ratio</w:t>
            </w:r>
          </w:p>
        </w:tc>
      </w:tr>
      <w:tr>
        <w:trPr>
          <w:trHeight w:val="48"/>
        </w:trPr>
        <w:tc>
          <w:tcPr>
            <w:tcW w:w="446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March 31, 2019</w:t>
            </w:r>
          </w:p>
        </w:tc>
        <w:tc>
          <w:tcPr>
            <w:tcW w:w="1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2"/>
              </w:rPr>
              <w:t>4.75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June 30, 2019</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w w:val="92"/>
              </w:rPr>
              <w:t>4.50 : 1:00</w:t>
            </w:r>
          </w:p>
        </w:tc>
      </w:tr>
      <w:tr>
        <w:trPr>
          <w:trHeight w:val="33"/>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September 30, 2019</w:t>
            </w:r>
          </w:p>
        </w:tc>
        <w:tc>
          <w:tcPr>
            <w:tcW w:w="1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2"/>
              </w:rPr>
              <w:t>4.00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December 31, 2019 &amp; thereafter</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w w:val="92"/>
              </w:rPr>
              <w:t>3.50 : 1:00</w:t>
            </w:r>
          </w:p>
        </w:tc>
      </w:tr>
    </w:tbl>
    <w:p>
      <w:pPr>
        <w:spacing w:after="0" w:line="235" w:lineRule="exact"/>
        <w:rPr>
          <w:sz w:val="20"/>
          <w:szCs w:val="20"/>
          <w:color w:val="auto"/>
        </w:rPr>
      </w:pPr>
    </w:p>
    <w:p>
      <w:pPr>
        <w:ind w:right="20" w:firstLine="459"/>
        <w:spacing w:after="0" w:line="273" w:lineRule="auto"/>
        <w:rPr>
          <w:sz w:val="20"/>
          <w:szCs w:val="20"/>
          <w:color w:val="auto"/>
        </w:rPr>
      </w:pPr>
      <w:r>
        <w:rPr>
          <w:rFonts w:ascii="Arial" w:cs="Arial" w:eastAsia="Arial" w:hAnsi="Arial"/>
          <w:sz w:val="17"/>
          <w:szCs w:val="17"/>
          <w:color w:val="auto"/>
        </w:rPr>
        <w:t>U.S. dollar amounts outstanding under the facilities provided by the Amended Credit Agreement bear interest at a variable rate equal to LIBOR plus a margin of 2.25% to 4.00%, or a base rate plus 1.25% to 3.00%, in each case based on a ratio of our total debt to consolidated EBITDA (as defined in the Amended Credit Agreement). Canadian dollar amounts outstanding bear interest at a variable rate equal to a B/A Discount Rate based on the Canadian Dollar Offered Rate plus a margin of 2.25% to 4.00%, or a Canadian Prime rate plus a margin of 1.25% to 3.00%, in each case based on a ratio of our total debt to consolidated EBITDA. Australian dollar amounts outstanding under the Amended Credit Agreement bear interest at a variable rate equal to the Bank Bill Swap Bid Rate plus a margin of 2.25% to 4.00%, based on a ratio of our total debt to consolidated EBITDA.</w:t>
      </w:r>
    </w:p>
    <w:p>
      <w:pPr>
        <w:spacing w:after="0" w:line="178" w:lineRule="exact"/>
        <w:rPr>
          <w:sz w:val="20"/>
          <w:szCs w:val="20"/>
          <w:color w:val="auto"/>
        </w:rPr>
      </w:pPr>
    </w:p>
    <w:p>
      <w:pPr>
        <w:ind w:right="80" w:firstLine="459"/>
        <w:spacing w:after="0" w:line="289"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4.75 to 1.0 (as of March 31, 2019).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March 31, 2019.</w:t>
      </w:r>
    </w:p>
    <w:p>
      <w:pPr>
        <w:spacing w:after="0" w:line="167" w:lineRule="exact"/>
        <w:rPr>
          <w:sz w:val="20"/>
          <w:szCs w:val="20"/>
          <w:color w:val="auto"/>
        </w:rPr>
      </w:pPr>
    </w:p>
    <w:p>
      <w:pPr>
        <w:ind w:right="100" w:firstLine="459"/>
        <w:spacing w:after="0" w:line="257"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March 31, 2019, we have nine lenders that were parties to the Amended Credit Agreement, with total commitments (including both revolving commitments and term commitments) ranging from $24.9 million to $110.6 million. As of March 31, 2019, we had outstanding letters of credit of $0.4 million under the U.S facility, $0.5 million under the Australian facility and $2.5 million under the Canadian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80" w:firstLine="459"/>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21% to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from period to period based on changes in earnings mix between these different jurisdictions.</w:t>
      </w:r>
    </w:p>
    <w:p>
      <w:pPr>
        <w:spacing w:after="0" w:line="211"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March 31, 2019, Australia was considered a loss jurisdictions for tax accounting purposes and has been removed from the annual effective tax rate computation for purposes of computing the interim tax provision.</w:t>
      </w:r>
    </w:p>
    <w:p>
      <w:pPr>
        <w:spacing w:after="0" w:line="170"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Our income tax benefit for the three months ended March 31, 2019 totaled $4.5 million, or 20.8% of pretax loss, compared to a benefit of $0.7 million, or 1.2% of pretax loss, for the three months ended March 31, 2018. The difference between the effective rate in 2019 and 2018 is due to the change in jurisdictions which are considered loss jurisdictions for tax accounting purposes. For the three months ended March 31, 2018, Canada, Australia and the U.S. were considered loss jurisdictions, while for the three months ended March 31, 2019, only Australia was considered a loss jurisdiction. Additionally, the effective tax rate in 2018 was impacted by discrete items totaling $1.0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ind w:right="320" w:firstLine="459"/>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29"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Our accumulated other comprehensive loss decreased $5.4 million from $371.2 million at December 31, 2018 to $365.9 million at March 31, 2019, as a result of foreign currency exchange rate fluctuations. Changes in other comprehensive loss during the first three months of 2019 were primarily driven by the Australian dollar and Canadian dollar increasing in value compared to the U.S. dollar. Excluding intercompany balances, our Canadian dollar and Australian dollar functional currency net assets totaled approximately C$0.3 billion and A$0.4 billion, respectively, at March 31,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We have operating leases covering certain land locations and various office facilities and equipment in our three reportable business segments. Our leases have remaining lease terms of one year to nine years, some of which include options to extend the leases for up to 10 years, and some of which include options to terminate the leases within 90 days.</w:t>
      </w:r>
    </w:p>
    <w:p>
      <w:pPr>
        <w:spacing w:after="0" w:line="181"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The components of lease expense were $1.8 million and $1.3 million under operating leases during the three month periods ended March 31, 2019 and 2018, respectively. Included in the measurement of lease liabilities, we paid $1.7 million in cash related to operating leases during the three month periods ended March 31, 2019. Right-of-use assets obtained in exchange for new lease obligations related to operating leases during the three months ended March 31, 2019 were $1.7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balance sheet information related to leases were as follows (in thousands):</w:t>
      </w:r>
    </w:p>
    <w:p>
      <w:pPr>
        <w:spacing w:after="0" w:line="388"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ind w:right="378"/>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78"/>
              <w:spacing w:after="0"/>
              <w:rPr>
                <w:sz w:val="20"/>
                <w:szCs w:val="20"/>
                <w:color w:val="auto"/>
              </w:rPr>
            </w:pPr>
            <w:r>
              <w:rPr>
                <w:rFonts w:ascii="Arial" w:cs="Arial" w:eastAsia="Arial" w:hAnsi="Arial"/>
                <w:sz w:val="16"/>
                <w:szCs w:val="16"/>
                <w:color w:val="auto"/>
              </w:rPr>
              <w:t>22,225</w:t>
            </w:r>
          </w:p>
        </w:tc>
      </w:tr>
      <w:tr>
        <w:trPr>
          <w:trHeight w:val="33"/>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78"/>
              <w:spacing w:after="0"/>
              <w:rPr>
                <w:sz w:val="20"/>
                <w:szCs w:val="20"/>
                <w:color w:val="auto"/>
              </w:rPr>
            </w:pPr>
            <w:r>
              <w:rPr>
                <w:rFonts w:ascii="Arial" w:cs="Arial" w:eastAsia="Arial" w:hAnsi="Arial"/>
                <w:sz w:val="16"/>
                <w:szCs w:val="16"/>
                <w:color w:val="auto"/>
              </w:rPr>
              <w:t>4,890</w:t>
            </w:r>
          </w:p>
        </w:tc>
      </w:tr>
      <w:tr>
        <w:trPr>
          <w:trHeight w:val="33"/>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18,529</w:t>
            </w:r>
          </w:p>
        </w:tc>
      </w:tr>
      <w:tr>
        <w:trPr>
          <w:trHeight w:val="217"/>
        </w:trPr>
        <w:tc>
          <w:tcPr>
            <w:tcW w:w="6620" w:type="dxa"/>
            <w:vAlign w:val="bottom"/>
          </w:tcPr>
          <w:p>
            <w:pPr>
              <w:ind w:left="160"/>
              <w:spacing w:after="0"/>
              <w:rPr>
                <w:sz w:val="20"/>
                <w:szCs w:val="20"/>
                <w:color w:val="auto"/>
              </w:rPr>
            </w:pPr>
            <w:r>
              <w:rPr>
                <w:rFonts w:ascii="Arial" w:cs="Arial" w:eastAsia="Arial" w:hAnsi="Arial"/>
                <w:sz w:val="16"/>
                <w:szCs w:val="16"/>
                <w:color w:val="auto"/>
              </w:rPr>
              <w:t>Total operating lease liabilities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23,419</w:t>
            </w:r>
          </w:p>
        </w:tc>
      </w:tr>
      <w:tr>
        <w:trPr>
          <w:trHeight w:val="33"/>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6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6.1 years</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4"/>
        </w:trPr>
        <w:tc>
          <w:tcPr>
            <w:tcW w:w="6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6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1" w:right="259" w:bottom="1440" w:gutter="0" w:footer="0" w:header="0"/>
          <w:type w:val="continuous"/>
        </w:sectPr>
      </w:pPr>
    </w:p>
    <w:bookmarkStart w:id="17" w:name="page18"/>
    <w:bookmarkEnd w:id="17"/>
    <w:p>
      <w:pPr>
        <w:jc w:val="center"/>
        <w:ind w:left="2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6680" w:type="dxa"/>
            <w:vAlign w:val="bottom"/>
          </w:tcPr>
          <w:p>
            <w:pPr>
              <w:jc w:val="center"/>
              <w:ind w:left="1977"/>
              <w:spacing w:after="0"/>
              <w:rPr>
                <w:sz w:val="20"/>
                <w:szCs w:val="20"/>
                <w:color w:val="auto"/>
              </w:rPr>
            </w:pPr>
            <w:r>
              <w:rPr>
                <w:rFonts w:ascii="Arial" w:cs="Arial" w:eastAsia="Arial" w:hAnsi="Arial"/>
                <w:sz w:val="18"/>
                <w:szCs w:val="18"/>
                <w:b w:val="1"/>
                <w:bCs w:val="1"/>
                <w:color w:val="auto"/>
              </w:rPr>
              <w:t>NOTES TO UNAUDITED CONSOLIDATED</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680" w:type="dxa"/>
            <w:vAlign w:val="bottom"/>
          </w:tcPr>
          <w:p>
            <w:pPr>
              <w:jc w:val="center"/>
              <w:ind w:left="1957"/>
              <w:spacing w:after="0"/>
              <w:rPr>
                <w:sz w:val="20"/>
                <w:szCs w:val="20"/>
                <w:color w:val="auto"/>
              </w:rPr>
            </w:pPr>
            <w:r>
              <w:rPr>
                <w:rFonts w:ascii="Arial" w:cs="Arial" w:eastAsia="Arial" w:hAnsi="Arial"/>
                <w:sz w:val="18"/>
                <w:szCs w:val="18"/>
                <w:b w:val="1"/>
                <w:bCs w:val="1"/>
                <w:color w:val="auto"/>
              </w:rPr>
              <w:t>FINANCIAL STATEMENTS</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6680" w:type="dxa"/>
            <w:vAlign w:val="bottom"/>
          </w:tcPr>
          <w:p>
            <w:pPr>
              <w:jc w:val="center"/>
              <w:ind w:left="1957"/>
              <w:spacing w:after="0"/>
              <w:rPr>
                <w:sz w:val="20"/>
                <w:szCs w:val="20"/>
                <w:color w:val="auto"/>
              </w:rPr>
            </w:pPr>
            <w:r>
              <w:rPr>
                <w:rFonts w:ascii="Arial" w:cs="Arial" w:eastAsia="Arial" w:hAnsi="Arial"/>
                <w:sz w:val="18"/>
                <w:szCs w:val="18"/>
                <w:b w:val="1"/>
                <w:bCs w:val="1"/>
                <w:color w:val="auto"/>
                <w:w w:val="91"/>
              </w:rPr>
              <w:t>(Continued)</w:t>
            </w: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75"/>
        </w:trPr>
        <w:tc>
          <w:tcPr>
            <w:tcW w:w="764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at March 31, 2019, were as follows (in thousands):</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88"/>
        </w:trPr>
        <w:tc>
          <w:tcPr>
            <w:tcW w:w="960" w:type="dxa"/>
            <w:vAlign w:val="bottom"/>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
        </w:trPr>
        <w:tc>
          <w:tcPr>
            <w:tcW w:w="7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r>
      <w:tr>
        <w:trPr>
          <w:trHeight w:val="243"/>
        </w:trPr>
        <w:tc>
          <w:tcPr>
            <w:tcW w:w="7640" w:type="dxa"/>
            <w:vAlign w:val="bottom"/>
            <w:gridSpan w:val="2"/>
          </w:tcPr>
          <w:p>
            <w:pPr>
              <w:ind w:left="980"/>
              <w:spacing w:after="0"/>
              <w:rPr>
                <w:sz w:val="20"/>
                <w:szCs w:val="20"/>
                <w:color w:val="auto"/>
              </w:rPr>
            </w:pPr>
            <w:r>
              <w:rPr>
                <w:rFonts w:ascii="Arial" w:cs="Arial" w:eastAsia="Arial" w:hAnsi="Arial"/>
                <w:sz w:val="16"/>
                <w:szCs w:val="16"/>
                <w:color w:val="auto"/>
              </w:rPr>
              <w:t>2020</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5,558</w:t>
            </w:r>
          </w:p>
        </w:tc>
      </w:tr>
      <w:tr>
        <w:trPr>
          <w:trHeight w:val="27"/>
        </w:trPr>
        <w:tc>
          <w:tcPr>
            <w:tcW w:w="7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r>
      <w:tr>
        <w:trPr>
          <w:trHeight w:val="243"/>
        </w:trPr>
        <w:tc>
          <w:tcPr>
            <w:tcW w:w="7640" w:type="dxa"/>
            <w:vAlign w:val="bottom"/>
            <w:gridSpan w:val="2"/>
          </w:tcPr>
          <w:p>
            <w:pPr>
              <w:ind w:left="980"/>
              <w:spacing w:after="0"/>
              <w:rPr>
                <w:sz w:val="20"/>
                <w:szCs w:val="20"/>
                <w:color w:val="auto"/>
              </w:rPr>
            </w:pPr>
            <w:r>
              <w:rPr>
                <w:rFonts w:ascii="Arial" w:cs="Arial" w:eastAsia="Arial" w:hAnsi="Arial"/>
                <w:sz w:val="16"/>
                <w:szCs w:val="16"/>
                <w:color w:val="auto"/>
              </w:rPr>
              <w:t>2022</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7"/>
        </w:trPr>
        <w:tc>
          <w:tcPr>
            <w:tcW w:w="7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r>
      <w:tr>
        <w:trPr>
          <w:trHeight w:val="243"/>
        </w:trPr>
        <w:tc>
          <w:tcPr>
            <w:tcW w:w="96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7,546</w:t>
            </w:r>
          </w:p>
        </w:tc>
      </w:tr>
      <w:tr>
        <w:trPr>
          <w:trHeight w:val="27"/>
        </w:trPr>
        <w:tc>
          <w:tcPr>
            <w:tcW w:w="960" w:type="dxa"/>
            <w:vAlign w:val="bottom"/>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6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lease payments</w:t>
            </w: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27,539</w:t>
            </w:r>
          </w:p>
        </w:tc>
      </w:tr>
      <w:tr>
        <w:trPr>
          <w:trHeight w:val="243"/>
        </w:trPr>
        <w:tc>
          <w:tcPr>
            <w:tcW w:w="96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4,120</w:t>
            </w:r>
          </w:p>
        </w:tc>
      </w:tr>
      <w:tr>
        <w:trPr>
          <w:trHeight w:val="27"/>
        </w:trPr>
        <w:tc>
          <w:tcPr>
            <w:tcW w:w="960" w:type="dxa"/>
            <w:vAlign w:val="bottom"/>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6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23,419</w:t>
            </w:r>
          </w:p>
        </w:tc>
      </w:tr>
      <w:tr>
        <w:trPr>
          <w:trHeight w:val="20"/>
        </w:trPr>
        <w:tc>
          <w:tcPr>
            <w:tcW w:w="9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BASED COMPENSATION</w:t>
      </w:r>
    </w:p>
    <w:p>
      <w:pPr>
        <w:spacing w:after="0" w:line="229" w:lineRule="exact"/>
        <w:rPr>
          <w:sz w:val="20"/>
          <w:szCs w:val="20"/>
          <w:color w:val="auto"/>
        </w:rPr>
      </w:pPr>
    </w:p>
    <w:p>
      <w:pPr>
        <w:ind w:right="80" w:firstLine="459"/>
        <w:spacing w:after="0" w:line="279" w:lineRule="auto"/>
        <w:rPr>
          <w:sz w:val="20"/>
          <w:szCs w:val="20"/>
          <w:color w:val="auto"/>
        </w:rPr>
      </w:pPr>
      <w:r>
        <w:rPr>
          <w:rFonts w:ascii="Arial" w:cs="Arial" w:eastAsia="Arial" w:hAnsi="Arial"/>
          <w:sz w:val="17"/>
          <w:szCs w:val="17"/>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and dividend equivalents, awards of deferred shares, and share payments to our employees and non-employee directors. No more than 18.7 million Civeo common shares may be awarded under the Civeo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Compensation expense associated with options recognized in the three months ended March 31, 2019 and 2018 totaled zero and less than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There was no unrecognized compensation cost related to options.</w:t>
      </w:r>
    </w:p>
    <w:p>
      <w:pPr>
        <w:spacing w:after="0" w:line="170"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b w:val="1"/>
          <w:bCs w:val="1"/>
          <w:i w:val="1"/>
          <w:iCs w:val="1"/>
          <w:color w:val="auto"/>
        </w:rPr>
        <w:t xml:space="preserve">Restricted Share / Deferred Share Awards. </w:t>
      </w:r>
      <w:r>
        <w:rPr>
          <w:rFonts w:ascii="Arial" w:cs="Arial" w:eastAsia="Arial" w:hAnsi="Arial"/>
          <w:sz w:val="18"/>
          <w:szCs w:val="18"/>
          <w:color w:val="auto"/>
        </w:rPr>
        <w:t>On February 25, 2019, we granted 1,334,189 restricted share awards and deferred share awards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Civeo Plan, which vest in three equal annual installments beginning on February 25, 2020.</w:t>
      </w:r>
    </w:p>
    <w:p>
      <w:pPr>
        <w:spacing w:after="0" w:line="170" w:lineRule="exact"/>
        <w:rPr>
          <w:sz w:val="20"/>
          <w:szCs w:val="20"/>
          <w:color w:val="auto"/>
        </w:rPr>
      </w:pPr>
    </w:p>
    <w:p>
      <w:pPr>
        <w:ind w:right="80" w:firstLine="459"/>
        <w:spacing w:after="0" w:line="264" w:lineRule="auto"/>
        <w:rPr>
          <w:sz w:val="20"/>
          <w:szCs w:val="20"/>
          <w:color w:val="auto"/>
        </w:rPr>
      </w:pPr>
      <w:r>
        <w:rPr>
          <w:rFonts w:ascii="Arial" w:cs="Arial" w:eastAsia="Arial" w:hAnsi="Arial"/>
          <w:sz w:val="18"/>
          <w:szCs w:val="18"/>
          <w:color w:val="auto"/>
        </w:rPr>
        <w:t>Compensation expense associated with restricted share awards and deferred share awards recognized in the three months ended March 31, 2019 and 2018 totaled $1.4 million and $1.2 million, respectively. The total fair value of restricted share awards and deferred share awards that vested during the three months ended March 31, 2019 and 2018 was $3.5 million and $2.4 million, respectively.</w:t>
      </w:r>
    </w:p>
    <w:p>
      <w:pPr>
        <w:spacing w:after="0" w:line="181"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color w:val="auto"/>
        </w:rPr>
        <w:t>At March 31, 2019, unrecognized compensation cost related to restricted share awards and deferred share awards was $9.3 million, which is expected to be recognized over a weighted average period of 2.1 years.</w:t>
      </w:r>
    </w:p>
    <w:p>
      <w:pPr>
        <w:spacing w:after="0" w:line="170" w:lineRule="exact"/>
        <w:rPr>
          <w:sz w:val="20"/>
          <w:szCs w:val="20"/>
          <w:color w:val="auto"/>
        </w:rPr>
      </w:pPr>
    </w:p>
    <w:p>
      <w:pPr>
        <w:jc w:val="both"/>
        <w:ind w:right="180" w:firstLine="459"/>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25, 2019, we granted 1,144,407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25, 2020. We also granted 301,683 phantom share awards under the Canadian Long-Term Incentive Plan, which vest in three equal annual installments beginning on February 25, 2020.</w:t>
      </w:r>
    </w:p>
    <w:p>
      <w:pPr>
        <w:spacing w:after="0" w:line="181" w:lineRule="exact"/>
        <w:rPr>
          <w:sz w:val="20"/>
          <w:szCs w:val="20"/>
          <w:color w:val="auto"/>
        </w:rPr>
      </w:pPr>
    </w:p>
    <w:p>
      <w:pPr>
        <w:jc w:val="both"/>
        <w:ind w:right="120" w:firstLine="459"/>
        <w:spacing w:after="0" w:line="264" w:lineRule="auto"/>
        <w:rPr>
          <w:sz w:val="20"/>
          <w:szCs w:val="20"/>
          <w:color w:val="auto"/>
        </w:rPr>
      </w:pPr>
      <w:r>
        <w:rPr>
          <w:rFonts w:ascii="Arial" w:cs="Arial" w:eastAsia="Arial" w:hAnsi="Arial"/>
          <w:sz w:val="18"/>
          <w:szCs w:val="18"/>
          <w:color w:val="auto"/>
        </w:rPr>
        <w:t>During the three months ended March 31, 2019 and 2018, we recognized compensation expense associated with phantom shares totaling $3.1 million and $3.4 million, respectively. At March 31, 2019, unrecognized compensation cost related to phantom shares was $3.3 million, as remeasured at March 31, 2019, which is expected to be recognized over a weighted average period of 2.7 years.</w:t>
      </w:r>
    </w:p>
    <w:p>
      <w:pPr>
        <w:spacing w:after="0" w:line="181" w:lineRule="exact"/>
        <w:rPr>
          <w:sz w:val="20"/>
          <w:szCs w:val="20"/>
          <w:color w:val="auto"/>
        </w:rPr>
      </w:pPr>
    </w:p>
    <w:p>
      <w:pPr>
        <w:ind w:right="140" w:firstLine="459"/>
        <w:spacing w:after="0" w:line="286"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On February 25, 2019, we granted 1,194,210 performance awards under the Civeo Plan, which cliff vest in three years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25, 2022. These awards will be earned in amounts between 0% and 200% of the participant’s target performance share award, based on the payout percentage associated with Civeo’s relative total shareholder return rank among a peer group that includes 17 other companies.</w:t>
      </w:r>
    </w:p>
    <w:p>
      <w:pPr>
        <w:spacing w:after="0" w:line="166"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During the three months ended March 31, 2019 and 2018, we recognized compensation expense associated with performance awards totaling $1.1 million and $1.0 million, respectively. The total fair value of performance share awards that vested during the three months ended March 31, 2019 was $10.1 million.</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121" w:right="279" w:bottom="1440" w:gutter="0" w:footer="0" w:header="0"/>
          <w:type w:val="continuous"/>
        </w:sectPr>
      </w:pPr>
    </w:p>
    <w:bookmarkStart w:id="18" w:name="page19"/>
    <w:bookmarkEnd w:id="18"/>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right="480" w:firstLine="459"/>
        <w:spacing w:after="0" w:line="277" w:lineRule="auto"/>
        <w:rPr>
          <w:sz w:val="20"/>
          <w:szCs w:val="20"/>
          <w:color w:val="auto"/>
        </w:rPr>
      </w:pPr>
      <w:r>
        <w:rPr>
          <w:rFonts w:ascii="Arial" w:cs="Arial" w:eastAsia="Arial" w:hAnsi="Arial"/>
          <w:sz w:val="18"/>
          <w:szCs w:val="18"/>
          <w:color w:val="auto"/>
        </w:rPr>
        <w:t>At March 31, 2019, unrecognized compensation cost related to performance shares was $8.3 million, which is expected to be recognized over a weighted average period of 2.3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RELATED INFORMATION</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In accordance with current accounting standards regarding disclosures about segments of an enterprise and related information, we have identified the following reportable segments: Canada, Australia and U.S., which represent our strategic focus on hospitality services.</w:t>
      </w:r>
    </w:p>
    <w:p>
      <w:pPr>
        <w:spacing w:after="0" w:line="170" w:lineRule="exact"/>
        <w:rPr>
          <w:sz w:val="20"/>
          <w:szCs w:val="20"/>
          <w:color w:val="auto"/>
        </w:rPr>
      </w:pPr>
    </w:p>
    <w:p>
      <w:pPr>
        <w:ind w:right="360" w:firstLine="459"/>
        <w:spacing w:after="0" w:line="277" w:lineRule="auto"/>
        <w:rPr>
          <w:sz w:val="20"/>
          <w:szCs w:val="20"/>
          <w:color w:val="auto"/>
        </w:rPr>
      </w:pPr>
      <w:r>
        <w:rPr>
          <w:rFonts w:ascii="Arial" w:cs="Arial" w:eastAsia="Arial" w:hAnsi="Arial"/>
          <w:sz w:val="18"/>
          <w:szCs w:val="18"/>
          <w:color w:val="auto"/>
        </w:rPr>
        <w:t>Financial information by business segment for each of the three months ended March 31, 2019 and 2018 is summarized in the following table (in thousands):</w:t>
      </w:r>
    </w:p>
    <w:p>
      <w:pPr>
        <w:spacing w:after="0" w:line="333"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Depreciation</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Operating</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and</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income</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Revenues</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amortization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(loss)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expenditures</w:t>
            </w:r>
          </w:p>
        </w:tc>
        <w:tc>
          <w:tcPr>
            <w:tcW w:w="240" w:type="dxa"/>
            <w:vAlign w:val="bottom"/>
          </w:tcPr>
          <w:p>
            <w:pPr>
              <w:spacing w:after="0"/>
              <w:rPr>
                <w:sz w:val="18"/>
                <w:szCs w:val="18"/>
                <w:color w:val="auto"/>
              </w:rPr>
            </w:pPr>
          </w:p>
        </w:tc>
        <w:tc>
          <w:tcPr>
            <w:tcW w:w="12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Total assets</w:t>
            </w:r>
          </w:p>
        </w:tc>
      </w:tr>
      <w:tr>
        <w:trPr>
          <w:trHeight w:val="33"/>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9"/>
              </w:rPr>
              <w:t>Three months ended March</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3"/>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31, 2019</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66,770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16,228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(11,595)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7,064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825,100</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284,574</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59,193</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(160,869)</w:t>
            </w:r>
          </w:p>
        </w:tc>
      </w:tr>
      <w:tr>
        <w:trPr>
          <w:trHeight w:val="284"/>
        </w:trPr>
        <w:tc>
          <w:tcPr>
            <w:tcW w:w="21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108,550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30,782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(17,893)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9,679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1,007,998</w:t>
            </w:r>
          </w:p>
        </w:tc>
      </w:tr>
      <w:tr>
        <w:trPr>
          <w:trHeight w:val="163"/>
        </w:trPr>
        <w:tc>
          <w:tcPr>
            <w:tcW w:w="2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w w:val="99"/>
              </w:rPr>
              <w:t>Three months ended March</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31, 2018</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502,998</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27,875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338,239</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57,954</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(92,220)</w:t>
            </w:r>
          </w:p>
        </w:tc>
      </w:tr>
      <w:tr>
        <w:trPr>
          <w:trHeight w:val="33"/>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806,971</w:t>
            </w: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121" w:right="379" w:bottom="1440" w:gutter="0" w:footer="0" w:header="0"/>
        </w:sectPr>
      </w:pPr>
    </w:p>
    <w:bookmarkStart w:id="19" w:name="page20"/>
    <w:bookmarkEnd w:id="19"/>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factors expected to impact supply and demand, as well as our expectations about capital expenditures in 2019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2018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459"/>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40" w:firstLine="459"/>
        <w:spacing w:after="0" w:line="291" w:lineRule="auto"/>
        <w:rPr>
          <w:sz w:val="20"/>
          <w:szCs w:val="20"/>
          <w:color w:val="auto"/>
        </w:rPr>
      </w:pPr>
      <w:r>
        <w:rPr>
          <w:rFonts w:ascii="Arial" w:cs="Arial" w:eastAsia="Arial" w:hAnsi="Arial"/>
          <w:sz w:val="16"/>
          <w:szCs w:val="16"/>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global commodity supply/demand dynamics and estimates of resource production. As a result, demand for our hospitality services is largely sensitive to expected commodity prices, principally related to crude oil and metallurgical (met) coal.</w:t>
      </w:r>
    </w:p>
    <w:p>
      <w:pPr>
        <w:spacing w:after="0" w:line="167"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In Canada, Western Canadian Select (WCS) crude is the benchmark price for our oil sands customers. Pricing for WCS is driven by several factors, including the underlying price for West Texas Intermediate (WTI) crude, the availability of transportation infrastructure and recent actions by the Alberta provincial government to limit oil production from the province.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88" w:lineRule="exact"/>
        <w:rPr>
          <w:sz w:val="20"/>
          <w:szCs w:val="20"/>
          <w:color w:val="auto"/>
        </w:rPr>
      </w:pPr>
    </w:p>
    <w:p>
      <w:pPr>
        <w:jc w:val="both"/>
        <w:ind w:right="160" w:firstLine="459"/>
        <w:spacing w:after="0" w:line="279" w:lineRule="auto"/>
        <w:rPr>
          <w:sz w:val="20"/>
          <w:szCs w:val="20"/>
          <w:color w:val="auto"/>
        </w:rPr>
      </w:pPr>
      <w:r>
        <w:rPr>
          <w:rFonts w:ascii="Arial" w:cs="Arial" w:eastAsia="Arial" w:hAnsi="Arial"/>
          <w:sz w:val="17"/>
          <w:szCs w:val="17"/>
          <w:color w:val="auto"/>
        </w:rPr>
        <w:t>During the first quarter of 2016, global oil prices dropped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Although prices began to increase in 2016 and continued to increase through the third quarter of 2018, oil prices decreased again during the fourth quarter of 2018 but improved during the first quarter of 2019.</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ind w:right="40" w:firstLine="459"/>
        <w:spacing w:after="0" w:line="276" w:lineRule="auto"/>
        <w:rPr>
          <w:sz w:val="20"/>
          <w:szCs w:val="20"/>
          <w:color w:val="auto"/>
        </w:rPr>
      </w:pPr>
      <w:r>
        <w:rPr>
          <w:rFonts w:ascii="Arial" w:cs="Arial" w:eastAsia="Arial" w:hAnsi="Arial"/>
          <w:sz w:val="17"/>
          <w:szCs w:val="17"/>
          <w:color w:val="auto"/>
        </w:rPr>
        <w:t>WCS prices in the first quarter of 2019 averaged $44.49 per barrel compared to a low of $20.26 in the first quarter of 2016 and a high of $49.93 in the second quarter of 2018. The WCS Differential decreased from $15.75 per barrel at the end of the fourth quarter of 2018 to $9.28 at the end of the first quarter 2019. On December 2, 2018, the Government of Alberta announced it would mandate temporary curtailments of the province’s oil production. This curtailment resulted in a narrowing WCS Differential in December 2018, which ended the year at $15.75 per barrel, that has continued into the first quarter of 2019. As of April 22, 2019, the WTI price was $65.70 and the WCS price was $55.49, resulting in a WCS Differential of $10.21.</w:t>
      </w:r>
    </w:p>
    <w:p>
      <w:pPr>
        <w:spacing w:after="0" w:line="173" w:lineRule="exact"/>
        <w:rPr>
          <w:sz w:val="20"/>
          <w:szCs w:val="20"/>
          <w:color w:val="auto"/>
        </w:rPr>
      </w:pPr>
    </w:p>
    <w:p>
      <w:pPr>
        <w:ind w:right="20" w:firstLine="459"/>
        <w:spacing w:after="0" w:line="290" w:lineRule="auto"/>
        <w:rPr>
          <w:sz w:val="20"/>
          <w:szCs w:val="20"/>
          <w:color w:val="auto"/>
        </w:rPr>
      </w:pPr>
      <w:r>
        <w:rPr>
          <w:rFonts w:ascii="Arial" w:cs="Arial" w:eastAsia="Arial" w:hAnsi="Arial"/>
          <w:sz w:val="16"/>
          <w:szCs w:val="16"/>
          <w:color w:val="auto"/>
        </w:rPr>
        <w:t>There remains a risk that prices for Canadian oil sands crude oil related products could deteriorate for an extended period of time, and the discount between WCS crude prices and WTI crude prices could widen. The depressed price levels through the first quarter of 2016 negatively impacted exploration, development, maintenance and production spending and activity by Canadian operators and, therefore, demand for our hospitality services. Although we have seen an increase in oil prices since late 2016 through the first quarter of 2019, we are not expecting significant improvement in customer activity in the near-term, partially due to the volatility in the WCS Differential discussed above. The current outlook for expansionary projects in Canada is primarily related to proposed pipeline and in-situ oil sands projects. However, continued uncertainty and commodity price volatility and regulatory complications could cause our Canadian oil sands and pipeline customers to delay expansionary and maintenance spending and defer additional investments in their oil sands assets. Additionally, if oil prices decline, the resulting impact could negatively affect the value of our long-lived assets, including goodwill.</w:t>
      </w:r>
    </w:p>
    <w:p>
      <w:pPr>
        <w:spacing w:after="0" w:line="166"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Our Sitka Lodge, within our Canadian business, supports the British Columbia liquefied natural gas (LNG) market and related pipeline projects. From a macroeconomic standpoint, global LNG imports set a record in 2018, reaching 308 million tonnes per annum, up from 284 million tonnes per annum in 2017,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88" w:lineRule="exact"/>
        <w:rPr>
          <w:sz w:val="20"/>
          <w:szCs w:val="20"/>
          <w:color w:val="auto"/>
        </w:rPr>
      </w:pPr>
    </w:p>
    <w:p>
      <w:pPr>
        <w:ind w:right="280" w:firstLine="459"/>
        <w:spacing w:after="0" w:line="255" w:lineRule="auto"/>
        <w:rPr>
          <w:sz w:val="20"/>
          <w:szCs w:val="20"/>
          <w:color w:val="auto"/>
        </w:rPr>
      </w:pPr>
      <w:r>
        <w:rPr>
          <w:rFonts w:ascii="Arial" w:cs="Arial" w:eastAsia="Arial" w:hAnsi="Arial"/>
          <w:sz w:val="18"/>
          <w:szCs w:val="18"/>
          <w:color w:val="auto"/>
        </w:rPr>
        <w:t>Currently, Western Canada does not have any operational LNG export facilities. However, on October 1, 2018, LNG Canada (LNGC), a large LNG export project proposed by a joint venture between Shell Canada Energy, an affiliate of Royal Dutch Shell plc (40 percent), and affiliates of PETRONAS, through its wholly-owned entity, North Montney LNG Limited Partnership (25 percent), PetroChina (15 percent), Korea Gas Corporation (5 percent) and Mitsubishi Corporation (15 percent), announced that a positive final investment decision (FID) had been reached on the proposed Kitimat liquefaction and export facility in Kitimat, British Columbia (Kitimat LNG Facility). With the project moving forward, British Columbia LNG activity and related pipeline projects could become a material driver of future activity for our Sitka Lodge, as well as for our mobile fleet assets, which are well suited for the related pipeline construction activity.</w:t>
      </w:r>
    </w:p>
    <w:p>
      <w:pPr>
        <w:spacing w:after="0" w:line="189" w:lineRule="exact"/>
        <w:rPr>
          <w:sz w:val="20"/>
          <w:szCs w:val="20"/>
          <w:color w:val="auto"/>
        </w:rPr>
      </w:pPr>
    </w:p>
    <w:p>
      <w:pPr>
        <w:ind w:right="100" w:firstLine="459"/>
        <w:spacing w:after="0" w:line="270" w:lineRule="auto"/>
        <w:rPr>
          <w:sz w:val="20"/>
          <w:szCs w:val="20"/>
          <w:color w:val="auto"/>
        </w:rPr>
      </w:pPr>
      <w:r>
        <w:rPr>
          <w:rFonts w:ascii="Arial" w:cs="Arial" w:eastAsia="Arial" w:hAnsi="Arial"/>
          <w:sz w:val="17"/>
          <w:szCs w:val="17"/>
          <w:color w:val="auto"/>
        </w:rPr>
        <w:t>Our U.S. business supports oil shale drilling and completion activity and is primarily tied to WTI oil prices in the U.S. shale formations in West Texas, the mid Continent, the Bakken and the Rockies. With the recovery in oil prices through the third quarter of 2018, coupled with ample capital availability for U.S. E&amp;P companies, oil shale drilling and completion activity in the U.S. significantly increased in 2018. The U.S. oil rig count has increased from its low of 316 rigs in May 2016 to over 1,050 during 2018, and currently 1,006 oil and gas rigs were active at the end of the first quarter of 2019. Further, this activity in the U.S. increased oil production from an average of 9.3 million barrels per day in 2017 to an average of 10.8 million barrels per day in 2018 and 11.9 million barrels per day in January 2019. With the fall in WTI oil prices in the fourth quarter of 2018 and a call by investors for U.S. E&amp;P companies to generate free cash flow, the U.S. rig count has drifted lower. As of April 18, 2019, there were 825 active oil rigs in the U.S. (as measured by Bakerhughes.com). U.S. oil shale drilling and completion activity will continue to be dependent on sustained higher WTI oil prices, pipeline capacity and sufficient capital to support E&amp;P drilling and completion plans.</w:t>
      </w:r>
    </w:p>
    <w:p>
      <w:pPr>
        <w:spacing w:after="0" w:line="182" w:lineRule="exact"/>
        <w:rPr>
          <w:sz w:val="20"/>
          <w:szCs w:val="20"/>
          <w:color w:val="auto"/>
        </w:rPr>
      </w:pPr>
    </w:p>
    <w:p>
      <w:pPr>
        <w:ind w:right="120" w:firstLine="459"/>
        <w:spacing w:after="0" w:line="291" w:lineRule="auto"/>
        <w:rPr>
          <w:sz w:val="20"/>
          <w:szCs w:val="20"/>
          <w:color w:val="auto"/>
        </w:rPr>
      </w:pPr>
      <w:r>
        <w:rPr>
          <w:rFonts w:ascii="Arial" w:cs="Arial" w:eastAsia="Arial" w:hAnsi="Arial"/>
          <w:sz w:val="16"/>
          <w:szCs w:val="16"/>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3.8% during the two months ended February 28, 2019 compared to the two months ended February 28, 2018. As of April 22, 2019, met coal spot prices were $204.00 per metric tonne. Current met coal pricing levels have not led our customers to approve many significant new projects. We expect that customers will look for a period of sustained higher prices before the volume of new projects being approved increases. Long-term demand for steel is expected to be driven by increased steel consumption per capita in developing economies, such as China and India, whose current consumption per capita is a fraction of developed countries. Our customers continue to actively implement cost, productivity and efficiency measures to further drive down their cost base.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t>Recent WTI crude, WCS crude and met coal pricing trends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Average Price (1)</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rPr>
              <w:t>WTI</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WCS</w:t>
            </w:r>
          </w:p>
        </w:tc>
        <w:tc>
          <w:tcPr>
            <w:tcW w:w="300" w:type="dxa"/>
            <w:vAlign w:val="bottom"/>
          </w:tcPr>
          <w:p>
            <w:pPr>
              <w:spacing w:after="0"/>
              <w:rPr>
                <w:sz w:val="13"/>
                <w:szCs w:val="13"/>
                <w:color w:val="auto"/>
              </w:rPr>
            </w:pPr>
          </w:p>
        </w:tc>
        <w:tc>
          <w:tcPr>
            <w:tcW w:w="1460" w:type="dxa"/>
            <w:vAlign w:val="bottom"/>
          </w:tcPr>
          <w:p>
            <w:pPr>
              <w:jc w:val="center"/>
              <w:ind w:right="228"/>
              <w:spacing w:after="0" w:line="153" w:lineRule="exact"/>
              <w:rPr>
                <w:sz w:val="20"/>
                <w:szCs w:val="20"/>
                <w:color w:val="auto"/>
              </w:rPr>
            </w:pPr>
            <w:r>
              <w:rPr>
                <w:rFonts w:ascii="Arial" w:cs="Arial" w:eastAsia="Arial" w:hAnsi="Arial"/>
                <w:sz w:val="14"/>
                <w:szCs w:val="14"/>
                <w:b w:val="1"/>
                <w:bCs w:val="1"/>
                <w:color w:val="auto"/>
              </w:rPr>
              <w:t>Hard</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Quarter</w:t>
            </w:r>
          </w:p>
        </w:tc>
        <w:tc>
          <w:tcPr>
            <w:tcW w:w="12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2"/>
              </w:rPr>
              <w:t>Coking Coal</w:t>
            </w:r>
          </w:p>
        </w:tc>
        <w:tc>
          <w:tcPr>
            <w:tcW w:w="0" w:type="dxa"/>
            <w:vAlign w:val="bottom"/>
          </w:tcPr>
          <w:p>
            <w:pPr>
              <w:spacing w:after="0"/>
              <w:rPr>
                <w:sz w:val="1"/>
                <w:szCs w:val="1"/>
                <w:color w:val="auto"/>
              </w:rPr>
            </w:pPr>
          </w:p>
        </w:tc>
      </w:tr>
      <w:tr>
        <w:trPr>
          <w:trHeight w:val="149"/>
        </w:trPr>
        <w:tc>
          <w:tcPr>
            <w:tcW w:w="3820" w:type="dxa"/>
            <w:vAlign w:val="bottom"/>
            <w:gridSpan w:val="2"/>
            <w:vMerge w:val="continue"/>
          </w:tcPr>
          <w:p>
            <w:pPr>
              <w:spacing w:after="0"/>
              <w:rPr>
                <w:sz w:val="12"/>
                <w:szCs w:val="12"/>
                <w:color w:val="auto"/>
              </w:rPr>
            </w:pPr>
          </w:p>
        </w:tc>
        <w:tc>
          <w:tcPr>
            <w:tcW w:w="124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8"/>
              </w:rPr>
              <w:t>Crude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Crude</w:t>
            </w:r>
          </w:p>
        </w:tc>
        <w:tc>
          <w:tcPr>
            <w:tcW w:w="300" w:type="dxa"/>
            <w:vAlign w:val="bottom"/>
          </w:tcPr>
          <w:p>
            <w:pPr>
              <w:spacing w:after="0"/>
              <w:rPr>
                <w:sz w:val="12"/>
                <w:szCs w:val="12"/>
                <w:color w:val="auto"/>
              </w:rPr>
            </w:pPr>
          </w:p>
        </w:tc>
        <w:tc>
          <w:tcPr>
            <w:tcW w:w="146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(Met Coal)</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6"/>
              </w:rPr>
              <w:t>(per bbl)</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(per bbl)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2"/>
              </w:rPr>
              <w:t>(per tonne)</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Second Quarter through 4/22/2019</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3/31/2019</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54.87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44.49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187.00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9/30/2018</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69.61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41.58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6/30/2018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3/31/2018</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62.89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37.09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235.00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192.00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9/30/2017</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48.16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37.72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170.00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6/30/2017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193.50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3/31/2017</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51.70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38.09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285.00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9/30/2016</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44.88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30.67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92.50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6/30/2016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258"/>
        </w:trPr>
        <w:tc>
          <w:tcPr>
            <w:tcW w:w="3700" w:type="dxa"/>
            <w:vAlign w:val="bottom"/>
          </w:tcPr>
          <w:p>
            <w:pPr>
              <w:jc w:val="center"/>
              <w:spacing w:after="0"/>
              <w:rPr>
                <w:sz w:val="20"/>
                <w:szCs w:val="20"/>
                <w:color w:val="auto"/>
              </w:rPr>
            </w:pPr>
            <w:r>
              <w:rPr>
                <w:rFonts w:ascii="Arial" w:cs="Arial" w:eastAsia="Arial" w:hAnsi="Arial"/>
                <w:sz w:val="14"/>
                <w:szCs w:val="14"/>
                <w:color w:val="auto"/>
                <w:w w:val="96"/>
              </w:rPr>
              <w:t>3/31/2016</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33.41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81.00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right="6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and WCS crude prices and Seaborne hard coking coal contract prices are from Bloomberg.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459"/>
        <w:spacing w:after="0" w:line="342" w:lineRule="auto"/>
        <w:rPr>
          <w:sz w:val="20"/>
          <w:szCs w:val="20"/>
          <w:color w:val="auto"/>
        </w:rPr>
      </w:pPr>
      <w:r>
        <w:rPr>
          <w:rFonts w:ascii="Arial" w:cs="Arial" w:eastAsia="Arial" w:hAnsi="Arial"/>
          <w:sz w:val="16"/>
          <w:szCs w:val="16"/>
          <w:color w:val="auto"/>
        </w:rPr>
        <w:t>As noted above, demand for our hospitality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natural resource companies who are developing and producing oil sands and met coal resources and, to a lesser extent, other hydrocarbon and mineral resources. More than 80% of our revenue is generated by our lodges and villages.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93" w:lineRule="exact"/>
        <w:rPr>
          <w:sz w:val="20"/>
          <w:szCs w:val="20"/>
          <w:color w:val="auto"/>
        </w:rPr>
      </w:pPr>
    </w:p>
    <w:p>
      <w:pPr>
        <w:ind w:right="200" w:firstLine="459"/>
        <w:spacing w:after="0" w:line="34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24" w:lineRule="exact"/>
        <w:rPr>
          <w:sz w:val="20"/>
          <w:szCs w:val="20"/>
          <w:color w:val="auto"/>
        </w:rPr>
      </w:pPr>
    </w:p>
    <w:p>
      <w:pPr>
        <w:ind w:right="20" w:firstLine="459"/>
        <w:spacing w:after="0" w:line="264" w:lineRule="auto"/>
        <w:rPr>
          <w:sz w:val="20"/>
          <w:szCs w:val="20"/>
          <w:color w:val="auto"/>
        </w:rPr>
      </w:pPr>
      <w:r>
        <w:rPr>
          <w:rFonts w:ascii="Arial" w:cs="Arial" w:eastAsia="Arial" w:hAnsi="Arial"/>
          <w:sz w:val="18"/>
          <w:szCs w:val="18"/>
          <w:color w:val="auto"/>
        </w:rPr>
        <w:t>During the period of low crude oil prices that extended through the first quarter of 2016, many of our customers in Canada curtailed their operations and spending, and most major oil sands mining operators began reducing their costs and limiting capital spending, thereby limiting the demand for hospitality services of the kind we provide.</w:t>
      </w:r>
    </w:p>
    <w:p>
      <w:pPr>
        <w:spacing w:after="0" w:line="181" w:lineRule="exact"/>
        <w:rPr>
          <w:sz w:val="20"/>
          <w:szCs w:val="20"/>
          <w:color w:val="auto"/>
        </w:rPr>
      </w:pPr>
    </w:p>
    <w:p>
      <w:pPr>
        <w:ind w:firstLine="459"/>
        <w:spacing w:after="0" w:line="289" w:lineRule="auto"/>
        <w:rPr>
          <w:sz w:val="20"/>
          <w:szCs w:val="20"/>
          <w:color w:val="auto"/>
        </w:rPr>
      </w:pPr>
      <w:r>
        <w:rPr>
          <w:rFonts w:ascii="Arial" w:cs="Arial" w:eastAsia="Arial" w:hAnsi="Arial"/>
          <w:sz w:val="16"/>
          <w:szCs w:val="16"/>
          <w:color w:val="auto"/>
        </w:rPr>
        <w:t>In the last several years, however, several catalysts have emerged that we believe could have favorable intermediate to long-term implications for our core end markets. Since the announcement by OPEC in late November 2016 to cut production quotas and the subsequent rise in spot oil prices and future oil price expectations, certain operators with steam-assisted gravity drainage operations in the Canadian oil sands increased capital spending in 2017. Despite construction at the Fort Hill Energy LP project ending in early 2018, Canadian oil sands capital spending in 2018 has been relatively flat, in the aggregate. OPEC announced additional production cuts in late 2018 in an effort to further support global oil prices. Also on December 2, 2018, the Government of Alberta announced it would mandate temporary curtailments of the province’s oil production, which has helped increase WCS prices. Recent regulatory approvals of several major pipeline projects have the potential to both drive incremental demand for mobile accommodations assets and to improve take-away capacity for Canadian oil sands producers over the longer term. However, these projects have been delayed due to the lack of agreement between the Canadian federal government, which supports the pipeline projects, and the British Columbia provincial government. The Canadian federal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00" w:right="259" w:bottom="1440" w:gutter="0" w:footer="0" w:header="0"/>
        </w:sectPr>
      </w:pPr>
    </w:p>
    <w:bookmarkStart w:id="22" w:name="page23"/>
    <w:bookmarkEnd w:id="22"/>
    <w:p>
      <w:pPr>
        <w:jc w:val="both"/>
        <w:ind w:right="200"/>
        <w:spacing w:after="0" w:line="264" w:lineRule="auto"/>
        <w:rPr>
          <w:sz w:val="20"/>
          <w:szCs w:val="20"/>
          <w:color w:val="auto"/>
        </w:rPr>
      </w:pPr>
      <w:r>
        <w:rPr>
          <w:rFonts w:ascii="Arial" w:cs="Arial" w:eastAsia="Arial" w:hAnsi="Arial"/>
          <w:sz w:val="18"/>
          <w:szCs w:val="18"/>
          <w:color w:val="auto"/>
        </w:rPr>
        <w:t>government recently acquired Kinder Morgan’s Trans Mountain Pipeline, emphasizing their support for this particular project. Additionally, we believe that the Keystone XL pipeline in the U.S., if constructed, would be a positive catalyst for Canadian oil sands producers, as it would bolster confidence in future take-away capacity from the region to U.S. Gulf Coast refineries.</w:t>
      </w:r>
    </w:p>
    <w:p>
      <w:pPr>
        <w:spacing w:after="0" w:line="181"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In Australia, approximately 80% of our rooms are located in the Bowen Basin and primarily serve met coal mines in that region, where our customers continue to implement operational efficiency measures, in order to drive down their cost base. We believe prices are currently at a level that may contribute to increased activity over the long term if our customers view these price levels as sustainable.</w:t>
      </w:r>
    </w:p>
    <w:p>
      <w:pPr>
        <w:spacing w:after="0" w:line="181" w:lineRule="exact"/>
        <w:rPr>
          <w:sz w:val="20"/>
          <w:szCs w:val="20"/>
          <w:color w:val="auto"/>
        </w:rPr>
      </w:pPr>
    </w:p>
    <w:p>
      <w:pPr>
        <w:ind w:right="260" w:firstLine="459"/>
        <w:spacing w:after="0" w:line="259" w:lineRule="auto"/>
        <w:rPr>
          <w:sz w:val="20"/>
          <w:szCs w:val="20"/>
          <w:color w:val="auto"/>
        </w:rPr>
      </w:pPr>
      <w:r>
        <w:rPr>
          <w:rFonts w:ascii="Arial" w:cs="Arial" w:eastAsia="Arial" w:hAnsi="Arial"/>
          <w:sz w:val="18"/>
          <w:szCs w:val="18"/>
          <w:color w:val="auto"/>
        </w:rPr>
        <w:t>While we believe that these macroeconomic developments are positive for our customers and for the underlying demand for our hospitality services, we do not expect an immediate improvement in our business. Accordingly, we plan to continue focusing on enhancing the quality of our operations, maintaining financial discipline, proactively managing our business as market conditions continue to evolve and integrating the recently acquired Noralta assets into our business.</w:t>
      </w:r>
    </w:p>
    <w:p>
      <w:pPr>
        <w:spacing w:after="0" w:line="187" w:lineRule="exact"/>
        <w:rPr>
          <w:sz w:val="20"/>
          <w:szCs w:val="20"/>
          <w:color w:val="auto"/>
        </w:rPr>
      </w:pPr>
    </w:p>
    <w:p>
      <w:pPr>
        <w:ind w:right="20" w:firstLine="459"/>
        <w:spacing w:after="0" w:line="279" w:lineRule="auto"/>
        <w:rPr>
          <w:sz w:val="20"/>
          <w:szCs w:val="20"/>
          <w:color w:val="auto"/>
        </w:rPr>
      </w:pPr>
      <w:r>
        <w:rPr>
          <w:rFonts w:ascii="Arial" w:cs="Arial" w:eastAsia="Arial" w:hAnsi="Arial"/>
          <w:sz w:val="17"/>
          <w:szCs w:val="17"/>
          <w:color w:val="auto"/>
        </w:rPr>
        <w:t>We began the expansion of our room count in Kitimat, British Columbia during the second half of 2015 to support potential LNG projects on the west coast of British Columbia. We were awarded a contract with LNGC for the provision of open lodge rooms and associated services that ran through October 2017. To support this contract, we developed a new accommodations facility, Sitka Lodge, which includes private washrooms, recreational facilities and other amenities. This lodge currently has 754 rooms, with the potential to expand to serve future accommodations demand in the region.</w:t>
      </w:r>
    </w:p>
    <w:p>
      <w:pPr>
        <w:spacing w:after="0" w:line="171"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As previously discussed, on October 1, 2018, LNGC's participants announced a positive FID on the Kitimat LNG Facility. With the project moving forward, British Columbia LNG activity and related pipeline projects could become a material driver of future activity for our Sitka Lodge, as well as for our mobile camp assets, which are well suited for the related pipeline construction activity. We previously announced contract awards for locations along the CGL pipeline project and room commitments for our Sitka Lodge. The actual timing of when revenue is realized from the CGL pipeline and Sitka Lodge contracts could be impacted by any delays in the construction of the Kitimat LNG Facility.</w:t>
      </w:r>
    </w:p>
    <w:p>
      <w:pPr>
        <w:spacing w:after="0" w:line="188" w:lineRule="exact"/>
        <w:rPr>
          <w:sz w:val="20"/>
          <w:szCs w:val="20"/>
          <w:color w:val="auto"/>
        </w:rPr>
      </w:pPr>
    </w:p>
    <w:p>
      <w:pPr>
        <w:ind w:right="160" w:firstLine="459"/>
        <w:spacing w:after="0" w:line="259" w:lineRule="auto"/>
        <w:rPr>
          <w:sz w:val="20"/>
          <w:szCs w:val="20"/>
          <w:color w:val="auto"/>
        </w:rPr>
      </w:pPr>
      <w:r>
        <w:rPr>
          <w:rFonts w:ascii="Arial" w:cs="Arial" w:eastAsia="Arial" w:hAnsi="Arial"/>
          <w:sz w:val="18"/>
          <w:szCs w:val="18"/>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 losses are translated into U.S. dollars for U.S. GAAP financial reporting purposes. The following tables summarize the fluctuations in the exchange rates between the U.S. dollar and each of the Canadian dollar and the Australian dollar:</w:t>
      </w:r>
    </w:p>
    <w:p>
      <w:pPr>
        <w:spacing w:after="0" w:line="129"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7"/>
        </w:trPr>
        <w:tc>
          <w:tcPr>
            <w:tcW w:w="1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Canadian dollar to U.S. dollar</w:t>
            </w:r>
          </w:p>
        </w:tc>
        <w:tc>
          <w:tcPr>
            <w:tcW w:w="1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$0.752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$0.791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8"/>
                <w:szCs w:val="18"/>
                <w:color w:val="auto"/>
                <w:w w:val="91"/>
              </w:rPr>
              <w:t>(0.039)</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51"/>
              <w:spacing w:after="0"/>
              <w:rPr>
                <w:sz w:val="20"/>
                <w:szCs w:val="20"/>
                <w:color w:val="auto"/>
              </w:rPr>
            </w:pPr>
            <w:r>
              <w:rPr>
                <w:rFonts w:ascii="Arial" w:cs="Arial" w:eastAsia="Arial" w:hAnsi="Arial"/>
                <w:sz w:val="18"/>
                <w:szCs w:val="18"/>
                <w:color w:val="auto"/>
                <w:w w:val="94"/>
              </w:rPr>
              <w:t>(4.9)%</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Average Australian dollar to U.S. dollar</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$0.712</w:t>
            </w:r>
          </w:p>
        </w:tc>
        <w:tc>
          <w:tcPr>
            <w:tcW w:w="1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$0.786</w:t>
            </w:r>
          </w:p>
        </w:tc>
        <w:tc>
          <w:tcPr>
            <w:tcW w:w="100" w:type="dxa"/>
            <w:vAlign w:val="bottom"/>
          </w:tcPr>
          <w:p>
            <w:pPr>
              <w:spacing w:after="0"/>
              <w:rPr>
                <w:sz w:val="21"/>
                <w:szCs w:val="21"/>
                <w:color w:val="auto"/>
              </w:rPr>
            </w:pPr>
          </w:p>
        </w:tc>
        <w:tc>
          <w:tcPr>
            <w:tcW w:w="1120" w:type="dxa"/>
            <w:vAlign w:val="bottom"/>
          </w:tcPr>
          <w:p>
            <w:pPr>
              <w:jc w:val="center"/>
              <w:ind w:left="71"/>
              <w:spacing w:after="0"/>
              <w:rPr>
                <w:sz w:val="20"/>
                <w:szCs w:val="20"/>
                <w:color w:val="auto"/>
              </w:rPr>
            </w:pPr>
            <w:r>
              <w:rPr>
                <w:rFonts w:ascii="Arial" w:cs="Arial" w:eastAsia="Arial" w:hAnsi="Arial"/>
                <w:sz w:val="18"/>
                <w:szCs w:val="18"/>
                <w:color w:val="auto"/>
                <w:w w:val="91"/>
              </w:rPr>
              <w:t>(0.074)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center"/>
              <w:ind w:left="51"/>
              <w:spacing w:after="0"/>
              <w:rPr>
                <w:sz w:val="20"/>
                <w:szCs w:val="20"/>
                <w:color w:val="auto"/>
              </w:rPr>
            </w:pPr>
            <w:r>
              <w:rPr>
                <w:rFonts w:ascii="Arial" w:cs="Arial" w:eastAsia="Arial" w:hAnsi="Arial"/>
                <w:sz w:val="18"/>
                <w:szCs w:val="18"/>
                <w:color w:val="auto"/>
                <w:w w:val="94"/>
              </w:rPr>
              <w:t>(9.4)%</w:t>
            </w:r>
          </w:p>
        </w:tc>
        <w:tc>
          <w:tcPr>
            <w:tcW w:w="140" w:type="dxa"/>
            <w:vAlign w:val="bottom"/>
          </w:tcPr>
          <w:p>
            <w:pPr>
              <w:spacing w:after="0"/>
              <w:rPr>
                <w:sz w:val="21"/>
                <w:szCs w:val="21"/>
                <w:color w:val="auto"/>
              </w:rPr>
            </w:pPr>
          </w:p>
        </w:tc>
      </w:tr>
      <w:tr>
        <w:trPr>
          <w:trHeight w:val="621"/>
        </w:trPr>
        <w:tc>
          <w:tcPr>
            <w:tcW w:w="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ind w:left="82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
        </w:trPr>
        <w:tc>
          <w:tcPr>
            <w:tcW w:w="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1"/>
        </w:trPr>
        <w:tc>
          <w:tcPr>
            <w:tcW w:w="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2019</w:t>
            </w:r>
          </w:p>
        </w:tc>
        <w:tc>
          <w:tcPr>
            <w:tcW w:w="1680" w:type="dxa"/>
            <w:vAlign w:val="bottom"/>
            <w:gridSpan w:val="5"/>
          </w:tcPr>
          <w:p>
            <w:pPr>
              <w:ind w:left="40"/>
              <w:spacing w:after="0"/>
              <w:rPr>
                <w:sz w:val="20"/>
                <w:szCs w:val="20"/>
                <w:color w:val="auto"/>
              </w:rPr>
            </w:pPr>
            <w:r>
              <w:rPr>
                <w:rFonts w:ascii="Arial" w:cs="Arial" w:eastAsia="Arial" w:hAnsi="Arial"/>
                <w:sz w:val="16"/>
                <w:szCs w:val="16"/>
                <w:b w:val="1"/>
                <w:bCs w:val="1"/>
                <w:color w:val="auto"/>
              </w:rPr>
              <w:t>December 31, 2018</w:t>
            </w:r>
          </w:p>
        </w:tc>
        <w:tc>
          <w:tcPr>
            <w:tcW w:w="136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88"/>
              </w:rPr>
              <w:t>Change</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Percentage</w:t>
            </w:r>
          </w:p>
        </w:tc>
      </w:tr>
      <w:tr>
        <w:trPr>
          <w:trHeight w:val="33"/>
        </w:trPr>
        <w:tc>
          <w:tcPr>
            <w:tcW w:w="14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Canadian dollar to U.S. dollar</w:t>
            </w: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$0.748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88"/>
              </w:rPr>
              <w:t>0.015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40" w:type="dxa"/>
            <w:vAlign w:val="bottom"/>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Australian dollar to U.S. dollar</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$0.710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$0.705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31"/>
              <w:spacing w:after="0"/>
              <w:rPr>
                <w:sz w:val="20"/>
                <w:szCs w:val="20"/>
                <w:color w:val="auto"/>
              </w:rPr>
            </w:pPr>
            <w:r>
              <w:rPr>
                <w:rFonts w:ascii="Arial" w:cs="Arial" w:eastAsia="Arial" w:hAnsi="Arial"/>
                <w:sz w:val="18"/>
                <w:szCs w:val="18"/>
                <w:color w:val="auto"/>
                <w:w w:val="88"/>
              </w:rPr>
              <w:t>0.005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40" w:type="dxa"/>
            <w:vAlign w:val="bottom"/>
          </w:tcPr>
          <w:p>
            <w:pPr>
              <w:spacing w:after="0"/>
              <w:rPr>
                <w:sz w:val="21"/>
                <w:szCs w:val="21"/>
                <w:color w:val="auto"/>
              </w:rPr>
            </w:pPr>
          </w:p>
        </w:tc>
      </w:tr>
    </w:tbl>
    <w:p>
      <w:pPr>
        <w:spacing w:after="0" w:line="229" w:lineRule="exact"/>
        <w:rPr>
          <w:sz w:val="20"/>
          <w:szCs w:val="20"/>
          <w:color w:val="auto"/>
        </w:rPr>
      </w:pPr>
    </w:p>
    <w:p>
      <w:pPr>
        <w:ind w:right="220" w:firstLine="459"/>
        <w:spacing w:after="0" w:line="277" w:lineRule="auto"/>
        <w:rPr>
          <w:sz w:val="20"/>
          <w:szCs w:val="20"/>
          <w:color w:val="auto"/>
        </w:rPr>
      </w:pPr>
      <w:r>
        <w:rPr>
          <w:rFonts w:ascii="Arial" w:cs="Arial" w:eastAsia="Arial" w:hAnsi="Arial"/>
          <w:sz w:val="18"/>
          <w:szCs w:val="18"/>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70" w:lineRule="exact"/>
        <w:rPr>
          <w:sz w:val="20"/>
          <w:szCs w:val="20"/>
          <w:color w:val="auto"/>
        </w:rPr>
      </w:pPr>
    </w:p>
    <w:p>
      <w:pPr>
        <w:ind w:right="220" w:firstLine="459"/>
        <w:spacing w:after="0" w:line="259" w:lineRule="auto"/>
        <w:rPr>
          <w:sz w:val="20"/>
          <w:szCs w:val="20"/>
          <w:color w:val="auto"/>
        </w:rPr>
      </w:pPr>
      <w:r>
        <w:rPr>
          <w:rFonts w:ascii="Arial" w:cs="Arial" w:eastAsia="Arial" w:hAnsi="Arial"/>
          <w:sz w:val="18"/>
          <w:szCs w:val="18"/>
          <w:color w:val="auto"/>
        </w:rPr>
        <w:t>We continue to monitor the global economy, the demand for crude oil and met coal and the resultant impact on the capital spending plans of our customers in order to plan our business activities. We currently expect that our 2019 capital expenditures, exclusive of any business acquisitions, will total approximately $40 million to $45 million, compared to 2018 capital expenditures of $17.1 million. Please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further discussion of 2019 capital expenditures.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135"/>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three-month period ended March 31, 2019, is based on a comparison to the corresponding periods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March 31, 2019 Compared to Three Months Ended March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5"/>
              </w:rPr>
              <w:t>March 31,</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312"/>
        </w:trPr>
        <w:tc>
          <w:tcPr>
            <w:tcW w:w="5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tcPr>
          <w:p>
            <w:pPr>
              <w:ind w:left="40"/>
              <w:spacing w:after="0"/>
              <w:rPr>
                <w:sz w:val="20"/>
                <w:szCs w:val="20"/>
                <w:color w:val="auto"/>
              </w:rPr>
            </w:pPr>
            <w:r>
              <w:rPr>
                <w:rFonts w:ascii="Arial" w:cs="Arial" w:eastAsia="Arial" w:hAnsi="Arial"/>
                <w:sz w:val="14"/>
                <w:szCs w:val="14"/>
                <w:color w:val="auto"/>
              </w:rPr>
              <w:t>Revenues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66,770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3,380</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28,421</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27,875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546</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 and other</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13,359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10,239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3,120</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4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108,550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101,504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7,046</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Cost of sales and services</w:t>
            </w: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54,647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51,896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2,751</w:t>
            </w: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14,999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15,333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(334)</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United States and other</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9,984</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10,472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w:t>
            </w:r>
          </w:p>
        </w:tc>
      </w:tr>
      <w:tr>
        <w:trPr>
          <w:trHeight w:val="250"/>
        </w:trPr>
        <w:tc>
          <w:tcPr>
            <w:tcW w:w="5040" w:type="dxa"/>
            <w:vAlign w:val="bottom"/>
          </w:tcPr>
          <w:p>
            <w:pPr>
              <w:ind w:left="500"/>
              <w:spacing w:after="0"/>
              <w:rPr>
                <w:sz w:val="20"/>
                <w:szCs w:val="20"/>
                <w:color w:val="auto"/>
              </w:rPr>
            </w:pPr>
            <w:r>
              <w:rPr>
                <w:rFonts w:ascii="Arial" w:cs="Arial" w:eastAsia="Arial" w:hAnsi="Arial"/>
                <w:sz w:val="14"/>
                <w:szCs w:val="14"/>
                <w:color w:val="auto"/>
              </w:rPr>
              <w:t>Total cost of sales and services</w:t>
            </w:r>
          </w:p>
        </w:tc>
        <w:tc>
          <w:tcPr>
            <w:tcW w:w="4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79,630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77,701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1,929</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16,096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30,782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30,764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4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(28,661)</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 expense (income)</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r>
      <w:tr>
        <w:trPr>
          <w:trHeight w:val="25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costs and expenses</w:t>
            </w: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126,443</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154,019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(27,576)</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(17,893)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(52,515)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34,622</w:t>
            </w:r>
          </w:p>
        </w:tc>
      </w:tr>
      <w:tr>
        <w:trPr>
          <w:trHeight w:val="276"/>
        </w:trPr>
        <w:tc>
          <w:tcPr>
            <w:tcW w:w="5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expense and income, net</w:t>
            </w: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(6,608)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(844)</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2,978</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719</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Loss before income taxes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(21,523)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34,497</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4,484</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3,799</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(17,039)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(55,335)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38,296</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w:t>
            </w:r>
          </w:p>
        </w:tc>
        <w:tc>
          <w:tcPr>
            <w:tcW w:w="44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Corporation</w:t>
            </w:r>
          </w:p>
        </w:tc>
        <w:tc>
          <w:tcPr>
            <w:tcW w:w="4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(55,457)</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38,418</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attributable to preferred shares</w:t>
            </w: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r>
      <w:tr>
        <w:trPr>
          <w:trHeight w:val="243"/>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common shareholders</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(17,498)</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(55,457)</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37,959</w:t>
            </w:r>
          </w:p>
        </w:tc>
      </w:tr>
      <w:tr>
        <w:trPr>
          <w:trHeight w:val="20"/>
        </w:trPr>
        <w:tc>
          <w:tcPr>
            <w:tcW w:w="5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reported net loss attributable to Civeo for the quarter ended March 31, 2019 of $17.5 million, or $0.11 per diluted share.</w:t>
      </w:r>
    </w:p>
    <w:p>
      <w:pPr>
        <w:spacing w:after="0" w:line="225" w:lineRule="exact"/>
        <w:rPr>
          <w:sz w:val="20"/>
          <w:szCs w:val="20"/>
          <w:color w:val="auto"/>
        </w:rPr>
      </w:pPr>
    </w:p>
    <w:p>
      <w:pPr>
        <w:ind w:right="120" w:firstLine="459"/>
        <w:spacing w:after="0" w:line="259" w:lineRule="auto"/>
        <w:rPr>
          <w:sz w:val="20"/>
          <w:szCs w:val="20"/>
          <w:color w:val="auto"/>
        </w:rPr>
      </w:pPr>
      <w:r>
        <w:rPr>
          <w:rFonts w:ascii="Arial" w:cs="Arial" w:eastAsia="Arial" w:hAnsi="Arial"/>
          <w:sz w:val="18"/>
          <w:szCs w:val="18"/>
          <w:color w:val="auto"/>
        </w:rPr>
        <w:t>We reported net loss attributable to Civeo for the quarter ended March 31, 2018 of $55.5 million, or $0.42 per diluted share. As further discussed below, net loss for the first quarter of 2018 included (i) a $28.7 million pre-tax loss ($28.7 million after-tax, or $0.22 per diluted share) resulting from the impairment of fixed assets included in Impairment expense, and (ii) costs totaling $1.0 million ($1.0 million after-tax, or $0.01 per diluted share) incurred in connection with the Noralta acquisition, included in SG&amp;A expense below.</w:t>
      </w:r>
    </w:p>
    <w:p>
      <w:pPr>
        <w:spacing w:after="0" w:line="183" w:lineRule="exact"/>
        <w:rPr>
          <w:sz w:val="20"/>
          <w:szCs w:val="20"/>
          <w:color w:val="auto"/>
        </w:rPr>
      </w:pPr>
    </w:p>
    <w:p>
      <w:pPr>
        <w:ind w:firstLine="459"/>
        <w:spacing w:after="0" w:line="25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increased $7.0 million, or 7%, in the first quarter of 2019 compared to the first quarter of 2018. This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increases in Canada due to the completion of the acquisition of Noralta Lodge Ltd. (Noralta) in the second quarter of 2018 and increased food service and other services revenue in the first quarter of 2019 compared to the first quarter of 2018. Additionally, higher activity levels in certain markets in Australia and the U.S. contributed to increased revenues. This was partially offset by weaker Canadian and Australian dollars relative to the U.S. dollar and lower mobile facility rental revenue in the first quarter of 2019 compared to the first quarter of 2018. Please see the discussion of segment results of operations below for further information.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96" w:right="259" w:bottom="1440" w:gutter="0" w:footer="0" w:header="0"/>
        </w:sectPr>
      </w:pPr>
    </w:p>
    <w:bookmarkStart w:id="24" w:name="page25"/>
    <w:bookmarkEnd w:id="24"/>
    <w:p>
      <w:pPr>
        <w:ind w:firstLine="459"/>
        <w:spacing w:after="0" w:line="258"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increased $1.9 million, or 2%, in the first quarter of 2019 compared to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2018, primarily due to increases in Canada due to the Noralta acquisition in the second quarter of 2018 and increased food service and other services revenue in the first quarter of 2019 compared to the first quarter of 2018. This was partially offset by weaker Canadian and Australian dollars relative to the U.S. dollar and lower mobile facility rental activity in the first quarter of 2019 compared to the first quarter of 2018. Please see the discussion of segment results of operations below for further description.</w:t>
      </w:r>
    </w:p>
    <w:p>
      <w:pPr>
        <w:spacing w:after="0" w:line="184" w:lineRule="exact"/>
        <w:rPr>
          <w:sz w:val="20"/>
          <w:szCs w:val="20"/>
          <w:color w:val="auto"/>
        </w:rPr>
      </w:pPr>
    </w:p>
    <w:p>
      <w:pPr>
        <w:ind w:right="460" w:firstLine="459"/>
        <w:spacing w:after="0" w:line="282"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decreased $0.4 million, or 3%, in the first quarter of 2019 compared to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 This decrease was primarily due to lower professional fees.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was flat in the first quarter of 2019 compared to the first quarter of</w:t>
      </w:r>
    </w:p>
    <w:p>
      <w:pPr>
        <w:spacing w:after="0" w:line="50"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color w:val="auto"/>
        </w:rPr>
        <w:t>2018. Increases are due to additional property, plant and equipment acquired through recent acquisitions, as well as incremental intangible amortization expense related to our acquisitions, were almost entirely offset by reduced depreciation expense resulting from impairments recorded in 2018 and weaker Canadian and Australian dollars relative to the U.S. dollar in the first quarter of 2019 compared to the first quarter of 2018.</w:t>
      </w:r>
    </w:p>
    <w:p>
      <w:pPr>
        <w:spacing w:after="0" w:line="169" w:lineRule="exact"/>
        <w:rPr>
          <w:sz w:val="20"/>
          <w:szCs w:val="20"/>
          <w:color w:val="auto"/>
        </w:rPr>
      </w:pPr>
    </w:p>
    <w:p>
      <w:pPr>
        <w:ind w:right="20" w:firstLine="459"/>
        <w:spacing w:after="0" w:line="266"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We recorded pre-tax impairment expense of $28.7 million in the first quarter of 2018 associated with long-lived assets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segment. Please see Note 6 - Impairment Charges to the notes to the unaudited consolidated financial statements included in Item 1 of this quarterly report for further discussion.</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xml:space="preserve">Operating Loss. </w:t>
      </w:r>
      <w:r>
        <w:rPr>
          <w:rFonts w:ascii="Arial" w:cs="Arial" w:eastAsia="Arial" w:hAnsi="Arial"/>
          <w:sz w:val="17"/>
          <w:szCs w:val="17"/>
          <w:color w:val="auto"/>
        </w:rPr>
        <w:t>Consolidated operating loss decreased $34.6 million, or 66%, in the first quarter of 2019 compared to the first quarter of 2018,</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primarily due to the impairment expense recorded in the first quarter of 2018 and increased activity levels in certain U.S. markets in the first quarter of 2019.</w:t>
      </w:r>
    </w:p>
    <w:p>
      <w:pPr>
        <w:spacing w:after="0" w:line="230" w:lineRule="exact"/>
        <w:rPr>
          <w:sz w:val="20"/>
          <w:szCs w:val="20"/>
          <w:color w:val="auto"/>
        </w:rPr>
      </w:pPr>
    </w:p>
    <w:p>
      <w:pPr>
        <w:ind w:right="160" w:firstLine="459"/>
        <w:spacing w:after="0" w:line="282"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increased by $0.8 million, or 15%, in the first quarter of 2019 compared to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 primarily related to higher revolving credit facility borrowings to fund the Noralta acquisition.</w:t>
      </w:r>
    </w:p>
    <w:p>
      <w:pPr>
        <w:spacing w:after="0" w:line="162" w:lineRule="exact"/>
        <w:rPr>
          <w:sz w:val="20"/>
          <w:szCs w:val="20"/>
          <w:color w:val="auto"/>
        </w:rPr>
      </w:pPr>
    </w:p>
    <w:p>
      <w:pPr>
        <w:ind w:right="120" w:firstLine="459"/>
        <w:spacing w:after="0" w:line="314" w:lineRule="auto"/>
        <w:rPr>
          <w:sz w:val="20"/>
          <w:szCs w:val="20"/>
          <w:color w:val="auto"/>
        </w:rPr>
      </w:pPr>
      <w:r>
        <w:rPr>
          <w:rFonts w:ascii="Arial" w:cs="Arial" w:eastAsia="Arial" w:hAnsi="Arial"/>
          <w:sz w:val="16"/>
          <w:szCs w:val="16"/>
          <w:b w:val="1"/>
          <w:bCs w:val="1"/>
          <w:color w:val="auto"/>
        </w:rPr>
        <w:t xml:space="preserve">Other Income. </w:t>
      </w:r>
      <w:r>
        <w:rPr>
          <w:rFonts w:ascii="Arial" w:cs="Arial" w:eastAsia="Arial" w:hAnsi="Arial"/>
          <w:sz w:val="16"/>
          <w:szCs w:val="16"/>
          <w:color w:val="auto"/>
        </w:rPr>
        <w:t>Consolidated other income increased $0.7 million, or 32%, in the first quarter of 2019 compared to the first quarter of 2018,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due to $1.5 million of other income for proceeds received in the first quarter of 2019 from an insurance claim related to the closure of a lodge in 2018 for maintenance-related operational issues, partially offset by lower gain on sale of assets in the first quarter of 2019 compared to the first quarter of 2018.</w:t>
      </w:r>
    </w:p>
    <w:p>
      <w:pPr>
        <w:spacing w:after="0" w:line="142" w:lineRule="exact"/>
        <w:rPr>
          <w:sz w:val="20"/>
          <w:szCs w:val="20"/>
          <w:color w:val="auto"/>
        </w:rPr>
      </w:pPr>
    </w:p>
    <w:p>
      <w:pPr>
        <w:ind w:right="40" w:firstLine="459"/>
        <w:spacing w:after="0" w:line="277" w:lineRule="auto"/>
        <w:rPr>
          <w:sz w:val="20"/>
          <w:szCs w:val="20"/>
          <w:color w:val="auto"/>
        </w:rPr>
      </w:pPr>
      <w:r>
        <w:rPr>
          <w:rFonts w:ascii="Arial" w:cs="Arial" w:eastAsia="Arial" w:hAnsi="Arial"/>
          <w:sz w:val="17"/>
          <w:szCs w:val="17"/>
          <w:b w:val="1"/>
          <w:bCs w:val="1"/>
          <w:color w:val="auto"/>
        </w:rPr>
        <w:t xml:space="preserve">Income Tax Benefit. </w:t>
      </w:r>
      <w:r>
        <w:rPr>
          <w:rFonts w:ascii="Arial" w:cs="Arial" w:eastAsia="Arial" w:hAnsi="Arial"/>
          <w:sz w:val="17"/>
          <w:szCs w:val="17"/>
          <w:color w:val="auto"/>
        </w:rPr>
        <w:t>Our income tax benefit for the three months ended March 31, 2019 totaled $4.5 million, or 20.8% of pretax loss, compared to a</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$0.7 million, or 1.2% of pretax loss, for the three months ended March 31, 2018. The variance in the effective rate between 2019 and 2018 is due to the change in jurisdictions which are considered loss jurisdictions for tax accounting purposes. For the three months ended March 31, 2018, Canada, Australia and the U.S. were considered loss jurisdictions, while for the three months ended March 31, 2019, only Australia was considered a loss jurisdiction. Additionally, the effective tax rate in 2018 was impacted by discrete items totaling $1.0 million.</w:t>
      </w:r>
    </w:p>
    <w:p>
      <w:pPr>
        <w:spacing w:after="0" w:line="168" w:lineRule="exact"/>
        <w:rPr>
          <w:sz w:val="20"/>
          <w:szCs w:val="20"/>
          <w:color w:val="auto"/>
        </w:rPr>
      </w:pPr>
    </w:p>
    <w:p>
      <w:pPr>
        <w:ind w:firstLine="459"/>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income increased $13.2 million in the first quarter of 2019 compared to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2018, primarily as a result of foreign currency translation adjustments due to changes in the Canadian and Australian dollar exchange rates compared to the U.S. dollar. The Canadian dollar exchange rate compared to the U.S. dollar increased 2% in the first quarter of 2019 compared to a 3% decrease in the first quarter of 2018. The Australian dollar exchange rate compared to the U.S. dollar increased 1% in the first quarter of 2019 compared to a 2% decrease in the first quarter of 2018.</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57,652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50,647</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7,005</w:t>
            </w: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revenue (2)</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7,794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(7,013)</w:t>
            </w: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Food service and other services revenue (3)</w:t>
            </w:r>
          </w:p>
        </w:tc>
        <w:tc>
          <w:tcPr>
            <w:tcW w:w="11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8,337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3,739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4,598</w:t>
            </w:r>
          </w:p>
        </w:tc>
      </w:tr>
      <w:tr>
        <w:trPr>
          <w:trHeight w:val="270"/>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Manufacturing revenue (4)</w:t>
            </w:r>
          </w:p>
        </w:tc>
        <w:tc>
          <w:tcPr>
            <w:tcW w:w="1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r>
      <w:tr>
        <w:trPr>
          <w:trHeight w:val="250"/>
        </w:trPr>
        <w:tc>
          <w:tcPr>
            <w:tcW w:w="498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40" w:type="dxa"/>
            <w:vAlign w:val="bottom"/>
            <w:tcBorders>
              <w:top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66,770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63,390</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3,380</w:t>
            </w:r>
          </w:p>
        </w:tc>
      </w:tr>
      <w:tr>
        <w:trPr>
          <w:trHeight w:val="276"/>
        </w:trPr>
        <w:tc>
          <w:tcPr>
            <w:tcW w:w="49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980" w:type="dxa"/>
            <w:vAlign w:val="bottom"/>
          </w:tcPr>
          <w:p>
            <w:pPr>
              <w:ind w:left="40"/>
              <w:spacing w:after="0"/>
              <w:rPr>
                <w:sz w:val="20"/>
                <w:szCs w:val="20"/>
                <w:color w:val="auto"/>
              </w:rPr>
            </w:pPr>
            <w:r>
              <w:rPr>
                <w:rFonts w:ascii="Arial" w:cs="Arial" w:eastAsia="Arial" w:hAnsi="Arial"/>
                <w:sz w:val="14"/>
                <w:szCs w:val="14"/>
                <w:color w:val="auto"/>
              </w:rPr>
              <w:t>Cost of sales and services ($ in thousands)</w:t>
            </w: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42,217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37,038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5,179</w:t>
            </w: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Mobile facility rental cost</w:t>
            </w:r>
          </w:p>
        </w:tc>
        <w:tc>
          <w:tcPr>
            <w:tcW w:w="11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7,404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(6,755)</w:t>
            </w: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5,018</w:t>
            </w: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Manufacturing cost</w:t>
            </w:r>
          </w:p>
        </w:tc>
        <w:tc>
          <w:tcPr>
            <w:tcW w:w="11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(1,050)</w:t>
            </w:r>
          </w:p>
        </w:tc>
      </w:tr>
      <w:tr>
        <w:trPr>
          <w:trHeight w:val="270"/>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3,356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2,997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r>
      <w:tr>
        <w:trPr>
          <w:trHeight w:val="250"/>
        </w:trPr>
        <w:tc>
          <w:tcPr>
            <w:tcW w:w="498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54,647</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51,896</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2,751</w:t>
            </w:r>
          </w:p>
        </w:tc>
      </w:tr>
      <w:tr>
        <w:trPr>
          <w:trHeight w:val="276"/>
        </w:trPr>
        <w:tc>
          <w:tcPr>
            <w:tcW w:w="49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98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6"/>
        </w:trPr>
        <w:tc>
          <w:tcPr>
            <w:tcW w:w="49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980" w:type="dxa"/>
            <w:vAlign w:val="bottom"/>
          </w:tcPr>
          <w:p>
            <w:pPr>
              <w:ind w:left="40"/>
              <w:spacing w:after="0"/>
              <w:rPr>
                <w:sz w:val="20"/>
                <w:szCs w:val="20"/>
                <w:color w:val="auto"/>
              </w:rPr>
            </w:pPr>
            <w:r>
              <w:rPr>
                <w:rFonts w:ascii="Arial" w:cs="Arial" w:eastAsia="Arial" w:hAnsi="Arial"/>
                <w:sz w:val="14"/>
                <w:szCs w:val="14"/>
                <w:color w:val="auto"/>
              </w:rPr>
              <w:t>Average daily rate for lodges (5)</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276"/>
        </w:trPr>
        <w:tc>
          <w:tcPr>
            <w:tcW w:w="49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980" w:type="dxa"/>
            <w:vAlign w:val="bottom"/>
          </w:tcPr>
          <w:p>
            <w:pPr>
              <w:ind w:left="40"/>
              <w:spacing w:after="0"/>
              <w:rPr>
                <w:sz w:val="20"/>
                <w:szCs w:val="20"/>
                <w:color w:val="auto"/>
              </w:rPr>
            </w:pPr>
            <w:r>
              <w:rPr>
                <w:rFonts w:ascii="Arial" w:cs="Arial" w:eastAsia="Arial" w:hAnsi="Arial"/>
                <w:sz w:val="14"/>
                <w:szCs w:val="14"/>
                <w:color w:val="auto"/>
              </w:rPr>
              <w:t>Total billed rooms for lodges (6)</w:t>
            </w:r>
          </w:p>
        </w:tc>
        <w:tc>
          <w:tcPr>
            <w:tcW w:w="114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625,992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572,888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53,104</w:t>
            </w:r>
          </w:p>
        </w:tc>
      </w:tr>
      <w:tr>
        <w:trPr>
          <w:trHeight w:val="276"/>
        </w:trPr>
        <w:tc>
          <w:tcPr>
            <w:tcW w:w="49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58"/>
        </w:trPr>
        <w:tc>
          <w:tcPr>
            <w:tcW w:w="4980" w:type="dxa"/>
            <w:vAlign w:val="bottom"/>
          </w:tcPr>
          <w:p>
            <w:pPr>
              <w:ind w:left="40"/>
              <w:spacing w:after="0"/>
              <w:rPr>
                <w:sz w:val="20"/>
                <w:szCs w:val="20"/>
                <w:color w:val="auto"/>
              </w:rPr>
            </w:pPr>
            <w:r>
              <w:rPr>
                <w:rFonts w:ascii="Arial" w:cs="Arial" w:eastAsia="Arial" w:hAnsi="Arial"/>
                <w:sz w:val="14"/>
                <w:szCs w:val="14"/>
                <w:color w:val="auto"/>
              </w:rPr>
              <w:t>Average Canadian dollar to U.S. dollar</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0.752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0.791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(0.039)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color w:val="auto"/>
        </w:rPr>
        <w:t>Our Canadian segment reported revenues in the first quarter of 2019 that were $3.4 million, or 5%, higher than the first quarter of 2018. The weakening of the average exchange rates for the Canadian dollar relative to the U.S. dollar by 5% in the first quarter of 2019 compared to the first quarter of 2018 resulted in a $3.4 million period-over-period decrease in revenues. Excluding the impact of the weaker Canadian exchange rates, the segment experienced a 20% increase in accommodation revenues. This increase was driven by the Noralta acquisition in the second quarter of 2018 partially offset by lower room demand from major customers in the core oil sands lodges related to extended holiday downtime and the continued impact of provincially imposed oil production curtailments. Additionally, increased food services activity, due to a new food services project with an oilsands customer, was partially offset by reduced mobile facility rental revenue as 2018 included a pipeline related project.</w:t>
      </w:r>
    </w:p>
    <w:p>
      <w:pPr>
        <w:spacing w:after="0" w:line="178" w:lineRule="exact"/>
        <w:rPr>
          <w:sz w:val="20"/>
          <w:szCs w:val="20"/>
          <w:color w:val="auto"/>
        </w:rPr>
      </w:pPr>
    </w:p>
    <w:p>
      <w:pPr>
        <w:ind w:firstLine="459"/>
        <w:spacing w:after="0" w:line="276" w:lineRule="auto"/>
        <w:rPr>
          <w:sz w:val="20"/>
          <w:szCs w:val="20"/>
          <w:color w:val="auto"/>
        </w:rPr>
      </w:pPr>
      <w:r>
        <w:rPr>
          <w:rFonts w:ascii="Arial" w:cs="Arial" w:eastAsia="Arial" w:hAnsi="Arial"/>
          <w:sz w:val="17"/>
          <w:szCs w:val="17"/>
          <w:color w:val="auto"/>
        </w:rPr>
        <w:t>Our Canadian segment cost of sales and services increased $2.8 million, or 5%, in the first quarter of 2019 compared to the first quarter of 2018. The weakening of the average exchange rates for the Canadian dollar relative to the U.S. dollar by 5% in the first quarter of 2019 compared to the first quarter of 2018 resulted in a $2.8 million period-over-period decrease in cost of sales and services. Excluding the impact of the weaker Canadian exchange rates, the increased cost of sales and services was driven by the Noralta acquisition in the second quarter of 2018 and increased food services activity, partially offset by reduced mobile facility rental cost of sales as 2018 included a pipeline related project.</w:t>
      </w:r>
    </w:p>
    <w:p>
      <w:pPr>
        <w:spacing w:after="0" w:line="173" w:lineRule="exact"/>
        <w:rPr>
          <w:sz w:val="20"/>
          <w:szCs w:val="20"/>
          <w:color w:val="auto"/>
        </w:rPr>
      </w:pPr>
    </w:p>
    <w:p>
      <w:pPr>
        <w:ind w:right="180" w:firstLine="459"/>
        <w:spacing w:after="0" w:line="259" w:lineRule="auto"/>
        <w:rPr>
          <w:sz w:val="20"/>
          <w:szCs w:val="20"/>
          <w:color w:val="auto"/>
        </w:rPr>
      </w:pPr>
      <w:r>
        <w:rPr>
          <w:rFonts w:ascii="Arial" w:cs="Arial" w:eastAsia="Arial" w:hAnsi="Arial"/>
          <w:sz w:val="18"/>
          <w:szCs w:val="18"/>
          <w:color w:val="auto"/>
        </w:rPr>
        <w:t>Our Canadian segment gross margin as a percentage of revenues was 18% in the first quarter of 2019 and 2018. The margin was flat, with higher average daily rates for lodges being offset by reduced occupancy levels in certain lodges, impacting operating efficiencies at these lower levels. In addition, food services margins decreased due to lower rates in certain contracts, offset by a greater proportion of accommodation revenue, which generates higher margin percentages.</w:t>
      </w:r>
    </w:p>
    <w:p>
      <w:pPr>
        <w:sectPr>
          <w:pgSz w:w="11900" w:h="16838" w:orient="portrait"/>
          <w:cols w:equalWidth="0" w:num="1">
            <w:col w:w="11400"/>
          </w:cols>
          <w:pgMar w:left="240" w:top="800" w:right="2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800" w:right="2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48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270"/>
        </w:trPr>
        <w:tc>
          <w:tcPr>
            <w:tcW w:w="4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4"/>
        </w:trPr>
        <w:tc>
          <w:tcPr>
            <w:tcW w:w="488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28,421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27,698</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723</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revenue (2)</w:t>
            </w:r>
          </w:p>
        </w:tc>
        <w:tc>
          <w:tcPr>
            <w:tcW w:w="1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r>
      <w:tr>
        <w:trPr>
          <w:trHeight w:val="250"/>
        </w:trPr>
        <w:tc>
          <w:tcPr>
            <w:tcW w:w="488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40" w:type="dxa"/>
            <w:vAlign w:val="bottom"/>
            <w:tcBorders>
              <w:top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28,421</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27,875</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546</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Cost of sales ($ in thousands)</w:t>
            </w: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4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14,506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64"/>
        </w:trPr>
        <w:tc>
          <w:tcPr>
            <w:tcW w:w="4880" w:type="dxa"/>
            <w:vAlign w:val="bottom"/>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(163)</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r>
      <w:tr>
        <w:trPr>
          <w:trHeight w:val="250"/>
        </w:trPr>
        <w:tc>
          <w:tcPr>
            <w:tcW w:w="488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14,999</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15,333</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(334)</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Average daily rate for villages (3)</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Total billed rooms for villages (4)</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382,581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341,579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41,002</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58"/>
        </w:trPr>
        <w:tc>
          <w:tcPr>
            <w:tcW w:w="4880" w:type="dxa"/>
            <w:vAlign w:val="bottom"/>
          </w:tcPr>
          <w:p>
            <w:pPr>
              <w:ind w:left="40"/>
              <w:spacing w:after="0"/>
              <w:rPr>
                <w:sz w:val="20"/>
                <w:szCs w:val="20"/>
                <w:color w:val="auto"/>
              </w:rPr>
            </w:pPr>
            <w:r>
              <w:rPr>
                <w:rFonts w:ascii="Arial" w:cs="Arial" w:eastAsia="Arial" w:hAnsi="Arial"/>
                <w:sz w:val="14"/>
                <w:szCs w:val="14"/>
                <w:color w:val="auto"/>
              </w:rPr>
              <w:t>Australian dollar to U.S. dollar</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0.712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0.786</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right="220" w:firstLine="459"/>
        <w:spacing w:after="0" w:line="257" w:lineRule="auto"/>
        <w:rPr>
          <w:sz w:val="20"/>
          <w:szCs w:val="20"/>
          <w:color w:val="auto"/>
        </w:rPr>
      </w:pPr>
      <w:r>
        <w:rPr>
          <w:rFonts w:ascii="Arial" w:cs="Arial" w:eastAsia="Arial" w:hAnsi="Arial"/>
          <w:sz w:val="18"/>
          <w:szCs w:val="18"/>
          <w:color w:val="auto"/>
        </w:rPr>
        <w:t>Our Australian segment reported revenues in the first quarter of 2019 that were $0.5 million, or 2%, higher than the first quarter of 2018. The weakening of the average exchange rates for Australian dollars relative to the U.S. dollar by 9% in the first quarter of 2019 compared to the first quarter of 2018 resulted in a $2.9 million period-over-period decrease in revenues and a $7 reduction in the average daily rate. Excluding the impact of the weaker Australian exchange rates, the Australian segment experienced a 13% increase in revenues due to increased activity at our Bowen Basin villages partially offset by decreased activity at our Gunnedah Basin villages.</w:t>
      </w:r>
    </w:p>
    <w:p>
      <w:pPr>
        <w:spacing w:after="0" w:line="188"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Our Australian segment cost of sales decreased $0.3 million, or 2%, in the first quarter of 2019 compared to the first quarter of 2018. The decrease was primarily driven by the weakening of the Australian dollar.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Australian segment gross margin as a percentage of revenues increased to 47% in the first quarter of 2019 from 45% in the first quarter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driven by improved margins at our Bowen Basin villages as a result of increased occupancy.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U.S.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10,239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3,120</w:t>
            </w:r>
          </w:p>
        </w:tc>
      </w:tr>
      <w:tr>
        <w:trPr>
          <w:trHeight w:val="270"/>
        </w:trPr>
        <w:tc>
          <w:tcPr>
            <w:tcW w:w="4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 in thousands)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10,472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w:t>
            </w:r>
          </w:p>
        </w:tc>
      </w:tr>
      <w:tr>
        <w:trPr>
          <w:trHeight w:val="270"/>
        </w:trPr>
        <w:tc>
          <w:tcPr>
            <w:tcW w:w="4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 as a % of revenues</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r>
    </w:tbl>
    <w:p>
      <w:pPr>
        <w:spacing w:after="0" w:line="202"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Our U.S. segment reported revenues in the first quarter of 2019 that were $3.1 million, or 30%, higher than the first quarter of 2018. The increase was primarily due to greater U.S. drilling and completion activity in the Bakken, Rockies, mid Continent and Texas markets benefiting our lodge and wellsite businesses and a full quarter of operations from our Acadian</w:t>
      </w:r>
    </w:p>
    <w:p>
      <w:pPr>
        <w:sectPr>
          <w:pgSz w:w="11900" w:h="16838" w:orient="portrait"/>
          <w:cols w:equalWidth="0" w:num="1">
            <w:col w:w="11360"/>
          </w:cols>
          <w:pgMar w:left="240" w:top="800" w:right="299" w:bottom="1440" w:gutter="0" w:footer="0" w:header="0"/>
        </w:sect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60"/>
          </w:cols>
          <w:pgMar w:left="240" w:top="800" w:right="299" w:bottom="1440" w:gutter="0" w:footer="0" w:header="0"/>
          <w:type w:val="continuous"/>
        </w:sectPr>
      </w:pPr>
    </w:p>
    <w:bookmarkStart w:id="27" w:name="page28"/>
    <w:bookmarkEnd w:id="27"/>
    <w:p>
      <w:pPr>
        <w:ind w:right="320"/>
        <w:spacing w:after="0" w:line="277" w:lineRule="auto"/>
        <w:rPr>
          <w:sz w:val="20"/>
          <w:szCs w:val="20"/>
          <w:color w:val="auto"/>
        </w:rPr>
      </w:pPr>
      <w:r>
        <w:rPr>
          <w:rFonts w:ascii="Arial" w:cs="Arial" w:eastAsia="Arial" w:hAnsi="Arial"/>
          <w:sz w:val="18"/>
          <w:szCs w:val="18"/>
          <w:color w:val="auto"/>
        </w:rPr>
        <w:t>Acres Lodge, which we acquired in late February 2018. These increases were partially offset by lower revenues from our offshore business resulting from lower project activity.</w:t>
      </w:r>
    </w:p>
    <w:p>
      <w:pPr>
        <w:spacing w:after="0" w:line="170" w:lineRule="exact"/>
        <w:rPr>
          <w:sz w:val="20"/>
          <w:szCs w:val="20"/>
          <w:color w:val="auto"/>
        </w:rPr>
      </w:pPr>
    </w:p>
    <w:p>
      <w:pPr>
        <w:ind w:right="420" w:firstLine="459"/>
        <w:spacing w:after="0" w:line="342" w:lineRule="auto"/>
        <w:rPr>
          <w:sz w:val="20"/>
          <w:szCs w:val="20"/>
          <w:color w:val="auto"/>
        </w:rPr>
      </w:pPr>
      <w:r>
        <w:rPr>
          <w:rFonts w:ascii="Arial" w:cs="Arial" w:eastAsia="Arial" w:hAnsi="Arial"/>
          <w:sz w:val="16"/>
          <w:szCs w:val="16"/>
          <w:color w:val="auto"/>
        </w:rPr>
        <w:t>Our U.S. cost of sales decreased $0.5 million, or 5%, in the first quarter of 2019 compared to the first quarter of 2018. The decrease was driven by reduced activity in our offshore business partially offset by higher cost of sales in the lodge and wellsite businesses related to greater activity.</w:t>
      </w:r>
    </w:p>
    <w:p>
      <w:pPr>
        <w:spacing w:after="0" w:line="124" w:lineRule="exact"/>
        <w:rPr>
          <w:sz w:val="20"/>
          <w:szCs w:val="20"/>
          <w:color w:val="auto"/>
        </w:rPr>
      </w:pPr>
    </w:p>
    <w:p>
      <w:pPr>
        <w:ind w:right="380" w:firstLine="459"/>
        <w:spacing w:after="0" w:line="286" w:lineRule="auto"/>
        <w:rPr>
          <w:sz w:val="20"/>
          <w:szCs w:val="20"/>
          <w:color w:val="auto"/>
        </w:rPr>
      </w:pPr>
      <w:r>
        <w:rPr>
          <w:rFonts w:ascii="Arial" w:cs="Arial" w:eastAsia="Arial" w:hAnsi="Arial"/>
          <w:sz w:val="17"/>
          <w:szCs w:val="17"/>
          <w:color w:val="auto"/>
        </w:rPr>
        <w:t>Our U.S. segment gross margin as a percentage of revenues increased from (2)% in the first quarter of 2018 to 25% in the first quarter of 2019 primarily due to greater U.S. drilling and completion activity in the Bakken, Rockies, mid Continent and Texas markets benefiting our lodge and wellsite businesses and a full quarter of operations from our Acadian Acres Lodge, which we acquired in late February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459"/>
        <w:spacing w:after="0" w:line="297" w:lineRule="auto"/>
        <w:rPr>
          <w:sz w:val="20"/>
          <w:szCs w:val="20"/>
          <w:color w:val="auto"/>
        </w:rPr>
      </w:pPr>
      <w:r>
        <w:rPr>
          <w:rFonts w:ascii="Arial" w:cs="Arial" w:eastAsia="Arial" w:hAnsi="Arial"/>
          <w:sz w:val="16"/>
          <w:szCs w:val="16"/>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fund strategic business acquisitions and pay dividends. Historically, our primary sources of funds have been available cash, cash flow from operations, borrowings under the Amended Credit Agreement (as defined below) and proceeds from equity issuances. In the future, we may seek to access the debt and equity capital markets from time to time to raise additional capital, increase liquidity, fund acquisitions, refinance debt or retire preferred shares.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liquidity position as of March 31, 2019 and December 31,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6"/>
                <w:szCs w:val="16"/>
                <w:color w:val="auto"/>
              </w:rPr>
            </w:pPr>
          </w:p>
        </w:tc>
        <w:tc>
          <w:tcPr>
            <w:tcW w:w="154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December 31, 2018</w:t>
            </w:r>
          </w:p>
        </w:tc>
      </w:tr>
      <w:tr>
        <w:trPr>
          <w:trHeight w:val="256"/>
        </w:trPr>
        <w:tc>
          <w:tcPr>
            <w:tcW w:w="7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Lender commitments (1)</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239,500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239,500</w:t>
            </w:r>
          </w:p>
        </w:tc>
      </w:tr>
      <w:tr>
        <w:trPr>
          <w:trHeight w:val="264"/>
        </w:trPr>
        <w:tc>
          <w:tcPr>
            <w:tcW w:w="7340" w:type="dxa"/>
            <w:vAlign w:val="bottom"/>
          </w:tcPr>
          <w:p>
            <w:pPr>
              <w:ind w:left="200"/>
              <w:spacing w:after="0"/>
              <w:rPr>
                <w:sz w:val="20"/>
                <w:szCs w:val="20"/>
                <w:color w:val="auto"/>
              </w:rPr>
            </w:pPr>
            <w:r>
              <w:rPr>
                <w:rFonts w:ascii="Arial" w:cs="Arial" w:eastAsia="Arial" w:hAnsi="Arial"/>
                <w:sz w:val="14"/>
                <w:szCs w:val="14"/>
                <w:color w:val="auto"/>
              </w:rPr>
              <w:t>Reductions in availability (2)</w:t>
            </w: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(39,111)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(14,469)</w:t>
            </w:r>
          </w:p>
        </w:tc>
      </w:tr>
      <w:tr>
        <w:trPr>
          <w:trHeight w:val="276"/>
        </w:trPr>
        <w:tc>
          <w:tcPr>
            <w:tcW w:w="7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against revolving credit capacity</w:t>
            </w: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(131,266)</w:t>
            </w:r>
          </w:p>
        </w:tc>
      </w:tr>
      <w:tr>
        <w:trPr>
          <w:trHeight w:val="264"/>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Outstanding letters of credit</w:t>
            </w: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(3,445)</w:t>
            </w:r>
          </w:p>
        </w:tc>
      </w:tr>
      <w:tr>
        <w:trPr>
          <w:trHeight w:val="256"/>
        </w:trPr>
        <w:tc>
          <w:tcPr>
            <w:tcW w:w="7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Unused availability</w:t>
            </w: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90,320</w:t>
            </w:r>
          </w:p>
        </w:tc>
      </w:tr>
      <w:tr>
        <w:trPr>
          <w:trHeight w:val="264"/>
        </w:trPr>
        <w:tc>
          <w:tcPr>
            <w:tcW w:w="7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7,992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12,372</w:t>
            </w:r>
          </w:p>
        </w:tc>
      </w:tr>
      <w:tr>
        <w:trPr>
          <w:trHeight w:val="243"/>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available liquidity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102,692</w:t>
            </w: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82" w:lineRule="exact"/>
        <w:rPr>
          <w:sz w:val="20"/>
          <w:szCs w:val="20"/>
          <w:color w:val="auto"/>
        </w:rPr>
      </w:pPr>
    </w:p>
    <w:p>
      <w:pPr>
        <w:ind w:left="340" w:right="240" w:hanging="332"/>
        <w:spacing w:after="0" w:line="25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A$0.7 million and A$0.7 million under this facility outstanding as of March 31, 2019 and December 31, 2018, respectively.</w:t>
      </w:r>
    </w:p>
    <w:p>
      <w:pPr>
        <w:spacing w:after="0" w:line="1" w:lineRule="exact"/>
        <w:rPr>
          <w:rFonts w:ascii="Arial" w:cs="Arial" w:eastAsia="Arial" w:hAnsi="Arial"/>
          <w:sz w:val="18"/>
          <w:szCs w:val="18"/>
          <w:color w:val="auto"/>
        </w:rPr>
      </w:pPr>
    </w:p>
    <w:p>
      <w:pPr>
        <w:ind w:left="340" w:right="440" w:hanging="332"/>
        <w:spacing w:after="0" w:line="25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March 31, 2019, $39.1 million of our borrowing capacity under the Amended Credit Agreement could not be utilized in order to maintain compliance with the maximum leverage ratio financial covenant in the Amended Credit Agreement. As of December 31, 2018, $14.5 million of our borrowing capacity under the Amended Credit Agreement could not be utilized in order to maintain compliance with the maximum leverage ratio financial covenant in the Amended Credit Agreement.</w:t>
      </w:r>
    </w:p>
    <w:p>
      <w:pPr>
        <w:spacing w:after="0" w:line="190"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Cash totaling $6.3 million was provided by operations during the three months ended March 31, 2019, compared to $2.8 million provided by operations during the three months ended March 31, 2018. Net cash used by changes in operating assets and liabilities was $3.3 million during the three months ended March 31, 2019 and 2018.</w:t>
      </w:r>
    </w:p>
    <w:p>
      <w:pPr>
        <w:spacing w:after="0" w:line="181"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Cash was used in investing activities during the three months ended March 31, 2019 in the amount of $3.7 million, compared to cash used in investing activities during the three months ended March 31, 2018 in the amount of $23.6 million. The decrease in cash used in investing activities was primarily due to $23.8 million to fund the Acadian Acres asset acquisition in the first quarter of 2018. Capital expenditures totaled $9.7 million and $2.7 million during the three months ended March 31, 2019 and 2018, respectively. The increase in capital expenditures in the three months ended March 31, 2019 was related primarily to the expansion of the Sitka Lodge. Capital expenditures in the three months ended March 31, 2018 consisted primarily of routine maintenance capital expenditures.</w:t>
      </w:r>
    </w:p>
    <w:p>
      <w:pPr>
        <w:spacing w:after="0" w:line="193" w:lineRule="exact"/>
        <w:rPr>
          <w:sz w:val="20"/>
          <w:szCs w:val="20"/>
          <w:color w:val="auto"/>
        </w:rPr>
      </w:pPr>
    </w:p>
    <w:p>
      <w:pPr>
        <w:ind w:right="80" w:firstLine="459"/>
        <w:spacing w:after="0" w:line="302" w:lineRule="auto"/>
        <w:rPr>
          <w:sz w:val="20"/>
          <w:szCs w:val="20"/>
          <w:color w:val="auto"/>
        </w:rPr>
      </w:pPr>
      <w:r>
        <w:rPr>
          <w:rFonts w:ascii="Arial" w:cs="Arial" w:eastAsia="Arial" w:hAnsi="Arial"/>
          <w:sz w:val="16"/>
          <w:szCs w:val="16"/>
          <w:color w:val="auto"/>
        </w:rPr>
        <w:t>We expect our capital expenditures for 2019, exclusive of any business acquisitions, to be in the range of $40 million to $45 million, which excludes any unannounced and uncommitted projects, the spending for which is contingent on obtaining customer contracts. Whether planned expenditures will actually be spent in 2019 depends on industry conditions, project approvals and schedules, customer room commitments and project and construction timing. We expect to fund these capital expenditures with available cash, cash flow from operations and revolving credit borrowings under our Amended Credit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right="640"/>
        <w:spacing w:after="0" w:line="277" w:lineRule="auto"/>
        <w:rPr>
          <w:sz w:val="20"/>
          <w:szCs w:val="20"/>
          <w:color w:val="auto"/>
        </w:rPr>
      </w:pPr>
      <w:r>
        <w:rPr>
          <w:rFonts w:ascii="Arial" w:cs="Arial" w:eastAsia="Arial" w:hAnsi="Arial"/>
          <w:sz w:val="18"/>
          <w:szCs w:val="18"/>
          <w:color w:val="auto"/>
        </w:rPr>
        <w:t>Agreement.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70"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color w:val="auto"/>
        </w:rPr>
        <w:t>Net cash of $7.5 million was used by financing activities during the three months ended March 31, 2019 primarily due to net borrowings under our revolving credit facilities of $5.4 million, partially offset by repayments of term loan borrowings of $8.6 million and $4.3 million used to settle tax obligations on vested shares under our share based compensation plans. Net cash of $31.0 million was provided by financing activities during the three months ended March 31, 2018, primarily due to net borrowings under our revolving credit facilities of $35.6 million, partially offset by repayments of term loan borrowings of $4.1 million. Cash borrowed of $30.3 million under the Credit Agreement in the first quarter of 2018 was used to fund the Noralta acquisition, which closed on April 2, 2018.</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summarizes the changes in debt outstanding during the three months ended March 31, 2019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Australia</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U.S.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5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362,258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16,918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379,176</w:t>
            </w:r>
          </w:p>
        </w:tc>
      </w:tr>
      <w:tr>
        <w:trPr>
          <w:trHeight w:val="264"/>
        </w:trPr>
        <w:tc>
          <w:tcPr>
            <w:tcW w:w="4820" w:type="dxa"/>
            <w:vAlign w:val="bottom"/>
          </w:tcPr>
          <w:p>
            <w:pPr>
              <w:ind w:left="180"/>
              <w:spacing w:after="0"/>
              <w:rPr>
                <w:sz w:val="20"/>
                <w:szCs w:val="20"/>
                <w:color w:val="auto"/>
              </w:rPr>
            </w:pPr>
            <w:r>
              <w:rPr>
                <w:rFonts w:ascii="Arial" w:cs="Arial" w:eastAsia="Arial" w:hAnsi="Arial"/>
                <w:sz w:val="14"/>
                <w:szCs w:val="14"/>
                <w:color w:val="auto"/>
              </w:rPr>
              <w:t>Borrowings under revolving credit facilities</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80,324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80,324</w:t>
            </w:r>
          </w:p>
        </w:tc>
      </w:tr>
      <w:tr>
        <w:trPr>
          <w:trHeight w:val="276"/>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borrowings under revolving credit facilities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(74,928)</w:t>
            </w:r>
          </w:p>
        </w:tc>
      </w:tr>
      <w:tr>
        <w:trPr>
          <w:trHeight w:val="264"/>
        </w:trPr>
        <w:tc>
          <w:tcPr>
            <w:tcW w:w="4820" w:type="dxa"/>
            <w:vAlign w:val="bottom"/>
          </w:tcPr>
          <w:p>
            <w:pPr>
              <w:ind w:left="180"/>
              <w:spacing w:after="0"/>
              <w:rPr>
                <w:sz w:val="20"/>
                <w:szCs w:val="20"/>
                <w:color w:val="auto"/>
              </w:rPr>
            </w:pPr>
            <w:r>
              <w:rPr>
                <w:rFonts w:ascii="Arial" w:cs="Arial" w:eastAsia="Arial" w:hAnsi="Arial"/>
                <w:sz w:val="14"/>
                <w:szCs w:val="14"/>
                <w:color w:val="auto"/>
              </w:rPr>
              <w:t>Repayments of term loans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(8,608)</w:t>
            </w:r>
          </w:p>
        </w:tc>
      </w:tr>
      <w:tr>
        <w:trPr>
          <w:trHeight w:val="270"/>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Translation</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7,418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7,542</w:t>
            </w:r>
          </w:p>
        </w:tc>
      </w:tr>
      <w:tr>
        <w:trPr>
          <w:trHeight w:val="243"/>
        </w:trPr>
        <w:tc>
          <w:tcPr>
            <w:tcW w:w="4820" w:type="dxa"/>
            <w:vAlign w:val="bottom"/>
          </w:tcPr>
          <w:p>
            <w:pPr>
              <w:ind w:left="40"/>
              <w:spacing w:after="0"/>
              <w:rPr>
                <w:sz w:val="20"/>
                <w:szCs w:val="20"/>
                <w:color w:val="auto"/>
              </w:rPr>
            </w:pPr>
            <w:r>
              <w:rPr>
                <w:rFonts w:ascii="Arial" w:cs="Arial" w:eastAsia="Arial" w:hAnsi="Arial"/>
                <w:sz w:val="14"/>
                <w:szCs w:val="14"/>
                <w:color w:val="auto"/>
              </w:rPr>
              <w:t>Balance at March 31, 2019</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380,668</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2,838</w:t>
            </w:r>
          </w:p>
        </w:tc>
        <w:tc>
          <w:tcPr>
            <w:tcW w:w="100" w:type="dxa"/>
            <w:vAlign w:val="bottom"/>
          </w:tcPr>
          <w:p>
            <w:pPr>
              <w:spacing w:after="0"/>
              <w:rPr>
                <w:sz w:val="21"/>
                <w:szCs w:val="21"/>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383,506</w:t>
            </w: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59"/>
        <w:spacing w:after="0" w:line="269"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right="60" w:firstLine="459"/>
        <w:spacing w:after="0" w:line="276" w:lineRule="auto"/>
        <w:rPr>
          <w:sz w:val="20"/>
          <w:szCs w:val="20"/>
          <w:color w:val="auto"/>
        </w:rPr>
      </w:pPr>
      <w:r>
        <w:rPr>
          <w:rFonts w:ascii="Arial" w:cs="Arial" w:eastAsia="Arial" w:hAnsi="Arial"/>
          <w:sz w:val="17"/>
          <w:szCs w:val="17"/>
          <w:color w:val="auto"/>
        </w:rPr>
        <w:t>As of March 31, 2019, our Credit Agreement, as then amended to date (the Amended Credit Agreement), provided for: (i) a $239.5 million revolving credit facility scheduled to mature on November 30, 2020, allocated as follows: (A) a $20.0 million senior secured revolving credit facility in favor of certain of our U.S. subsidiaries, as borrowers; (B) a $159.5 million senior secured revolving credit facility in favor of Civeo and certain of our Canadian subsidiaries, as borrowers; and (C) a $60.0 million senior secured revolving credit facility in favor of one of our Australian subsidiaries, as borrower; and (ii) a $325.0 million term loan facility scheduled to mature on November 30, 2020 in favor of Civeo.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t>The maximum leverage ratio financial covenant is set forth in the tables below.</w:t>
      </w:r>
    </w:p>
    <w:p>
      <w:pPr>
        <w:spacing w:after="0" w:line="225" w:lineRule="exact"/>
        <w:rPr>
          <w:sz w:val="20"/>
          <w:szCs w:val="20"/>
          <w:color w:val="auto"/>
        </w:rPr>
      </w:pPr>
    </w:p>
    <w:p>
      <w:pPr>
        <w:ind w:left="660" w:right="3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 qualified offering of indebtedness with gross proceeds in excess of $150 million has been consummated, a Maximum Leverage Ratio not to exceed the ratios set forth in the following table: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860" w:type="dxa"/>
            <w:vAlign w:val="bottom"/>
            <w:gridSpan w:val="3"/>
          </w:tcPr>
          <w:p>
            <w:pPr>
              <w:ind w:left="4460"/>
              <w:spacing w:after="0" w:line="176" w:lineRule="exact"/>
              <w:rPr>
                <w:sz w:val="20"/>
                <w:szCs w:val="20"/>
                <w:color w:val="auto"/>
              </w:rPr>
            </w:pPr>
            <w:r>
              <w:rPr>
                <w:rFonts w:ascii="Arial" w:cs="Arial" w:eastAsia="Arial" w:hAnsi="Arial"/>
                <w:sz w:val="16"/>
                <w:szCs w:val="16"/>
                <w:b w:val="1"/>
                <w:bCs w:val="1"/>
                <w:color w:val="auto"/>
              </w:rPr>
              <w:t>Period Ended</w:t>
            </w: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46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30"/>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March 31, 2019</w:t>
            </w:r>
          </w:p>
        </w:tc>
        <w:tc>
          <w:tcPr>
            <w:tcW w:w="1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5"/>
              </w:rPr>
              <w:t>4.75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June 30, 2019</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w w:val="95"/>
              </w:rPr>
              <w:t>4.50 : 1:00</w:t>
            </w:r>
          </w:p>
        </w:tc>
      </w:tr>
      <w:tr>
        <w:trPr>
          <w:trHeight w:val="33"/>
        </w:trPr>
        <w:tc>
          <w:tcPr>
            <w:tcW w:w="4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4"/>
        </w:trPr>
        <w:tc>
          <w:tcPr>
            <w:tcW w:w="9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September 30, 2019 &amp; thereafter</w:t>
            </w: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95"/>
              </w:rPr>
              <w:t>4.00 : 1:00</w:t>
            </w:r>
          </w:p>
        </w:tc>
      </w:tr>
      <w:tr>
        <w:trPr>
          <w:trHeight w:val="33"/>
        </w:trPr>
        <w:tc>
          <w:tcPr>
            <w:tcW w:w="4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and, if such qualified offering has not been consummated, a maximum leverage ratio not to exceed the ratios set forth in the following table: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860" w:type="dxa"/>
            <w:vAlign w:val="bottom"/>
            <w:gridSpan w:val="3"/>
          </w:tcPr>
          <w:p>
            <w:pPr>
              <w:ind w:left="4460"/>
              <w:spacing w:after="0" w:line="176" w:lineRule="exact"/>
              <w:rPr>
                <w:sz w:val="20"/>
                <w:szCs w:val="20"/>
                <w:color w:val="auto"/>
              </w:rPr>
            </w:pPr>
            <w:r>
              <w:rPr>
                <w:rFonts w:ascii="Arial" w:cs="Arial" w:eastAsia="Arial" w:hAnsi="Arial"/>
                <w:sz w:val="16"/>
                <w:szCs w:val="16"/>
                <w:b w:val="1"/>
                <w:bCs w:val="1"/>
                <w:color w:val="auto"/>
              </w:rPr>
              <w:t>Period Ended</w:t>
            </w: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Ratio</w:t>
            </w:r>
          </w:p>
        </w:tc>
      </w:tr>
      <w:tr>
        <w:trPr>
          <w:trHeight w:val="48"/>
        </w:trPr>
        <w:tc>
          <w:tcPr>
            <w:tcW w:w="446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30"/>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March 31, 2019</w:t>
            </w:r>
          </w:p>
        </w:tc>
        <w:tc>
          <w:tcPr>
            <w:tcW w:w="1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5"/>
              </w:rPr>
              <w:t>4.75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June 30, 2019</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w w:val="95"/>
              </w:rPr>
              <w:t>4.50 : 1:00</w:t>
            </w:r>
          </w:p>
        </w:tc>
      </w:tr>
      <w:tr>
        <w:trPr>
          <w:trHeight w:val="33"/>
        </w:trPr>
        <w:tc>
          <w:tcPr>
            <w:tcW w:w="4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September 30, 2019</w:t>
            </w:r>
          </w:p>
        </w:tc>
        <w:tc>
          <w:tcPr>
            <w:tcW w:w="1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5"/>
              </w:rPr>
              <w:t>4.00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December 31, 2019 &amp; thereafter</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w w:val="95"/>
              </w:rPr>
              <w:t>3.50 : 1:00</w:t>
            </w:r>
          </w:p>
        </w:tc>
      </w:tr>
    </w:tbl>
    <w:p>
      <w:pPr>
        <w:spacing w:after="0" w:line="235" w:lineRule="exact"/>
        <w:rPr>
          <w:sz w:val="20"/>
          <w:szCs w:val="20"/>
          <w:color w:val="auto"/>
        </w:rPr>
      </w:pPr>
    </w:p>
    <w:p>
      <w:pPr>
        <w:ind w:firstLine="459"/>
        <w:spacing w:after="0" w:line="273" w:lineRule="auto"/>
        <w:rPr>
          <w:sz w:val="20"/>
          <w:szCs w:val="20"/>
          <w:color w:val="auto"/>
        </w:rPr>
      </w:pPr>
      <w:r>
        <w:rPr>
          <w:rFonts w:ascii="Arial" w:cs="Arial" w:eastAsia="Arial" w:hAnsi="Arial"/>
          <w:sz w:val="17"/>
          <w:szCs w:val="17"/>
          <w:color w:val="auto"/>
        </w:rPr>
        <w:t>U.S. dollar amounts outstanding under the facilities provided by the Amended Credit Agreement bear interest at a variable rate equal to LIBOR plus a margin of 2.25% to 4.00%, or a base rate plus 1.25% to 3.00%, in each case based on a ratio of our total debt to consolidated EBITDA (as defined in the Amended Credit Agreement). Canadian dollar amounts outstanding bear interest at a variable rate equal to a B/A Discount Rate based on the Canadian Dollar Offered Rate plus a margin of 2.25% to 4.00%, or a Canadian Prime rate plus a margin of 1.25% to 3.00%, in each case based on a ratio of our total debt to consolidated EBITDA. Australian dollar amounts outstanding under the Amended Credit Agreement bear interest at a variable rate equal to the Bank Bill Swap Bid Rate plus a margin of 2.25% to 4.00%, based on a ratio of our total debt to consolidated EBITDA.</w:t>
      </w:r>
    </w:p>
    <w:p>
      <w:pPr>
        <w:spacing w:after="0" w:line="178" w:lineRule="exact"/>
        <w:rPr>
          <w:sz w:val="20"/>
          <w:szCs w:val="20"/>
          <w:color w:val="auto"/>
        </w:rPr>
      </w:pPr>
    </w:p>
    <w:p>
      <w:pPr>
        <w:ind w:right="60" w:firstLine="459"/>
        <w:spacing w:after="0" w:line="289"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4.75 to 1.0 (as of March 31, 2019).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March 31, 2019.</w:t>
      </w:r>
    </w:p>
    <w:p>
      <w:pPr>
        <w:spacing w:after="0" w:line="167" w:lineRule="exact"/>
        <w:rPr>
          <w:sz w:val="20"/>
          <w:szCs w:val="20"/>
          <w:color w:val="auto"/>
        </w:rPr>
      </w:pPr>
    </w:p>
    <w:p>
      <w:pPr>
        <w:ind w:right="100" w:firstLine="459"/>
        <w:spacing w:after="0" w:line="257"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March 31, 2019, we have nine lenders that were parties to the Amended Credit Agreement, with total commitments (including both revolving commitments and term commitments) ranging from $24.9 million to $110.6 million. As of March 31, 2019, we had outstanding letters of credit of $0.4 million under the U.S facility, $0.5 million under the Australian facility and $2.5 million under the Canadian facility.</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84" w:right="27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459"/>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92" w:lineRule="exact"/>
        <w:rPr>
          <w:sz w:val="20"/>
          <w:szCs w:val="20"/>
          <w:color w:val="auto"/>
        </w:rPr>
      </w:pPr>
    </w:p>
    <w:p>
      <w:pPr>
        <w:ind w:right="200" w:firstLine="459"/>
        <w:spacing w:after="0" w:line="257" w:lineRule="auto"/>
        <w:rPr>
          <w:sz w:val="20"/>
          <w:szCs w:val="20"/>
          <w:color w:val="auto"/>
        </w:rPr>
      </w:pPr>
      <w:r>
        <w:rPr>
          <w:rFonts w:ascii="Arial" w:cs="Arial" w:eastAsia="Arial" w:hAnsi="Arial"/>
          <w:sz w:val="18"/>
          <w:szCs w:val="18"/>
          <w:color w:val="auto"/>
        </w:rPr>
        <w:t>The preferred shares we issued in the Noralta acquisition are entitled to receive a 2% annual dividend on the liquidation preference (initially $10,000 per share), subject to increase to up to 3% in certain circumstances, paid quarterly in cash or, at our option, by increasing the preferred shares’ liquidation preference, or any combination thereof. Quarterly dividends were paid in-kind on March 31, 2019, thereby increasing the liquidation preference to $10,201 per share as of March 31, 2019. We currently expect to pay dividends on the preferred shares for the foreseeable future through an increase in liquidation preference rather than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2019,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in our Annual Report on Form 10-K for the year ended December 31, 2018. As of March 31, 2019, except for net borrowings under our revolving credit facilities, there were no material changes to this disclosures regarding our contractual obligations made in our Annual Report on Form 10-K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2018.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80"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00" w:firstLine="459"/>
        <w:spacing w:after="0" w:line="302"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March 31, 2019, we had $383.5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$3.8 million annually, based on our floating-rate debt obligations and interest rates in effect as of March 31,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459"/>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C$0.3 billion and A$0.4 billion, respectively, at March 31, 2019. We use a sensitivity analysis model to measure the impact of a 10% adverse movement of foreign currency exchange rates against the United States dollar. A hypothetical 10% adverse change in the value of the Canadian dollar and Australian dollar relative to the U.S. dollar as of March 31, 2019 would result in translation adjustments of approximately $27 million and $37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459"/>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2019,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459"/>
        <w:spacing w:after="0" w:line="342" w:lineRule="auto"/>
        <w:rPr>
          <w:sz w:val="20"/>
          <w:szCs w:val="20"/>
          <w:color w:val="auto"/>
        </w:rPr>
      </w:pPr>
      <w:r>
        <w:rPr>
          <w:rFonts w:ascii="Arial" w:cs="Arial" w:eastAsia="Arial" w:hAnsi="Arial"/>
          <w:sz w:val="16"/>
          <w:szCs w:val="16"/>
          <w:color w:val="auto"/>
        </w:rPr>
        <w:t>During the three months ended March 31, 2019,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580" w:right="299" w:bottom="1440" w:gutter="0" w:footer="0" w:header="0"/>
        </w:sectPr>
      </w:pPr>
    </w:p>
    <w:bookmarkStart w:id="32" w:name="page33"/>
    <w:bookmarkEnd w:id="32"/>
    <w:p>
      <w:pPr>
        <w:ind w:left="450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included in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purchases of our common shares during the three months ended March 31, 2019.</w:t>
      </w:r>
    </w:p>
    <w:p>
      <w:pPr>
        <w:spacing w:after="0" w:line="388" w:lineRule="exact"/>
        <w:rPr>
          <w:sz w:val="20"/>
          <w:szCs w:val="20"/>
          <w:color w:val="auto"/>
        </w:rPr>
      </w:pPr>
    </w:p>
    <w:tbl>
      <w:tblPr>
        <w:tblLayout w:type="fixed"/>
        <w:tblInd w:w="200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40" w:type="dxa"/>
            <w:vAlign w:val="bottom"/>
          </w:tcPr>
          <w:p>
            <w:pPr>
              <w:jc w:val="center"/>
              <w:ind w:left="99"/>
              <w:spacing w:after="0"/>
              <w:rPr>
                <w:sz w:val="20"/>
                <w:szCs w:val="20"/>
                <w:color w:val="auto"/>
              </w:rPr>
            </w:pPr>
            <w:r>
              <w:rPr>
                <w:rFonts w:ascii="Arial" w:cs="Arial" w:eastAsia="Arial" w:hAnsi="Arial"/>
                <w:sz w:val="16"/>
                <w:szCs w:val="16"/>
                <w:b w:val="1"/>
                <w:bCs w:val="1"/>
                <w:color w:val="auto"/>
                <w:w w:val="90"/>
              </w:rPr>
              <w:t>Total number of shares</w:t>
            </w:r>
          </w:p>
        </w:tc>
        <w:tc>
          <w:tcPr>
            <w:tcW w:w="1640" w:type="dxa"/>
            <w:vAlign w:val="bottom"/>
          </w:tcPr>
          <w:p>
            <w:pPr>
              <w:jc w:val="center"/>
              <w:ind w:left="19"/>
              <w:spacing w:after="0"/>
              <w:rPr>
                <w:sz w:val="20"/>
                <w:szCs w:val="20"/>
                <w:color w:val="auto"/>
              </w:rPr>
            </w:pPr>
            <w:r>
              <w:rPr>
                <w:rFonts w:ascii="Arial" w:cs="Arial" w:eastAsia="Arial" w:hAnsi="Arial"/>
                <w:sz w:val="16"/>
                <w:szCs w:val="16"/>
                <w:b w:val="1"/>
                <w:bCs w:val="1"/>
                <w:color w:val="auto"/>
                <w:w w:val="95"/>
              </w:rPr>
              <w:t>Maximum number of</w:t>
            </w:r>
          </w:p>
        </w:tc>
      </w:tr>
      <w:tr>
        <w:trPr>
          <w:trHeight w:val="203"/>
        </w:trPr>
        <w:tc>
          <w:tcPr>
            <w:tcW w:w="1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40" w:type="dxa"/>
            <w:vAlign w:val="bottom"/>
          </w:tcPr>
          <w:p>
            <w:pPr>
              <w:jc w:val="center"/>
              <w:ind w:left="79"/>
              <w:spacing w:after="0"/>
              <w:rPr>
                <w:sz w:val="20"/>
                <w:szCs w:val="20"/>
                <w:color w:val="auto"/>
              </w:rPr>
            </w:pPr>
            <w:r>
              <w:rPr>
                <w:rFonts w:ascii="Arial" w:cs="Arial" w:eastAsia="Arial" w:hAnsi="Arial"/>
                <w:sz w:val="16"/>
                <w:szCs w:val="16"/>
                <w:b w:val="1"/>
                <w:bCs w:val="1"/>
                <w:color w:val="auto"/>
                <w:w w:val="90"/>
              </w:rPr>
              <w:t>purchased as part of</w:t>
            </w:r>
          </w:p>
        </w:tc>
        <w:tc>
          <w:tcPr>
            <w:tcW w:w="164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shares that may yet be</w:t>
            </w:r>
          </w:p>
        </w:tc>
      </w:tr>
      <w:tr>
        <w:trPr>
          <w:trHeight w:val="203"/>
        </w:trPr>
        <w:tc>
          <w:tcPr>
            <w:tcW w:w="1300" w:type="dxa"/>
            <w:vAlign w:val="bottom"/>
          </w:tcPr>
          <w:p>
            <w:pPr>
              <w:spacing w:after="0"/>
              <w:rPr>
                <w:sz w:val="17"/>
                <w:szCs w:val="17"/>
                <w:color w:val="auto"/>
              </w:rPr>
            </w:pPr>
          </w:p>
        </w:tc>
        <w:tc>
          <w:tcPr>
            <w:tcW w:w="2300" w:type="dxa"/>
            <w:vAlign w:val="bottom"/>
          </w:tcPr>
          <w:p>
            <w:pPr>
              <w:jc w:val="center"/>
              <w:ind w:left="539"/>
              <w:spacing w:after="0"/>
              <w:rPr>
                <w:sz w:val="20"/>
                <w:szCs w:val="20"/>
                <w:color w:val="auto"/>
              </w:rPr>
            </w:pPr>
            <w:r>
              <w:rPr>
                <w:rFonts w:ascii="Arial" w:cs="Arial" w:eastAsia="Arial" w:hAnsi="Arial"/>
                <w:sz w:val="16"/>
                <w:szCs w:val="16"/>
                <w:b w:val="1"/>
                <w:bCs w:val="1"/>
                <w:color w:val="auto"/>
                <w:w w:val="94"/>
              </w:rPr>
              <w:t>Total Number of</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Price Paid</w:t>
            </w:r>
          </w:p>
        </w:tc>
        <w:tc>
          <w:tcPr>
            <w:tcW w:w="1940" w:type="dxa"/>
            <w:vAlign w:val="bottom"/>
          </w:tcPr>
          <w:p>
            <w:pPr>
              <w:jc w:val="center"/>
              <w:ind w:left="99"/>
              <w:spacing w:after="0"/>
              <w:rPr>
                <w:sz w:val="20"/>
                <w:szCs w:val="20"/>
                <w:color w:val="auto"/>
              </w:rPr>
            </w:pPr>
            <w:r>
              <w:rPr>
                <w:rFonts w:ascii="Arial" w:cs="Arial" w:eastAsia="Arial" w:hAnsi="Arial"/>
                <w:sz w:val="16"/>
                <w:szCs w:val="16"/>
                <w:b w:val="1"/>
                <w:bCs w:val="1"/>
                <w:color w:val="auto"/>
                <w:w w:val="90"/>
              </w:rPr>
              <w:t>publicly announced</w:t>
            </w:r>
          </w:p>
        </w:tc>
        <w:tc>
          <w:tcPr>
            <w:tcW w:w="164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purchased under the</w:t>
            </w:r>
          </w:p>
        </w:tc>
      </w:tr>
      <w:tr>
        <w:trPr>
          <w:trHeight w:val="210"/>
        </w:trPr>
        <w:tc>
          <w:tcPr>
            <w:tcW w:w="130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2300" w:type="dxa"/>
            <w:vAlign w:val="bottom"/>
          </w:tcPr>
          <w:p>
            <w:pPr>
              <w:jc w:val="center"/>
              <w:ind w:left="539"/>
              <w:spacing w:after="0"/>
              <w:rPr>
                <w:sz w:val="20"/>
                <w:szCs w:val="20"/>
                <w:color w:val="auto"/>
              </w:rPr>
            </w:pPr>
            <w:r>
              <w:rPr>
                <w:rFonts w:ascii="Arial" w:cs="Arial" w:eastAsia="Arial" w:hAnsi="Arial"/>
                <w:sz w:val="16"/>
                <w:szCs w:val="16"/>
                <w:b w:val="1"/>
                <w:bCs w:val="1"/>
                <w:color w:val="auto"/>
                <w:w w:val="88"/>
              </w:rPr>
              <w:t>Shares Purchased</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per Share</w:t>
            </w:r>
          </w:p>
        </w:tc>
        <w:tc>
          <w:tcPr>
            <w:tcW w:w="1940" w:type="dxa"/>
            <w:vAlign w:val="bottom"/>
          </w:tcPr>
          <w:p>
            <w:pPr>
              <w:jc w:val="center"/>
              <w:ind w:left="79"/>
              <w:spacing w:after="0"/>
              <w:rPr>
                <w:sz w:val="20"/>
                <w:szCs w:val="20"/>
                <w:color w:val="auto"/>
              </w:rPr>
            </w:pPr>
            <w:r>
              <w:rPr>
                <w:rFonts w:ascii="Arial" w:cs="Arial" w:eastAsia="Arial" w:hAnsi="Arial"/>
                <w:sz w:val="16"/>
                <w:szCs w:val="16"/>
                <w:b w:val="1"/>
                <w:bCs w:val="1"/>
                <w:color w:val="auto"/>
                <w:w w:val="91"/>
              </w:rPr>
              <w:t>plans or programs (3)</w:t>
            </w:r>
          </w:p>
        </w:tc>
        <w:tc>
          <w:tcPr>
            <w:tcW w:w="164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plans or programs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20955</wp:posOffset>
            </wp:positionV>
            <wp:extent cx="681799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7995" cy="16319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p>
      <w:pPr>
        <w:spacing w:after="0" w:line="50" w:lineRule="exact"/>
        <w:rPr>
          <w:sz w:val="20"/>
          <w:szCs w:val="20"/>
          <w:color w:val="auto"/>
        </w:rPr>
      </w:pPr>
    </w:p>
    <w:tbl>
      <w:tblPr>
        <w:tblLayout w:type="fixed"/>
        <w:tblInd w:w="380" w:type="dxa"/>
        <w:tblCellMar>
          <w:top w:w="0" w:type="dxa"/>
          <w:left w:w="0" w:type="dxa"/>
          <w:bottom w:w="0" w:type="dxa"/>
          <w:right w:w="0" w:type="dxa"/>
        </w:tblCellMar>
      </w:tblPr>
      <w:tr>
        <w:trPr>
          <w:trHeight w:val="206"/>
        </w:trPr>
        <w:tc>
          <w:tcPr>
            <w:tcW w:w="3360" w:type="dxa"/>
            <w:vAlign w:val="bottom"/>
          </w:tcPr>
          <w:p>
            <w:pPr>
              <w:spacing w:after="0"/>
              <w:rPr>
                <w:sz w:val="20"/>
                <w:szCs w:val="20"/>
                <w:color w:val="auto"/>
              </w:rPr>
            </w:pPr>
            <w:r>
              <w:rPr>
                <w:rFonts w:ascii="Arial" w:cs="Arial" w:eastAsia="Arial" w:hAnsi="Arial"/>
                <w:sz w:val="16"/>
                <w:szCs w:val="16"/>
                <w:color w:val="auto"/>
              </w:rPr>
              <w:t>January 1, 2019 - January 31, 2019</w:t>
            </w:r>
          </w:p>
        </w:tc>
        <w:tc>
          <w:tcPr>
            <w:tcW w:w="1560" w:type="dxa"/>
            <w:vAlign w:val="bottom"/>
          </w:tcPr>
          <w:p>
            <w:pPr>
              <w:jc w:val="right"/>
              <w:spacing w:after="0"/>
              <w:rPr>
                <w:sz w:val="20"/>
                <w:szCs w:val="20"/>
                <w:color w:val="auto"/>
              </w:rPr>
            </w:pPr>
            <w:r>
              <w:rPr>
                <w:rFonts w:ascii="Arial" w:cs="Arial" w:eastAsia="Arial" w:hAnsi="Arial"/>
                <w:sz w:val="16"/>
                <w:szCs w:val="16"/>
                <w:color w:val="auto"/>
              </w:rPr>
              <w:t>13,474</w:t>
            </w:r>
          </w:p>
        </w:tc>
      </w:tr>
      <w:tr>
        <w:trPr>
          <w:trHeight w:val="257"/>
        </w:trPr>
        <w:tc>
          <w:tcPr>
            <w:tcW w:w="3360" w:type="dxa"/>
            <w:vAlign w:val="bottom"/>
          </w:tcPr>
          <w:p>
            <w:pPr>
              <w:spacing w:after="0"/>
              <w:rPr>
                <w:sz w:val="20"/>
                <w:szCs w:val="20"/>
                <w:color w:val="auto"/>
              </w:rPr>
            </w:pPr>
            <w:r>
              <w:rPr>
                <w:rFonts w:ascii="Arial" w:cs="Arial" w:eastAsia="Arial" w:hAnsi="Arial"/>
                <w:sz w:val="16"/>
                <w:szCs w:val="16"/>
                <w:color w:val="auto"/>
              </w:rPr>
              <w:t>February 1, 2019 - February 28, 2019</w:t>
            </w:r>
          </w:p>
        </w:tc>
        <w:tc>
          <w:tcPr>
            <w:tcW w:w="1560" w:type="dxa"/>
            <w:vAlign w:val="bottom"/>
          </w:tcPr>
          <w:p>
            <w:pPr>
              <w:jc w:val="right"/>
              <w:spacing w:after="0"/>
              <w:rPr>
                <w:sz w:val="20"/>
                <w:szCs w:val="20"/>
                <w:color w:val="auto"/>
              </w:rPr>
            </w:pPr>
            <w:r>
              <w:rPr>
                <w:rFonts w:ascii="Arial" w:cs="Arial" w:eastAsia="Arial" w:hAnsi="Arial"/>
                <w:sz w:val="16"/>
                <w:szCs w:val="16"/>
                <w:color w:val="auto"/>
              </w:rPr>
              <w:t>1,625,694</w:t>
            </w:r>
          </w:p>
        </w:tc>
      </w:tr>
      <w:tr>
        <w:trPr>
          <w:trHeight w:val="270"/>
        </w:trPr>
        <w:tc>
          <w:tcPr>
            <w:tcW w:w="3360" w:type="dxa"/>
            <w:vAlign w:val="bottom"/>
          </w:tcPr>
          <w:p>
            <w:pPr>
              <w:spacing w:after="0"/>
              <w:rPr>
                <w:sz w:val="20"/>
                <w:szCs w:val="20"/>
                <w:color w:val="auto"/>
              </w:rPr>
            </w:pPr>
            <w:r>
              <w:rPr>
                <w:rFonts w:ascii="Arial" w:cs="Arial" w:eastAsia="Arial" w:hAnsi="Arial"/>
                <w:sz w:val="16"/>
                <w:szCs w:val="16"/>
                <w:color w:val="auto"/>
              </w:rPr>
              <w:t>March 1, 2019 - March 31, 2019</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360" w:type="dxa"/>
            <w:vAlign w:val="bottom"/>
          </w:tcPr>
          <w:p>
            <w:pPr>
              <w:spacing w:after="0"/>
              <w:rPr>
                <w:sz w:val="20"/>
                <w:szCs w:val="20"/>
                <w:color w:val="auto"/>
              </w:rPr>
            </w:pPr>
            <w:r>
              <w:rPr>
                <w:rFonts w:ascii="Arial" w:cs="Arial" w:eastAsia="Arial" w:hAnsi="Arial"/>
                <w:sz w:val="16"/>
                <w:szCs w:val="16"/>
                <w:color w:val="auto"/>
              </w:rPr>
              <w:t>Total</w:t>
            </w:r>
          </w:p>
        </w:tc>
        <w:tc>
          <w:tcPr>
            <w:tcW w:w="1560" w:type="dxa"/>
            <w:vAlign w:val="bottom"/>
          </w:tcPr>
          <w:p>
            <w:pPr>
              <w:jc w:val="right"/>
              <w:spacing w:after="0"/>
              <w:rPr>
                <w:sz w:val="20"/>
                <w:szCs w:val="20"/>
                <w:color w:val="auto"/>
              </w:rPr>
            </w:pPr>
            <w:r>
              <w:rPr>
                <w:rFonts w:ascii="Arial" w:cs="Arial" w:eastAsia="Arial" w:hAnsi="Arial"/>
                <w:sz w:val="16"/>
                <w:szCs w:val="16"/>
                <w:color w:val="auto"/>
              </w:rPr>
              <w:t>1,639,168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42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760" w:type="dxa"/>
            <w:vAlign w:val="bottom"/>
          </w:tcPr>
          <w:p>
            <w:pPr>
              <w:jc w:val="right"/>
              <w:ind w:right="615"/>
              <w:spacing w:after="0"/>
              <w:rPr>
                <w:sz w:val="20"/>
                <w:szCs w:val="20"/>
                <w:color w:val="auto"/>
              </w:rPr>
            </w:pPr>
            <w:r>
              <w:rPr>
                <w:rFonts w:ascii="Arial" w:cs="Arial" w:eastAsia="Arial" w:hAnsi="Arial"/>
                <w:sz w:val="9"/>
                <w:szCs w:val="9"/>
                <w:color w:val="auto"/>
                <w:w w:val="72"/>
              </w:rPr>
              <w:t>(1)</w:t>
            </w:r>
          </w:p>
        </w:tc>
        <w:tc>
          <w:tcPr>
            <w:tcW w:w="2060" w:type="dxa"/>
            <w:vAlign w:val="bottom"/>
          </w:tcPr>
          <w:p>
            <w:pPr>
              <w:ind w:left="660"/>
              <w:spacing w:after="0"/>
              <w:rPr>
                <w:sz w:val="20"/>
                <w:szCs w:val="20"/>
                <w:color w:val="auto"/>
              </w:rPr>
            </w:pPr>
            <w:r>
              <w:rPr>
                <w:rFonts w:ascii="Arial" w:cs="Arial" w:eastAsia="Arial" w:hAnsi="Arial"/>
                <w:sz w:val="16"/>
                <w:szCs w:val="16"/>
                <w:color w:val="auto"/>
              </w:rPr>
              <w:t xml:space="preserve">$1.97 </w:t>
            </w:r>
            <w:r>
              <w:rPr>
                <w:rFonts w:ascii="Arial" w:cs="Arial" w:eastAsia="Arial" w:hAnsi="Arial"/>
                <w:sz w:val="17"/>
                <w:szCs w:val="17"/>
                <w:color w:val="auto"/>
                <w:vertAlign w:val="superscript"/>
              </w:rPr>
              <w:t>(2)</w:t>
            </w:r>
          </w:p>
        </w:tc>
        <w:tc>
          <w:tcPr>
            <w:tcW w:w="1800" w:type="dxa"/>
            <w:vAlign w:val="bottom"/>
          </w:tcPr>
          <w:p>
            <w:pPr>
              <w:ind w:left="860"/>
              <w:spacing w:after="0"/>
              <w:rPr>
                <w:sz w:val="20"/>
                <w:szCs w:val="20"/>
                <w:color w:val="auto"/>
              </w:rPr>
            </w:pPr>
            <w:r>
              <w:rPr>
                <w:rFonts w:ascii="Arial" w:cs="Arial" w:eastAsia="Arial" w:hAnsi="Arial"/>
                <w:sz w:val="16"/>
                <w:szCs w:val="16"/>
                <w:color w:val="auto"/>
              </w:rPr>
              <w:t>—</w:t>
            </w:r>
          </w:p>
        </w:tc>
        <w:tc>
          <w:tcPr>
            <w:tcW w:w="920" w:type="dxa"/>
            <w:vAlign w:val="bottom"/>
          </w:tcPr>
          <w:p>
            <w:pPr>
              <w:ind w:left="760"/>
              <w:spacing w:after="0"/>
              <w:rPr>
                <w:sz w:val="20"/>
                <w:szCs w:val="20"/>
                <w:color w:val="auto"/>
              </w:rPr>
            </w:pPr>
            <w:r>
              <w:rPr>
                <w:rFonts w:ascii="Arial" w:cs="Arial" w:eastAsia="Arial" w:hAnsi="Arial"/>
                <w:sz w:val="16"/>
                <w:szCs w:val="16"/>
                <w:color w:val="auto"/>
                <w:w w:val="87"/>
              </w:rPr>
              <w:t>—</w:t>
            </w:r>
          </w:p>
        </w:tc>
      </w:tr>
      <w:tr>
        <w:trPr>
          <w:trHeight w:val="257"/>
        </w:trPr>
        <w:tc>
          <w:tcPr>
            <w:tcW w:w="760" w:type="dxa"/>
            <w:vAlign w:val="bottom"/>
          </w:tcPr>
          <w:p>
            <w:pPr>
              <w:jc w:val="right"/>
              <w:ind w:right="615"/>
              <w:spacing w:after="0"/>
              <w:rPr>
                <w:sz w:val="20"/>
                <w:szCs w:val="20"/>
                <w:color w:val="auto"/>
              </w:rPr>
            </w:pPr>
            <w:r>
              <w:rPr>
                <w:rFonts w:ascii="Arial" w:cs="Arial" w:eastAsia="Arial" w:hAnsi="Arial"/>
                <w:sz w:val="9"/>
                <w:szCs w:val="9"/>
                <w:color w:val="auto"/>
                <w:w w:val="72"/>
              </w:rPr>
              <w:t>(1)</w:t>
            </w:r>
          </w:p>
        </w:tc>
        <w:tc>
          <w:tcPr>
            <w:tcW w:w="2060" w:type="dxa"/>
            <w:vAlign w:val="bottom"/>
          </w:tcPr>
          <w:p>
            <w:pPr>
              <w:ind w:left="660"/>
              <w:spacing w:after="0"/>
              <w:rPr>
                <w:sz w:val="20"/>
                <w:szCs w:val="20"/>
                <w:color w:val="auto"/>
              </w:rPr>
            </w:pPr>
            <w:r>
              <w:rPr>
                <w:rFonts w:ascii="Arial" w:cs="Arial" w:eastAsia="Arial" w:hAnsi="Arial"/>
                <w:sz w:val="16"/>
                <w:szCs w:val="16"/>
                <w:color w:val="auto"/>
              </w:rPr>
              <w:t xml:space="preserve">$2.59 </w:t>
            </w:r>
            <w:r>
              <w:rPr>
                <w:rFonts w:ascii="Arial" w:cs="Arial" w:eastAsia="Arial" w:hAnsi="Arial"/>
                <w:sz w:val="17"/>
                <w:szCs w:val="17"/>
                <w:color w:val="auto"/>
                <w:vertAlign w:val="superscript"/>
              </w:rPr>
              <w:t>(2)</w:t>
            </w:r>
          </w:p>
        </w:tc>
        <w:tc>
          <w:tcPr>
            <w:tcW w:w="1800" w:type="dxa"/>
            <w:vAlign w:val="bottom"/>
          </w:tcPr>
          <w:p>
            <w:pPr>
              <w:ind w:left="860"/>
              <w:spacing w:after="0"/>
              <w:rPr>
                <w:sz w:val="20"/>
                <w:szCs w:val="20"/>
                <w:color w:val="auto"/>
              </w:rPr>
            </w:pPr>
            <w:r>
              <w:rPr>
                <w:rFonts w:ascii="Arial" w:cs="Arial" w:eastAsia="Arial" w:hAnsi="Arial"/>
                <w:sz w:val="16"/>
                <w:szCs w:val="16"/>
                <w:color w:val="auto"/>
              </w:rPr>
              <w:t>—</w:t>
            </w:r>
          </w:p>
        </w:tc>
        <w:tc>
          <w:tcPr>
            <w:tcW w:w="920" w:type="dxa"/>
            <w:vAlign w:val="bottom"/>
          </w:tcPr>
          <w:p>
            <w:pPr>
              <w:ind w:left="760"/>
              <w:spacing w:after="0"/>
              <w:rPr>
                <w:sz w:val="20"/>
                <w:szCs w:val="20"/>
                <w:color w:val="auto"/>
              </w:rPr>
            </w:pPr>
            <w:r>
              <w:rPr>
                <w:rFonts w:ascii="Arial" w:cs="Arial" w:eastAsia="Arial" w:hAnsi="Arial"/>
                <w:sz w:val="16"/>
                <w:szCs w:val="16"/>
                <w:color w:val="auto"/>
                <w:w w:val="87"/>
              </w:rPr>
              <w:t>—</w:t>
            </w:r>
          </w:p>
        </w:tc>
      </w:tr>
      <w:tr>
        <w:trPr>
          <w:trHeight w:val="239"/>
        </w:trPr>
        <w:tc>
          <w:tcPr>
            <w:tcW w:w="760" w:type="dxa"/>
            <w:vAlign w:val="bottom"/>
          </w:tcPr>
          <w:p>
            <w:pPr>
              <w:spacing w:after="0"/>
              <w:rPr>
                <w:sz w:val="20"/>
                <w:szCs w:val="20"/>
                <w:color w:val="auto"/>
              </w:rPr>
            </w:pPr>
          </w:p>
        </w:tc>
        <w:tc>
          <w:tcPr>
            <w:tcW w:w="2060" w:type="dxa"/>
            <w:vAlign w:val="bottom"/>
          </w:tcPr>
          <w:p>
            <w:pPr>
              <w:ind w:left="780"/>
              <w:spacing w:after="0"/>
              <w:rPr>
                <w:sz w:val="20"/>
                <w:szCs w:val="20"/>
                <w:color w:val="auto"/>
              </w:rPr>
            </w:pPr>
            <w:r>
              <w:rPr>
                <w:rFonts w:ascii="Arial" w:cs="Arial" w:eastAsia="Arial" w:hAnsi="Arial"/>
                <w:sz w:val="16"/>
                <w:szCs w:val="16"/>
                <w:color w:val="auto"/>
              </w:rPr>
              <w:t>—</w:t>
            </w:r>
          </w:p>
        </w:tc>
        <w:tc>
          <w:tcPr>
            <w:tcW w:w="1800" w:type="dxa"/>
            <w:vAlign w:val="bottom"/>
          </w:tcPr>
          <w:p>
            <w:pPr>
              <w:ind w:left="860"/>
              <w:spacing w:after="0"/>
              <w:rPr>
                <w:sz w:val="20"/>
                <w:szCs w:val="20"/>
                <w:color w:val="auto"/>
              </w:rPr>
            </w:pPr>
            <w:r>
              <w:rPr>
                <w:rFonts w:ascii="Arial" w:cs="Arial" w:eastAsia="Arial" w:hAnsi="Arial"/>
                <w:sz w:val="16"/>
                <w:szCs w:val="16"/>
                <w:color w:val="auto"/>
              </w:rPr>
              <w:t>—</w:t>
            </w:r>
          </w:p>
        </w:tc>
        <w:tc>
          <w:tcPr>
            <w:tcW w:w="920" w:type="dxa"/>
            <w:vAlign w:val="bottom"/>
          </w:tcPr>
          <w:p>
            <w:pPr>
              <w:ind w:left="760"/>
              <w:spacing w:after="0"/>
              <w:rPr>
                <w:sz w:val="20"/>
                <w:szCs w:val="20"/>
                <w:color w:val="auto"/>
              </w:rPr>
            </w:pPr>
            <w:r>
              <w:rPr>
                <w:rFonts w:ascii="Arial" w:cs="Arial" w:eastAsia="Arial" w:hAnsi="Arial"/>
                <w:sz w:val="16"/>
                <w:szCs w:val="16"/>
                <w:color w:val="auto"/>
                <w:w w:val="87"/>
              </w:rPr>
              <w:t>—</w:t>
            </w:r>
          </w:p>
        </w:tc>
      </w:tr>
      <w:tr>
        <w:trPr>
          <w:trHeight w:val="270"/>
        </w:trPr>
        <w:tc>
          <w:tcPr>
            <w:tcW w:w="760" w:type="dxa"/>
            <w:vAlign w:val="bottom"/>
          </w:tcPr>
          <w:p>
            <w:pPr>
              <w:spacing w:after="0"/>
              <w:rPr>
                <w:sz w:val="23"/>
                <w:szCs w:val="23"/>
                <w:color w:val="auto"/>
              </w:rPr>
            </w:pPr>
          </w:p>
        </w:tc>
        <w:tc>
          <w:tcPr>
            <w:tcW w:w="2060" w:type="dxa"/>
            <w:vAlign w:val="bottom"/>
          </w:tcPr>
          <w:p>
            <w:pPr>
              <w:ind w:left="660"/>
              <w:spacing w:after="0"/>
              <w:rPr>
                <w:sz w:val="20"/>
                <w:szCs w:val="20"/>
                <w:color w:val="auto"/>
              </w:rPr>
            </w:pPr>
            <w:r>
              <w:rPr>
                <w:rFonts w:ascii="Arial" w:cs="Arial" w:eastAsia="Arial" w:hAnsi="Arial"/>
                <w:sz w:val="16"/>
                <w:szCs w:val="16"/>
                <w:color w:val="auto"/>
              </w:rPr>
              <w:t>$2.46</w:t>
            </w:r>
          </w:p>
        </w:tc>
        <w:tc>
          <w:tcPr>
            <w:tcW w:w="1800" w:type="dxa"/>
            <w:vAlign w:val="bottom"/>
          </w:tcPr>
          <w:p>
            <w:pPr>
              <w:ind w:left="860"/>
              <w:spacing w:after="0"/>
              <w:rPr>
                <w:sz w:val="20"/>
                <w:szCs w:val="20"/>
                <w:color w:val="auto"/>
              </w:rPr>
            </w:pPr>
            <w:r>
              <w:rPr>
                <w:rFonts w:ascii="Arial" w:cs="Arial" w:eastAsia="Arial" w:hAnsi="Arial"/>
                <w:sz w:val="16"/>
                <w:szCs w:val="16"/>
                <w:color w:val="auto"/>
              </w:rPr>
              <w:t>—</w:t>
            </w:r>
          </w:p>
        </w:tc>
        <w:tc>
          <w:tcPr>
            <w:tcW w:w="920" w:type="dxa"/>
            <w:vAlign w:val="bottom"/>
          </w:tcPr>
          <w:p>
            <w:pPr>
              <w:ind w:left="760"/>
              <w:spacing w:after="0"/>
              <w:rPr>
                <w:sz w:val="20"/>
                <w:szCs w:val="20"/>
                <w:color w:val="auto"/>
              </w:rPr>
            </w:pPr>
            <w:r>
              <w:rPr>
                <w:rFonts w:ascii="Arial" w:cs="Arial" w:eastAsia="Arial" w:hAnsi="Arial"/>
                <w:sz w:val="16"/>
                <w:szCs w:val="16"/>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-321310</wp:posOffset>
            </wp:positionV>
            <wp:extent cx="68179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799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140"/>
            <w:col w:w="5900"/>
          </w:cols>
          <w:pgMar w:left="240" w:top="580" w:right="319" w:bottom="1440" w:gutter="0" w:footer="0" w:header="0"/>
          <w:type w:val="continuous"/>
        </w:sectPr>
      </w:pPr>
    </w:p>
    <w:p>
      <w:pPr>
        <w:spacing w:after="0" w:line="35" w:lineRule="exact"/>
        <w:rPr>
          <w:sz w:val="20"/>
          <w:szCs w:val="20"/>
          <w:color w:val="auto"/>
        </w:rPr>
      </w:pPr>
    </w:p>
    <w:p>
      <w:pPr>
        <w:ind w:left="340" w:right="22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spacing w:after="0" w:line="1" w:lineRule="exact"/>
        <w:rPr>
          <w:rFonts w:ascii="Arial" w:cs="Arial" w:eastAsia="Arial" w:hAnsi="Arial"/>
          <w:sz w:val="18"/>
          <w:szCs w:val="18"/>
          <w:color w:val="auto"/>
        </w:rPr>
      </w:pPr>
    </w:p>
    <w:p>
      <w:pPr>
        <w:ind w:left="340" w:right="220" w:hanging="332"/>
        <w:spacing w:after="0" w:line="265"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price paid per share was based on the closing price of our common shares on January 8, 2019, January 19, 2019, February 11, 2019, February 20, 2019, February 21, 2019 and February 23, 2019, the respective dates as of which the restrictions lapsed on such shares.</w:t>
      </w: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did not have at any time during the quarter ended March 31, 2019, and currently do not have, a share repurchase program in place.</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580" w:right="3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167" w:lineRule="exact"/>
        <w:rPr>
          <w:sz w:val="20"/>
          <w:szCs w:val="20"/>
          <w:color w:val="auto"/>
        </w:rPr>
      </w:pPr>
    </w:p>
    <w:p>
      <w:pPr>
        <w:ind w:left="820"/>
        <w:spacing w:after="0"/>
        <w:tabs>
          <w:tab w:leader="none" w:pos="63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31.1*</w:t>
            </w:r>
          </w:p>
        </w:tc>
        <w:tc>
          <w:tcPr>
            <w:tcW w:w="9540" w:type="dxa"/>
            <w:vAlign w:val="bottom"/>
            <w:gridSpan w:val="4"/>
          </w:tcPr>
          <w:p>
            <w:pPr>
              <w:ind w:left="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36">
              <w:r>
                <w:rPr>
                  <w:rFonts w:ascii="Arial" w:cs="Arial" w:eastAsia="Arial" w:hAnsi="Arial"/>
                  <w:sz w:val="18"/>
                  <w:szCs w:val="18"/>
                  <w:color w:val="0000FF"/>
                  <w:w w:val="94"/>
                </w:rPr>
                <w:t>Certification of Chief Executive Officer of Civeo Corporation pursuant to Rules 13a-14(a) or 15d-14(a)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36">
              <w:r>
                <w:rPr>
                  <w:rFonts w:ascii="Arial" w:cs="Arial" w:eastAsia="Arial" w:hAnsi="Arial"/>
                  <w:sz w:val="18"/>
                  <w:szCs w:val="18"/>
                  <w:color w:val="0000FF"/>
                  <w:w w:val="90"/>
                </w:rPr>
                <w:t>Exchange Act of 1934.</w:t>
              </w:r>
            </w:hyperlink>
          </w:p>
        </w:tc>
        <w:tc>
          <w:tcPr>
            <w:tcW w:w="7520" w:type="dxa"/>
            <w:vAlign w:val="bottom"/>
            <w:tcBorders>
              <w:top w:val="single" w:sz="8" w:color="0000FF"/>
            </w:tcBorders>
            <w:gridSpan w:val="2"/>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31.2*</w:t>
            </w:r>
          </w:p>
        </w:tc>
        <w:tc>
          <w:tcPr>
            <w:tcW w:w="9540" w:type="dxa"/>
            <w:vAlign w:val="bottom"/>
            <w:gridSpan w:val="4"/>
          </w:tcPr>
          <w:p>
            <w:pPr>
              <w:ind w:left="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37">
              <w:r>
                <w:rPr>
                  <w:rFonts w:ascii="Arial" w:cs="Arial" w:eastAsia="Arial" w:hAnsi="Arial"/>
                  <w:sz w:val="18"/>
                  <w:szCs w:val="18"/>
                  <w:color w:val="0000FF"/>
                  <w:w w:val="95"/>
                </w:rPr>
                <w:t>Certification of Chief Financial Officer of Civeo Corporation pursuant to Rules 13a-14(a) or 15d-14(a)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37">
              <w:r>
                <w:rPr>
                  <w:rFonts w:ascii="Arial" w:cs="Arial" w:eastAsia="Arial" w:hAnsi="Arial"/>
                  <w:sz w:val="18"/>
                  <w:szCs w:val="18"/>
                  <w:color w:val="0000FF"/>
                  <w:w w:val="90"/>
                </w:rPr>
                <w:t>Exchange Act of 1934.</w:t>
              </w:r>
            </w:hyperlink>
          </w:p>
        </w:tc>
        <w:tc>
          <w:tcPr>
            <w:tcW w:w="7520" w:type="dxa"/>
            <w:vAlign w:val="bottom"/>
            <w:tcBorders>
              <w:top w:val="single" w:sz="8" w:color="0000FF"/>
            </w:tcBorders>
            <w:gridSpan w:val="2"/>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32.1**</w:t>
            </w:r>
          </w:p>
        </w:tc>
        <w:tc>
          <w:tcPr>
            <w:tcW w:w="9540" w:type="dxa"/>
            <w:vAlign w:val="bottom"/>
            <w:gridSpan w:val="4"/>
          </w:tcPr>
          <w:p>
            <w:pPr>
              <w:ind w:left="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38">
              <w:r>
                <w:rPr>
                  <w:rFonts w:ascii="Arial" w:cs="Arial" w:eastAsia="Arial" w:hAnsi="Arial"/>
                  <w:sz w:val="18"/>
                  <w:szCs w:val="18"/>
                  <w:color w:val="0000FF"/>
                  <w:w w:val="94"/>
                </w:rPr>
                <w:t>Certification of Chief Executive Officer of Civeo Corporation pursuant to Rules 13a-14(b) or 15d-14(b)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38">
              <w:r>
                <w:rPr>
                  <w:rFonts w:ascii="Arial" w:cs="Arial" w:eastAsia="Arial" w:hAnsi="Arial"/>
                  <w:sz w:val="18"/>
                  <w:szCs w:val="18"/>
                  <w:color w:val="0000FF"/>
                  <w:w w:val="90"/>
                </w:rPr>
                <w:t>Exchange Act of 1934.</w:t>
              </w:r>
            </w:hyperlink>
          </w:p>
        </w:tc>
        <w:tc>
          <w:tcPr>
            <w:tcW w:w="75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32.2**</w:t>
            </w:r>
          </w:p>
        </w:tc>
        <w:tc>
          <w:tcPr>
            <w:tcW w:w="9540" w:type="dxa"/>
            <w:vAlign w:val="bottom"/>
            <w:gridSpan w:val="4"/>
          </w:tcPr>
          <w:p>
            <w:pPr>
              <w:ind w:left="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39">
              <w:r>
                <w:rPr>
                  <w:rFonts w:ascii="Arial" w:cs="Arial" w:eastAsia="Arial" w:hAnsi="Arial"/>
                  <w:sz w:val="18"/>
                  <w:szCs w:val="18"/>
                  <w:color w:val="0000FF"/>
                  <w:w w:val="95"/>
                </w:rPr>
                <w:t>Certification of Chief Financial Officer of Civeo Corporation pursuant to Rules 13a-14(b) or 15d-14(b)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39">
              <w:r>
                <w:rPr>
                  <w:rFonts w:ascii="Arial" w:cs="Arial" w:eastAsia="Arial" w:hAnsi="Arial"/>
                  <w:sz w:val="18"/>
                  <w:szCs w:val="18"/>
                  <w:color w:val="0000FF"/>
                  <w:w w:val="90"/>
                </w:rPr>
                <w:t>Exchange Act of 1934.</w:t>
              </w:r>
            </w:hyperlink>
          </w:p>
        </w:tc>
        <w:tc>
          <w:tcPr>
            <w:tcW w:w="7520" w:type="dxa"/>
            <w:vAlign w:val="bottom"/>
            <w:tcBorders>
              <w:top w:val="single" w:sz="8" w:color="0000FF"/>
            </w:tcBorders>
            <w:gridSpan w:val="2"/>
          </w:tcPr>
          <w:p>
            <w:pPr>
              <w:spacing w:after="0"/>
              <w:rPr>
                <w:sz w:val="17"/>
                <w:szCs w:val="17"/>
                <w:color w:val="auto"/>
              </w:rPr>
            </w:pPr>
          </w:p>
        </w:tc>
      </w:tr>
      <w:tr>
        <w:trPr>
          <w:trHeight w:val="561"/>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101.INS*</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1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101.SCH*</w:t>
            </w:r>
          </w:p>
        </w:tc>
        <w:tc>
          <w:tcPr>
            <w:tcW w:w="9540" w:type="dxa"/>
            <w:vAlign w:val="bottom"/>
            <w:gridSpan w:val="4"/>
          </w:tcPr>
          <w:p>
            <w:pPr>
              <w:ind w:left="40"/>
              <w:spacing w:after="0"/>
              <w:rPr>
                <w:sz w:val="20"/>
                <w:szCs w:val="20"/>
                <w:color w:val="auto"/>
              </w:rPr>
            </w:pPr>
            <w:r>
              <w:rPr>
                <w:rFonts w:ascii="Arial" w:cs="Arial" w:eastAsia="Arial" w:hAnsi="Arial"/>
                <w:sz w:val="18"/>
                <w:szCs w:val="18"/>
                <w:color w:val="auto"/>
              </w:rPr>
              <w:t>—  XBRL Taxonomy Extension Schema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101.CAL*</w:t>
            </w:r>
          </w:p>
        </w:tc>
        <w:tc>
          <w:tcPr>
            <w:tcW w:w="9540" w:type="dxa"/>
            <w:vAlign w:val="bottom"/>
            <w:gridSpan w:val="4"/>
          </w:tcPr>
          <w:p>
            <w:pPr>
              <w:ind w:left="4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101.DEF*</w:t>
            </w:r>
          </w:p>
        </w:tc>
        <w:tc>
          <w:tcPr>
            <w:tcW w:w="9540" w:type="dxa"/>
            <w:vAlign w:val="bottom"/>
            <w:gridSpan w:val="4"/>
          </w:tcPr>
          <w:p>
            <w:pPr>
              <w:ind w:left="40"/>
              <w:spacing w:after="0"/>
              <w:rPr>
                <w:sz w:val="20"/>
                <w:szCs w:val="20"/>
                <w:color w:val="auto"/>
              </w:rPr>
            </w:pPr>
            <w:r>
              <w:rPr>
                <w:rFonts w:ascii="Arial" w:cs="Arial" w:eastAsia="Arial" w:hAnsi="Arial"/>
                <w:sz w:val="18"/>
                <w:szCs w:val="18"/>
                <w:color w:val="auto"/>
              </w:rPr>
              <w:t>—  XBRL Taxonomy Extension Definition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101.LAB*</w:t>
            </w:r>
          </w:p>
        </w:tc>
        <w:tc>
          <w:tcPr>
            <w:tcW w:w="9540" w:type="dxa"/>
            <w:vAlign w:val="bottom"/>
            <w:gridSpan w:val="4"/>
          </w:tcPr>
          <w:p>
            <w:pPr>
              <w:ind w:left="40"/>
              <w:spacing w:after="0"/>
              <w:rPr>
                <w:sz w:val="20"/>
                <w:szCs w:val="20"/>
                <w:color w:val="auto"/>
              </w:rPr>
            </w:pPr>
            <w:r>
              <w:rPr>
                <w:rFonts w:ascii="Arial" w:cs="Arial" w:eastAsia="Arial" w:hAnsi="Arial"/>
                <w:sz w:val="18"/>
                <w:szCs w:val="18"/>
                <w:color w:val="auto"/>
              </w:rPr>
              <w:t>—  XBRL Taxonomy Extension Label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101.PRE*</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1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840" w:type="dxa"/>
            <w:vAlign w:val="bottom"/>
            <w:gridSpan w:val="2"/>
          </w:tcPr>
          <w:p>
            <w:pPr>
              <w:jc w:val="right"/>
              <w:ind w:right="1210"/>
              <w:spacing w:after="0"/>
              <w:rPr>
                <w:sz w:val="20"/>
                <w:szCs w:val="20"/>
                <w:color w:val="auto"/>
              </w:rPr>
            </w:pPr>
            <w:r>
              <w:rPr>
                <w:rFonts w:ascii="Arial" w:cs="Arial" w:eastAsia="Arial" w:hAnsi="Arial"/>
                <w:sz w:val="18"/>
                <w:szCs w:val="18"/>
                <w:color w:val="auto"/>
                <w:w w:val="96"/>
              </w:rPr>
              <w:t>---------</w:t>
            </w: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8"/>
        </w:trPr>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w w:val="91"/>
              </w:rPr>
              <w:t>Furnished herewith.</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75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96" w:right="239" w:bottom="1440" w:gutter="0" w:footer="0" w:header="0"/>
        </w:sectPr>
      </w:pPr>
    </w:p>
    <w:bookmarkStart w:id="34" w:name="page35"/>
    <w:bookmarkEnd w:id="34"/>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5580" w:type="dxa"/>
            <w:vAlign w:val="bottom"/>
            <w:gridSpan w:val="2"/>
          </w:tcPr>
          <w:p>
            <w:pPr>
              <w:ind w:left="3460"/>
              <w:spacing w:after="0"/>
              <w:rPr>
                <w:sz w:val="20"/>
                <w:szCs w:val="20"/>
                <w:color w:val="auto"/>
              </w:rPr>
            </w:pPr>
            <w:r>
              <w:rPr>
                <w:rFonts w:ascii="Arial" w:cs="Arial" w:eastAsia="Arial" w:hAnsi="Arial"/>
                <w:sz w:val="18"/>
                <w:szCs w:val="18"/>
                <w:color w:val="auto"/>
              </w:rPr>
              <w:t>CIVEO CORPORATION</w:t>
            </w:r>
          </w:p>
        </w:tc>
        <w:tc>
          <w:tcPr>
            <w:tcW w:w="3200" w:type="dxa"/>
            <w:vAlign w:val="bottom"/>
          </w:tcPr>
          <w:p>
            <w:pPr>
              <w:spacing w:after="0"/>
              <w:rPr>
                <w:sz w:val="20"/>
                <w:szCs w:val="20"/>
                <w:color w:val="auto"/>
              </w:rPr>
            </w:pPr>
          </w:p>
        </w:tc>
      </w:tr>
      <w:tr>
        <w:trPr>
          <w:trHeight w:val="554"/>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Date: April 26, 2019</w:t>
            </w:r>
          </w:p>
        </w:tc>
        <w:tc>
          <w:tcPr>
            <w:tcW w:w="4860" w:type="dxa"/>
            <w:vAlign w:val="bottom"/>
          </w:tcPr>
          <w:p>
            <w:pPr>
              <w:ind w:left="4560"/>
              <w:spacing w:after="0"/>
              <w:rPr>
                <w:sz w:val="20"/>
                <w:szCs w:val="20"/>
                <w:color w:val="auto"/>
              </w:rPr>
            </w:pPr>
            <w:r>
              <w:rPr>
                <w:rFonts w:ascii="Arial" w:cs="Arial" w:eastAsia="Arial" w:hAnsi="Arial"/>
                <w:sz w:val="18"/>
                <w:szCs w:val="18"/>
                <w:b w:val="1"/>
                <w:bCs w:val="1"/>
                <w:color w:val="auto"/>
              </w:rPr>
              <w:t>By</w:t>
            </w:r>
          </w:p>
        </w:tc>
        <w:tc>
          <w:tcPr>
            <w:tcW w:w="7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 Frank C. Steininger</w:t>
            </w:r>
          </w:p>
        </w:tc>
      </w:tr>
    </w:tbl>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Frank C. Steininger</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Executive Vice President, Chief Financial Officer and</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Treasurer (Duly Authorized Officer and Principal</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Financial Officer)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Bradley J. Dodson, certify that:</w:t>
      </w:r>
    </w:p>
    <w:p>
      <w:pPr>
        <w:spacing w:after="0" w:line="387" w:lineRule="exact"/>
        <w:rPr>
          <w:sz w:val="20"/>
          <w:szCs w:val="20"/>
          <w:color w:val="auto"/>
        </w:rPr>
      </w:pPr>
    </w:p>
    <w:p>
      <w:pPr>
        <w:ind w:left="300" w:hanging="265"/>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00" w:right="2220" w:hanging="265"/>
        <w:spacing w:after="0" w:line="264"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sz w:val="20"/>
          <w:szCs w:val="20"/>
          <w:color w:val="auto"/>
        </w:rPr>
      </w:pPr>
    </w:p>
    <w:p>
      <w:pPr>
        <w:jc w:val="both"/>
        <w:ind w:left="300" w:right="2220" w:hanging="265"/>
        <w:spacing w:after="0" w:line="264"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sz w:val="20"/>
          <w:szCs w:val="20"/>
          <w:color w:val="auto"/>
        </w:rPr>
      </w:pPr>
    </w:p>
    <w:p>
      <w:pPr>
        <w:jc w:val="both"/>
        <w:ind w:left="300" w:right="2220" w:hanging="265"/>
        <w:spacing w:after="0" w:line="264"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00" w:right="2220" w:hanging="297"/>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600" w:right="2220" w:hanging="297"/>
        <w:spacing w:after="0" w:line="305" w:lineRule="auto"/>
        <w:rPr>
          <w:rFonts w:ascii="Arial" w:cs="Arial" w:eastAsia="Arial" w:hAnsi="Arial"/>
          <w:sz w:val="18"/>
          <w:szCs w:val="18"/>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00" w:right="2220" w:hanging="297"/>
        <w:spacing w:after="0" w:line="264"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600" w:right="2220" w:hanging="297"/>
        <w:spacing w:after="0" w:line="259"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300" w:right="2220" w:hanging="265"/>
        <w:spacing w:after="0" w:line="264"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8"/>
          <w:szCs w:val="18"/>
          <w:color w:val="auto"/>
        </w:rPr>
      </w:pPr>
    </w:p>
    <w:p>
      <w:pPr>
        <w:ind w:left="600" w:right="2220" w:hanging="297"/>
        <w:spacing w:after="0" w:line="26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600" w:right="2220" w:hanging="297"/>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Bradley J. Dodson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Frank C. Steininger, certify that:</w:t>
      </w:r>
    </w:p>
    <w:p>
      <w:pPr>
        <w:spacing w:after="0" w:line="387" w:lineRule="exact"/>
        <w:rPr>
          <w:sz w:val="20"/>
          <w:szCs w:val="20"/>
          <w:color w:val="auto"/>
        </w:rPr>
      </w:pPr>
    </w:p>
    <w:p>
      <w:pPr>
        <w:ind w:left="4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 have reviewed this Quarterly Report on Form 10-Q of Civeo Corporation (Registrant);</w:t>
      </w:r>
    </w:p>
    <w:p>
      <w:pPr>
        <w:spacing w:after="0" w:line="63" w:lineRule="exact"/>
        <w:rPr>
          <w:sz w:val="20"/>
          <w:szCs w:val="20"/>
          <w:color w:val="auto"/>
        </w:rPr>
      </w:pPr>
    </w:p>
    <w:p>
      <w:pPr>
        <w:jc w:val="both"/>
        <w:ind w:left="280" w:right="2320" w:hanging="245"/>
        <w:spacing w:after="0" w:line="264"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sz w:val="20"/>
          <w:szCs w:val="20"/>
          <w:color w:val="auto"/>
        </w:rPr>
      </w:pPr>
    </w:p>
    <w:p>
      <w:pPr>
        <w:jc w:val="both"/>
        <w:ind w:left="280" w:right="2320" w:hanging="245"/>
        <w:spacing w:after="0" w:line="264"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sz w:val="20"/>
          <w:szCs w:val="20"/>
          <w:color w:val="auto"/>
        </w:rPr>
      </w:pPr>
    </w:p>
    <w:p>
      <w:pPr>
        <w:jc w:val="both"/>
        <w:ind w:left="280" w:right="2320" w:hanging="245"/>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8"/>
          <w:szCs w:val="18"/>
          <w:color w:val="auto"/>
        </w:rPr>
      </w:pPr>
    </w:p>
    <w:p>
      <w:pPr>
        <w:ind w:left="620" w:right="2320" w:hanging="338"/>
        <w:spacing w:after="0" w:line="264"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280" w:right="2320" w:hanging="245"/>
        <w:spacing w:after="0" w:line="264"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8"/>
          <w:szCs w:val="18"/>
          <w:color w:val="auto"/>
        </w:rPr>
      </w:pPr>
    </w:p>
    <w:p>
      <w:pPr>
        <w:ind w:left="620" w:right="2320" w:hanging="338"/>
        <w:spacing w:after="0" w:line="26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620" w:right="2320" w:hanging="338"/>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38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Frank C. Steininger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Chief Financial Officer and</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2019,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63" w:lineRule="exact"/>
        <w:rPr>
          <w:sz w:val="20"/>
          <w:szCs w:val="20"/>
          <w:color w:val="auto"/>
        </w:rPr>
      </w:pPr>
    </w:p>
    <w:p>
      <w:pPr>
        <w:ind w:left="220" w:right="2220" w:hanging="185"/>
        <w:spacing w:after="0" w:line="277"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2615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760" w:val="left"/>
        </w:tabs>
        <w:rPr>
          <w:sz w:val="20"/>
          <w:szCs w:val="20"/>
          <w:color w:val="auto"/>
        </w:rPr>
      </w:pPr>
      <w:r>
        <w:rPr>
          <w:rFonts w:ascii="Arial" w:cs="Arial" w:eastAsia="Arial" w:hAnsi="Arial"/>
          <w:sz w:val="18"/>
          <w:szCs w:val="18"/>
          <w:color w:val="auto"/>
        </w:rPr>
        <w:t>Name:</w:t>
        <w:tab/>
        <w:t>Bradley J. Dodson</w:t>
      </w:r>
    </w:p>
    <w:p>
      <w:pPr>
        <w:spacing w:after="0" w:line="63" w:lineRule="exact"/>
        <w:rPr>
          <w:sz w:val="20"/>
          <w:szCs w:val="20"/>
          <w:color w:val="auto"/>
        </w:rPr>
      </w:pPr>
    </w:p>
    <w:p>
      <w:pPr>
        <w:ind w:left="6080"/>
        <w:spacing w:after="0"/>
        <w:tabs>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2019</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2019, as filed with the Securities and Exchange Commission on the date hereof (the “Report”), I, Frank C. Steininger, Executive Vice President, Chief Financial Officer and Treasurer of the Company, hereby certify, pursuant to 18 U.S.C. Section 1350, as adopted pursuant to Section 906 of the Sarbanes-Oxley Act of 2002, to the best of my knowledge, that:</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63" w:lineRule="exact"/>
        <w:rPr>
          <w:sz w:val="20"/>
          <w:szCs w:val="20"/>
          <w:color w:val="auto"/>
        </w:rPr>
      </w:pPr>
    </w:p>
    <w:p>
      <w:pPr>
        <w:ind w:left="220" w:right="2220" w:hanging="185"/>
        <w:spacing w:after="0" w:line="277"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2632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Frank C. Steininger</w:t>
      </w:r>
    </w:p>
    <w:p>
      <w:pPr>
        <w:spacing w:after="0" w:line="63" w:lineRule="exact"/>
        <w:rPr>
          <w:sz w:val="20"/>
          <w:szCs w:val="20"/>
          <w:color w:val="auto"/>
        </w:rPr>
      </w:pPr>
    </w:p>
    <w:p>
      <w:pPr>
        <w:ind w:left="5860"/>
        <w:spacing w:after="0"/>
        <w:tabs>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decimal"/>
      <w:start w:val="4"/>
    </w:lvl>
  </w:abstractNum>
  <w:abstractNum w:abstractNumId="5">
    <w:nsid w:val="3F2DBA31"/>
    <w:multiLevelType w:val="hybridMultilevel"/>
    <w:lvl w:ilvl="0">
      <w:lvlJc w:val="left"/>
      <w:lvlText w:val="%1."/>
      <w:numFmt w:val="decimal"/>
      <w:start w:val="5"/>
    </w:lvl>
  </w:abstractNum>
  <w:abstractNum w:abstractNumId="6">
    <w:nsid w:val="7C83E458"/>
    <w:multiLevelType w:val="hybridMultilevel"/>
    <w:lvl w:ilvl="0">
      <w:lvlJc w:val="left"/>
      <w:lvlText w:val="%1."/>
      <w:numFmt w:val="decimal"/>
      <w:start w:val="7"/>
    </w:lvl>
  </w:abstractNum>
  <w:abstractNum w:abstractNumId="7">
    <w:nsid w:val="257130A3"/>
    <w:multiLevelType w:val="hybridMultilevel"/>
    <w:lvl w:ilvl="0">
      <w:lvlJc w:val="left"/>
      <w:lvlText w:val="%1."/>
      <w:numFmt w:val="decimal"/>
      <w:start w:val="8"/>
    </w:lvl>
  </w:abstractNum>
  <w:abstractNum w:abstractNumId="8">
    <w:nsid w:val="62BBD95A"/>
    <w:multiLevelType w:val="hybridMultilevel"/>
    <w:lvl w:ilvl="0">
      <w:lvlJc w:val="left"/>
      <w:lvlText w:val="%1."/>
      <w:numFmt w:val="decimal"/>
      <w:start w:val="9"/>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bullet"/>
      <w:start w:val="1"/>
    </w:lvl>
  </w:abstractNum>
  <w:abstractNum w:abstractNumId="21">
    <w:nsid w:val="189A769B"/>
    <w:multiLevelType w:val="hybridMultilevel"/>
    <w:lvl w:ilvl="0">
      <w:lvlJc w:val="left"/>
      <w:lvlText w:val="2"/>
      <w:numFmt w:val="bullet"/>
      <w:start w:val="1"/>
    </w:lvl>
  </w:abstractNum>
  <w:abstractNum w:abstractNumId="22">
    <w:nsid w:val="54E49EB4"/>
    <w:multiLevelType w:val="hybridMultilevel"/>
    <w:lvl w:ilvl="0">
      <w:lvlJc w:val="left"/>
      <w:lvlText w:val="3"/>
      <w:numFmt w:val="bullet"/>
      <w:start w:val="1"/>
    </w:lvl>
  </w:abstractNum>
  <w:abstractNum w:abstractNumId="23">
    <w:nsid w:val="71F32454"/>
    <w:multiLevelType w:val="hybridMultilevel"/>
    <w:lvl w:ilvl="0">
      <w:lvlJc w:val="left"/>
      <w:lvlText w:val="4"/>
      <w:numFmt w:val="bullet"/>
      <w:start w:val="1"/>
    </w:lvl>
  </w:abstractNum>
  <w:abstractNum w:abstractNumId="24">
    <w:nsid w:val="2CA88611"/>
    <w:multiLevelType w:val="hybridMultilevel"/>
    <w:lvl w:ilvl="0">
      <w:lvlJc w:val="left"/>
      <w:lvlText w:val="5"/>
      <w:numFmt w:val="bullet"/>
      <w:start w:val="1"/>
    </w:lvl>
  </w:abstractNum>
  <w:abstractNum w:abstractNumId="25">
    <w:nsid w:val="836C40E"/>
    <w:multiLevelType w:val="hybridMultilevel"/>
    <w:lvl w:ilvl="0">
      <w:lvlJc w:val="left"/>
      <w:lvlText w:val="2"/>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2"/>
      <w:numFmt w:val="bullet"/>
      <w:start w:val="1"/>
    </w:lvl>
  </w:abstractNum>
  <w:abstractNum w:abstractNumId="30">
    <w:nsid w:val="7C3DBD3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2019-12-28T13:46:58Z</dcterms:created>
  <dcterms:modified xsi:type="dcterms:W3CDTF">2019-12-28T13:46:58Z</dcterms:modified>
</cp:coreProperties>
</file>