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4"/>
          <w:szCs w:val="14"/>
          <w:color w:val="auto"/>
        </w:rPr>
        <w:t>UNITED STATES</w:t>
      </w:r>
    </w:p>
    <w:p>
      <w:pPr>
        <w:spacing w:after="0" w:line="2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5" w:lineRule="exact"/>
        <w:rPr>
          <w:sz w:val="24"/>
          <w:szCs w:val="24"/>
          <w:color w:val="auto"/>
        </w:rPr>
      </w:pPr>
    </w:p>
    <w:p>
      <w:pPr>
        <w:ind w:left="820" w:hanging="790"/>
        <w:spacing w:after="0"/>
        <w:tabs>
          <w:tab w:leader="none" w:pos="8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9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quarterly period ended March 31, 2024</w:t>
      </w:r>
    </w:p>
    <w:p>
      <w:pPr>
        <w:spacing w:after="0" w:line="5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OR</w:t>
      </w:r>
    </w:p>
    <w:p>
      <w:pPr>
        <w:spacing w:after="0" w:line="83" w:lineRule="exact"/>
        <w:rPr>
          <w:sz w:val="24"/>
          <w:szCs w:val="24"/>
          <w:color w:val="auto"/>
        </w:rPr>
      </w:pPr>
    </w:p>
    <w:p>
      <w:pPr>
        <w:ind w:left="1200" w:right="3260" w:hanging="799"/>
        <w:spacing w:after="0" w:line="450" w:lineRule="auto"/>
        <w:tabs>
          <w:tab w:leader="none" w:pos="12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 For the transition period from _________________________ to _________________________</w:t>
      </w:r>
    </w:p>
    <w:tbl>
      <w:tblPr>
        <w:tblLayout w:type="fixed"/>
        <w:tblInd w:w="1440" w:type="dxa"/>
        <w:tblCellMar>
          <w:top w:w="0" w:type="dxa"/>
          <w:left w:w="0" w:type="dxa"/>
          <w:bottom w:w="0" w:type="dxa"/>
          <w:right w:w="0" w:type="dxa"/>
        </w:tblCellMar>
      </w:tblPr>
      <w:tr>
        <w:trPr>
          <w:trHeight w:val="154"/>
        </w:trPr>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20" w:type="dxa"/>
            <w:vAlign w:val="bottom"/>
            <w:gridSpan w:val="8"/>
          </w:tcPr>
          <w:p>
            <w:pPr>
              <w:jc w:val="center"/>
              <w:ind w:right="2180"/>
              <w:spacing w:after="0" w:line="154" w:lineRule="exact"/>
              <w:rPr>
                <w:sz w:val="20"/>
                <w:szCs w:val="20"/>
                <w:color w:val="auto"/>
              </w:rPr>
            </w:pPr>
            <w:r>
              <w:rPr>
                <w:rFonts w:ascii="Times New Roman" w:cs="Times New Roman" w:eastAsia="Times New Roman" w:hAnsi="Times New Roman"/>
                <w:sz w:val="14"/>
                <w:szCs w:val="14"/>
                <w:color w:val="auto"/>
              </w:rPr>
              <w:t>Commission file number: 001-36246</w:t>
            </w:r>
          </w:p>
        </w:tc>
      </w:tr>
      <w:tr>
        <w:trPr>
          <w:trHeight w:val="20"/>
        </w:trPr>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6"/>
        </w:trPr>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20" w:type="dxa"/>
            <w:vAlign w:val="bottom"/>
            <w:gridSpan w:val="8"/>
          </w:tcPr>
          <w:p>
            <w:pPr>
              <w:jc w:val="center"/>
              <w:ind w:right="2200"/>
              <w:spacing w:after="0"/>
              <w:rPr>
                <w:sz w:val="20"/>
                <w:szCs w:val="20"/>
                <w:color w:val="auto"/>
              </w:rPr>
            </w:pPr>
            <w:r>
              <w:rPr>
                <w:rFonts w:ascii="Times New Roman" w:cs="Times New Roman" w:eastAsia="Times New Roman" w:hAnsi="Times New Roman"/>
                <w:sz w:val="17"/>
                <w:szCs w:val="17"/>
                <w:b w:val="1"/>
                <w:bCs w:val="1"/>
                <w:color w:val="auto"/>
                <w:w w:val="99"/>
              </w:rPr>
              <w:t>Civeo Corporation</w:t>
            </w:r>
          </w:p>
        </w:tc>
      </w:tr>
      <w:tr>
        <w:trPr>
          <w:trHeight w:val="24"/>
        </w:trPr>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5"/>
        </w:trPr>
        <w:tc>
          <w:tcPr>
            <w:tcW w:w="6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740" w:type="dxa"/>
            <w:vAlign w:val="bottom"/>
            <w:gridSpan w:val="9"/>
          </w:tcPr>
          <w:p>
            <w:pPr>
              <w:jc w:val="center"/>
              <w:ind w:right="17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29"/>
        </w:trPr>
        <w:tc>
          <w:tcPr>
            <w:tcW w:w="6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British Columbia, Canada</w:t>
            </w:r>
          </w:p>
        </w:tc>
        <w:tc>
          <w:tcPr>
            <w:tcW w:w="660" w:type="dxa"/>
            <w:vAlign w:val="bottom"/>
          </w:tcPr>
          <w:p>
            <w:pPr>
              <w:spacing w:after="0"/>
              <w:rPr>
                <w:sz w:val="24"/>
                <w:szCs w:val="24"/>
                <w:color w:val="auto"/>
              </w:rPr>
            </w:pPr>
          </w:p>
        </w:tc>
        <w:tc>
          <w:tcPr>
            <w:tcW w:w="4740" w:type="dxa"/>
            <w:vAlign w:val="bottom"/>
            <w:gridSpan w:val="9"/>
          </w:tcPr>
          <w:p>
            <w:pPr>
              <w:jc w:val="right"/>
              <w:ind w:right="180"/>
              <w:spacing w:after="0"/>
              <w:rPr>
                <w:sz w:val="20"/>
                <w:szCs w:val="20"/>
                <w:color w:val="auto"/>
              </w:rPr>
            </w:pPr>
            <w:r>
              <w:rPr>
                <w:rFonts w:ascii="Times New Roman" w:cs="Times New Roman" w:eastAsia="Times New Roman" w:hAnsi="Times New Roman"/>
                <w:sz w:val="14"/>
                <w:szCs w:val="14"/>
                <w:color w:val="auto"/>
              </w:rPr>
              <w:t>98-1253716</w:t>
            </w:r>
          </w:p>
        </w:tc>
      </w:tr>
      <w:tr>
        <w:trPr>
          <w:trHeight w:val="20"/>
        </w:trPr>
        <w:tc>
          <w:tcPr>
            <w:tcW w:w="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2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5"/>
          </w:tcPr>
          <w:p>
            <w:pPr>
              <w:jc w:val="center"/>
              <w:ind w:left="106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5"/>
          </w:tcPr>
          <w:p>
            <w:pPr>
              <w:jc w:val="center"/>
              <w:ind w:left="104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29"/>
        </w:trPr>
        <w:tc>
          <w:tcPr>
            <w:tcW w:w="2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Three Allen Center, 333 Clay Street, Suite 4980,</w:t>
            </w:r>
          </w:p>
        </w:tc>
        <w:tc>
          <w:tcPr>
            <w:tcW w:w="440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77002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88"/>
        </w:trPr>
        <w:tc>
          <w:tcPr>
            <w:tcW w:w="640" w:type="dxa"/>
            <w:vAlign w:val="bottom"/>
          </w:tcPr>
          <w:p>
            <w:pPr>
              <w:spacing w:after="0"/>
              <w:rPr>
                <w:sz w:val="16"/>
                <w:szCs w:val="16"/>
                <w:color w:val="auto"/>
              </w:rPr>
            </w:pPr>
          </w:p>
        </w:tc>
        <w:tc>
          <w:tcPr>
            <w:tcW w:w="21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Houston, Texas</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(Zip Code)</w:t>
            </w:r>
          </w:p>
        </w:tc>
      </w:tr>
      <w:tr>
        <w:trPr>
          <w:trHeight w:val="184"/>
        </w:trPr>
        <w:tc>
          <w:tcPr>
            <w:tcW w:w="2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6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(713) 510-2400</w:t>
      </w:r>
    </w:p>
    <w:p>
      <w:pPr>
        <w:spacing w:after="0" w:line="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80"/>
          </w:cols>
          <w:pgMar w:left="300" w:top="1228" w:right="319" w:bottom="1440" w:gutter="0" w:footer="0" w:header="0"/>
        </w:sectPr>
      </w:pPr>
    </w:p>
    <w:p>
      <w:pPr>
        <w:spacing w:after="0" w:line="12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3"/>
          <w:szCs w:val="13"/>
          <w:color w:val="auto"/>
        </w:rPr>
        <w:t>Title of Each Class</w:t>
      </w:r>
    </w:p>
    <w:p>
      <w:pPr>
        <w:spacing w:after="0" w:line="20"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2"/>
          <w:szCs w:val="12"/>
          <w:color w:val="auto"/>
        </w:rPr>
        <w:t>Common Shares, no par value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Trading Symbol</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CVEO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2"/>
          <w:szCs w:val="12"/>
          <w:color w:val="auto"/>
        </w:rPr>
        <w:t>Name of Each Exchange on Which Registered</w:t>
      </w:r>
    </w:p>
    <w:p>
      <w:pPr>
        <w:spacing w:after="0" w:line="32"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3"/>
          <w:szCs w:val="13"/>
          <w:color w:val="auto"/>
        </w:rPr>
        <w:t>New York Stock Exchange</w:t>
      </w:r>
    </w:p>
    <w:p>
      <w:pPr>
        <w:spacing w:after="0" w:line="88" w:lineRule="exact"/>
        <w:rPr>
          <w:sz w:val="24"/>
          <w:szCs w:val="24"/>
          <w:color w:val="auto"/>
        </w:rPr>
      </w:pPr>
    </w:p>
    <w:p>
      <w:pPr>
        <w:sectPr>
          <w:pgSz w:w="11900" w:h="16838" w:orient="portrait"/>
          <w:cols w:equalWidth="0" w:num="3">
            <w:col w:w="3680" w:space="720"/>
            <w:col w:w="1960" w:space="720"/>
            <w:col w:w="4200"/>
          </w:cols>
          <w:pgMar w:left="300" w:top="1228" w:right="319" w:bottom="1440" w:gutter="0" w:footer="0" w:header="0"/>
          <w:type w:val="continuous"/>
        </w:sectPr>
      </w:pPr>
    </w:p>
    <w:p>
      <w:pPr>
        <w:spacing w:after="0" w:line="260" w:lineRule="auto"/>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320"/>
        <w:spacing w:after="0" w:line="127" w:lineRule="exact"/>
        <w:tabs>
          <w:tab w:leader="none" w:pos="3820" w:val="left"/>
          <w:tab w:leader="none" w:pos="7300" w:val="left"/>
          <w:tab w:leader="none" w:pos="7760" w:val="left"/>
        </w:tabs>
        <w:rPr>
          <w:sz w:val="20"/>
          <w:szCs w:val="20"/>
          <w:color w:val="auto"/>
        </w:rPr>
      </w:pPr>
      <w:r>
        <w:rPr>
          <w:rFonts w:ascii="Times New Roman" w:cs="Times New Roman" w:eastAsia="Times New Roman" w:hAnsi="Times New Roman"/>
          <w:sz w:val="11"/>
          <w:szCs w:val="11"/>
          <w:color w:val="auto"/>
        </w:rPr>
        <w:t>Yes</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No</w:t>
      </w:r>
      <w:r>
        <w:rPr>
          <w:sz w:val="20"/>
          <w:szCs w:val="20"/>
          <w:color w:val="auto"/>
        </w:rPr>
        <w:tab/>
      </w:r>
      <w:r>
        <w:rPr>
          <w:rFonts w:ascii="MS PGothic" w:cs="MS PGothic" w:eastAsia="MS PGothic" w:hAnsi="MS PGothic"/>
          <w:sz w:val="11"/>
          <w:szCs w:val="11"/>
          <w:color w:val="auto"/>
        </w:rPr>
        <w:t>☐</w:t>
      </w:r>
    </w:p>
    <w:p>
      <w:pPr>
        <w:spacing w:after="0" w:line="172" w:lineRule="exact"/>
        <w:rPr>
          <w:sz w:val="24"/>
          <w:szCs w:val="24"/>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1" w:lineRule="exact"/>
        <w:rPr>
          <w:sz w:val="24"/>
          <w:szCs w:val="24"/>
          <w:color w:val="auto"/>
        </w:rPr>
      </w:pPr>
    </w:p>
    <w:p>
      <w:pPr>
        <w:ind w:left="3320"/>
        <w:spacing w:after="0" w:line="127" w:lineRule="exact"/>
        <w:tabs>
          <w:tab w:leader="none" w:pos="3820" w:val="left"/>
          <w:tab w:leader="none" w:pos="7300" w:val="left"/>
          <w:tab w:leader="none" w:pos="7760" w:val="left"/>
        </w:tabs>
        <w:rPr>
          <w:sz w:val="20"/>
          <w:szCs w:val="20"/>
          <w:color w:val="auto"/>
        </w:rPr>
      </w:pPr>
      <w:r>
        <w:rPr>
          <w:rFonts w:ascii="Times New Roman" w:cs="Times New Roman" w:eastAsia="Times New Roman" w:hAnsi="Times New Roman"/>
          <w:sz w:val="11"/>
          <w:szCs w:val="11"/>
          <w:color w:val="auto"/>
        </w:rPr>
        <w:t>Yes</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No</w:t>
      </w:r>
      <w:r>
        <w:rPr>
          <w:sz w:val="20"/>
          <w:szCs w:val="20"/>
          <w:color w:val="auto"/>
        </w:rPr>
        <w:tab/>
      </w:r>
      <w:r>
        <w:rPr>
          <w:rFonts w:ascii="MS PGothic" w:cs="MS PGothic" w:eastAsia="MS PGothic" w:hAnsi="MS PGothic"/>
          <w:sz w:val="11"/>
          <w:szCs w:val="11"/>
          <w:color w:val="auto"/>
        </w:rPr>
        <w:t>☐</w:t>
      </w:r>
    </w:p>
    <w:p>
      <w:pPr>
        <w:spacing w:after="0" w:line="176" w:lineRule="exact"/>
        <w:rPr>
          <w:sz w:val="24"/>
          <w:szCs w:val="24"/>
          <w:color w:val="auto"/>
        </w:rPr>
      </w:pPr>
    </w:p>
    <w:p>
      <w:pPr>
        <w:ind w:right="18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80"/>
          </w:cols>
          <w:pgMar w:left="300" w:top="1228" w:right="319" w:bottom="1440" w:gutter="0" w:footer="0" w:header="0"/>
          <w:type w:val="continuous"/>
        </w:sectPr>
      </w:pPr>
    </w:p>
    <w:p>
      <w:pPr>
        <w:spacing w:after="0" w:line="10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29" w:lineRule="exact"/>
        <w:rPr>
          <w:sz w:val="24"/>
          <w:szCs w:val="24"/>
          <w:color w:val="auto"/>
        </w:rPr>
      </w:pPr>
    </w:p>
    <w:p>
      <w:pPr>
        <w:sectPr>
          <w:pgSz w:w="11900" w:h="16838" w:orient="portrait"/>
          <w:cols w:equalWidth="0" w:num="6">
            <w:col w:w="1200" w:space="720"/>
            <w:col w:w="140" w:space="440"/>
            <w:col w:w="1520" w:space="720"/>
            <w:col w:w="140" w:space="480"/>
            <w:col w:w="2260" w:space="720"/>
            <w:col w:w="2940"/>
          </w:cols>
          <w:pgMar w:left="300" w:top="1228" w:right="319" w:bottom="1440" w:gutter="0" w:footer="0" w:header="0"/>
          <w:type w:val="continuous"/>
        </w:sectPr>
      </w:pPr>
    </w:p>
    <w:p>
      <w:pPr>
        <w:spacing w:after="0" w:line="5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52" w:lineRule="exact"/>
        <w:rPr>
          <w:sz w:val="24"/>
          <w:szCs w:val="24"/>
          <w:color w:val="auto"/>
        </w:rPr>
      </w:pPr>
    </w:p>
    <w:p>
      <w:pPr>
        <w:sectPr>
          <w:pgSz w:w="11900" w:h="16838" w:orient="portrait"/>
          <w:cols w:equalWidth="0" w:num="4">
            <w:col w:w="1200" w:space="720"/>
            <w:col w:w="140" w:space="440"/>
            <w:col w:w="1520" w:space="720"/>
            <w:col w:w="6540"/>
          </w:cols>
          <w:pgMar w:left="300" w:top="1228" w:right="319" w:bottom="1440" w:gutter="0" w:footer="0" w:header="0"/>
          <w:type w:val="continuous"/>
        </w:sectPr>
      </w:pPr>
    </w:p>
    <w:p>
      <w:pPr>
        <w:spacing w:after="0" w:line="87" w:lineRule="exact"/>
        <w:rPr>
          <w:sz w:val="24"/>
          <w:szCs w:val="24"/>
          <w:color w:val="auto"/>
        </w:rPr>
      </w:pPr>
    </w:p>
    <w:p>
      <w:pPr>
        <w:ind w:right="80"/>
        <w:spacing w:after="0" w:line="16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type w:val="continuous"/>
        </w:sectPr>
      </w:pPr>
    </w:p>
    <w:bookmarkStart w:id="1" w:name="page2"/>
    <w:bookmarkEnd w:id="1"/>
    <w:p>
      <w:pPr>
        <w:jc w:val="both"/>
        <w:ind w:left="3320"/>
        <w:spacing w:after="0" w:line="127" w:lineRule="exact"/>
        <w:tabs>
          <w:tab w:leader="none" w:pos="3820" w:val="left"/>
          <w:tab w:leader="none" w:pos="7300" w:val="left"/>
          <w:tab w:leader="none" w:pos="7760" w:val="left"/>
        </w:tabs>
        <w:rPr>
          <w:sz w:val="20"/>
          <w:szCs w:val="20"/>
          <w:color w:val="auto"/>
        </w:rPr>
      </w:pPr>
      <w:r>
        <w:rPr>
          <w:rFonts w:ascii="Times New Roman" w:cs="Times New Roman" w:eastAsia="Times New Roman" w:hAnsi="Times New Roman"/>
          <w:sz w:val="11"/>
          <w:szCs w:val="11"/>
          <w:color w:val="auto"/>
        </w:rPr>
        <w:t>Yes</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No</w:t>
      </w:r>
      <w:r>
        <w:rPr>
          <w:sz w:val="20"/>
          <w:szCs w:val="20"/>
          <w:color w:val="auto"/>
        </w:rPr>
        <w:tab/>
      </w:r>
      <w:r>
        <w:rPr>
          <w:rFonts w:ascii="MS PGothic" w:cs="MS PGothic" w:eastAsia="MS PGothic" w:hAnsi="MS PGothic"/>
          <w:sz w:val="11"/>
          <w:szCs w:val="11"/>
          <w:color w:val="auto"/>
        </w:rPr>
        <w: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Registrant had 14,623,717 common shares outstanding as of 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16" w:right="1440"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4"/>
          <w:szCs w:val="14"/>
          <w:color w:val="auto"/>
        </w:rPr>
        <w:t>CIVEO CORPORATION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INDEX</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1"/>
                <w:szCs w:val="11"/>
                <w:color w:val="auto"/>
              </w:rPr>
            </w:pPr>
          </w:p>
        </w:tc>
        <w:tc>
          <w:tcPr>
            <w:tcW w:w="10140" w:type="dxa"/>
            <w:vAlign w:val="bottom"/>
          </w:tcPr>
          <w:p>
            <w:pPr>
              <w:spacing w:after="0"/>
              <w:rPr>
                <w:sz w:val="11"/>
                <w:szCs w:val="11"/>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Page No.</w:t>
            </w:r>
          </w:p>
        </w:tc>
      </w:tr>
      <w:tr>
        <w:trPr>
          <w:trHeight w:val="22"/>
        </w:trPr>
        <w:tc>
          <w:tcPr>
            <w:tcW w:w="4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440" w:type="dxa"/>
            <w:vAlign w:val="bottom"/>
            <w:shd w:val="clear" w:color="auto" w:fill="CCEEFF"/>
          </w:tcPr>
          <w:p>
            <w:pPr>
              <w:spacing w:after="0"/>
              <w:rPr>
                <w:sz w:val="13"/>
                <w:szCs w:val="13"/>
                <w:color w:val="auto"/>
              </w:rPr>
            </w:pPr>
          </w:p>
        </w:tc>
        <w:tc>
          <w:tcPr>
            <w:tcW w:w="10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Part I -- FINANCIAL INFORMATION</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0"/>
        </w:trPr>
        <w:tc>
          <w:tcPr>
            <w:tcW w:w="1058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10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Item 1. Financial Statements:</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0"/>
        </w:trPr>
        <w:tc>
          <w:tcPr>
            <w:tcW w:w="44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440" w:type="dxa"/>
            <w:vAlign w:val="bottom"/>
            <w:shd w:val="clear" w:color="auto" w:fill="CCEEFF"/>
          </w:tcPr>
          <w:p>
            <w:pPr>
              <w:spacing w:after="0"/>
              <w:rPr>
                <w:sz w:val="13"/>
                <w:szCs w:val="13"/>
                <w:color w:val="auto"/>
              </w:rPr>
            </w:pPr>
          </w:p>
        </w:tc>
        <w:tc>
          <w:tcPr>
            <w:tcW w:w="10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Consolidated Financial Statements</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3"/>
        </w:trPr>
        <w:tc>
          <w:tcPr>
            <w:tcW w:w="4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Unaudited Consolidated Statements of Operations for the Three Months Ended March 31, 2024 and 2023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u w:val="single" w:color="auto"/>
                <w:color w:val="0000FF"/>
              </w:rPr>
              <w:t>4</w:t>
            </w:r>
          </w:p>
        </w:tc>
        <w:tc>
          <w:tcPr>
            <w:tcW w:w="20" w:type="dxa"/>
            <w:vAlign w:val="bottom"/>
          </w:tcPr>
          <w:p>
            <w:pPr>
              <w:spacing w:after="0"/>
              <w:rPr>
                <w:sz w:val="13"/>
                <w:szCs w:val="13"/>
                <w:color w:val="auto"/>
              </w:rPr>
            </w:pPr>
          </w:p>
        </w:tc>
      </w:tr>
      <w:tr>
        <w:trPr>
          <w:trHeight w:val="165"/>
        </w:trPr>
        <w:tc>
          <w:tcPr>
            <w:tcW w:w="440" w:type="dxa"/>
            <w:vAlign w:val="bottom"/>
            <w:shd w:val="clear" w:color="auto" w:fill="CCEEFF"/>
          </w:tcPr>
          <w:p>
            <w:pPr>
              <w:spacing w:after="0"/>
              <w:rPr>
                <w:sz w:val="14"/>
                <w:szCs w:val="14"/>
                <w:color w:val="auto"/>
              </w:rPr>
            </w:pPr>
          </w:p>
        </w:tc>
        <w:tc>
          <w:tcPr>
            <w:tcW w:w="10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Unaudited Consolidated Statements of Comprehensive Income (Loss) for the Three Months Ended March 31, 2024 and 2023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0000FF"/>
              </w:rPr>
              <w:t>5</w:t>
            </w:r>
          </w:p>
        </w:tc>
        <w:tc>
          <w:tcPr>
            <w:tcW w:w="20" w:type="dxa"/>
            <w:vAlign w:val="bottom"/>
            <w:shd w:val="clear" w:color="auto" w:fill="CCEEFF"/>
          </w:tcPr>
          <w:p>
            <w:pPr>
              <w:spacing w:after="0"/>
              <w:rPr>
                <w:sz w:val="14"/>
                <w:szCs w:val="14"/>
                <w:color w:val="auto"/>
              </w:rPr>
            </w:pPr>
          </w:p>
        </w:tc>
      </w:tr>
      <w:tr>
        <w:trPr>
          <w:trHeight w:val="153"/>
        </w:trPr>
        <w:tc>
          <w:tcPr>
            <w:tcW w:w="4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Consolidated Balance Sheets – as of March 31, 2024 (unaudited) and December 31, 2023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u w:val="single" w:color="auto"/>
                <w:color w:val="0000FF"/>
              </w:rPr>
              <w:t>6</w:t>
            </w:r>
          </w:p>
        </w:tc>
        <w:tc>
          <w:tcPr>
            <w:tcW w:w="20" w:type="dxa"/>
            <w:vAlign w:val="bottom"/>
          </w:tcPr>
          <w:p>
            <w:pPr>
              <w:spacing w:after="0"/>
              <w:rPr>
                <w:sz w:val="13"/>
                <w:szCs w:val="13"/>
                <w:color w:val="auto"/>
              </w:rPr>
            </w:pPr>
          </w:p>
        </w:tc>
      </w:tr>
      <w:tr>
        <w:trPr>
          <w:trHeight w:val="165"/>
        </w:trPr>
        <w:tc>
          <w:tcPr>
            <w:tcW w:w="440" w:type="dxa"/>
            <w:vAlign w:val="bottom"/>
            <w:shd w:val="clear" w:color="auto" w:fill="CCEEFF"/>
          </w:tcPr>
          <w:p>
            <w:pPr>
              <w:spacing w:after="0"/>
              <w:rPr>
                <w:sz w:val="14"/>
                <w:szCs w:val="14"/>
                <w:color w:val="auto"/>
              </w:rPr>
            </w:pPr>
          </w:p>
        </w:tc>
        <w:tc>
          <w:tcPr>
            <w:tcW w:w="10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Unaudited Consolidated Statements of Changes in Shareholders’ Equity for the Three Months Ended March 31, 2024 and 2023</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0000FF"/>
              </w:rPr>
              <w:t>7</w:t>
            </w:r>
          </w:p>
        </w:tc>
        <w:tc>
          <w:tcPr>
            <w:tcW w:w="20" w:type="dxa"/>
            <w:vAlign w:val="bottom"/>
            <w:shd w:val="clear" w:color="auto" w:fill="CCEEFF"/>
          </w:tcPr>
          <w:p>
            <w:pPr>
              <w:spacing w:after="0"/>
              <w:rPr>
                <w:sz w:val="14"/>
                <w:szCs w:val="14"/>
                <w:color w:val="auto"/>
              </w:rPr>
            </w:pPr>
          </w:p>
        </w:tc>
      </w:tr>
      <w:tr>
        <w:trPr>
          <w:trHeight w:val="153"/>
        </w:trPr>
        <w:tc>
          <w:tcPr>
            <w:tcW w:w="4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Unaudited Consolidated Statements of Cash Flows for the Three Months Ended March 31, 2024 and 2023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u w:val="single" w:color="auto"/>
                <w:color w:val="0000FF"/>
              </w:rPr>
              <w:t>8</w:t>
            </w:r>
          </w:p>
        </w:tc>
        <w:tc>
          <w:tcPr>
            <w:tcW w:w="20" w:type="dxa"/>
            <w:vAlign w:val="bottom"/>
          </w:tcPr>
          <w:p>
            <w:pPr>
              <w:spacing w:after="0"/>
              <w:rPr>
                <w:sz w:val="13"/>
                <w:szCs w:val="13"/>
                <w:color w:val="auto"/>
              </w:rPr>
            </w:pPr>
          </w:p>
        </w:tc>
      </w:tr>
      <w:tr>
        <w:trPr>
          <w:trHeight w:val="165"/>
        </w:trPr>
        <w:tc>
          <w:tcPr>
            <w:tcW w:w="440" w:type="dxa"/>
            <w:vAlign w:val="bottom"/>
            <w:shd w:val="clear" w:color="auto" w:fill="CCEEFF"/>
          </w:tcPr>
          <w:p>
            <w:pPr>
              <w:spacing w:after="0"/>
              <w:rPr>
                <w:sz w:val="14"/>
                <w:szCs w:val="14"/>
                <w:color w:val="auto"/>
              </w:rPr>
            </w:pPr>
          </w:p>
        </w:tc>
        <w:tc>
          <w:tcPr>
            <w:tcW w:w="10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Notes to Unaudited Consolidated Financial Statements</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0000FF"/>
              </w:rPr>
              <w:t>9</w:t>
            </w:r>
          </w:p>
        </w:tc>
        <w:tc>
          <w:tcPr>
            <w:tcW w:w="20" w:type="dxa"/>
            <w:vAlign w:val="bottom"/>
            <w:shd w:val="clear" w:color="auto" w:fill="CCEEFF"/>
          </w:tcPr>
          <w:p>
            <w:pPr>
              <w:spacing w:after="0"/>
              <w:rPr>
                <w:sz w:val="14"/>
                <w:szCs w:val="14"/>
                <w:color w:val="auto"/>
              </w:rPr>
            </w:pPr>
          </w:p>
        </w:tc>
      </w:tr>
      <w:tr>
        <w:trPr>
          <w:trHeight w:val="170"/>
        </w:trPr>
        <w:tc>
          <w:tcPr>
            <w:tcW w:w="1058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105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Cautionary Statement Regarding Forward-Looking Statements</w:t>
            </w:r>
          </w:p>
        </w:tc>
        <w:tc>
          <w:tcPr>
            <w:tcW w:w="680" w:type="dxa"/>
            <w:vAlign w:val="bottom"/>
            <w:gridSpan w:val="3"/>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FF"/>
              </w:rPr>
              <w:t>18</w:t>
            </w:r>
          </w:p>
        </w:tc>
        <w:tc>
          <w:tcPr>
            <w:tcW w:w="20" w:type="dxa"/>
            <w:vAlign w:val="bottom"/>
            <w:shd w:val="clear" w:color="auto" w:fill="CCEEFF"/>
          </w:tcPr>
          <w:p>
            <w:pPr>
              <w:spacing w:after="0"/>
              <w:rPr>
                <w:sz w:val="12"/>
                <w:szCs w:val="12"/>
                <w:color w:val="auto"/>
              </w:rPr>
            </w:pPr>
          </w:p>
        </w:tc>
      </w:tr>
      <w:tr>
        <w:trPr>
          <w:trHeight w:val="170"/>
        </w:trPr>
        <w:tc>
          <w:tcPr>
            <w:tcW w:w="10580" w:type="dxa"/>
            <w:vAlign w:val="bottom"/>
            <w:tcBorders>
              <w:top w:val="single" w:sz="8" w:color="CCEEFF"/>
            </w:tcBorders>
            <w:gridSpan w:val="2"/>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39"/>
        </w:trPr>
        <w:tc>
          <w:tcPr>
            <w:tcW w:w="105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Item 2.  Management’s Discussion and Analysis of Financial Condition and Results of Operations</w:t>
            </w:r>
          </w:p>
        </w:tc>
        <w:tc>
          <w:tcPr>
            <w:tcW w:w="680" w:type="dxa"/>
            <w:vAlign w:val="bottom"/>
            <w:gridSpan w:val="3"/>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FF"/>
              </w:rPr>
              <w:t>18</w:t>
            </w:r>
          </w:p>
        </w:tc>
        <w:tc>
          <w:tcPr>
            <w:tcW w:w="20" w:type="dxa"/>
            <w:vAlign w:val="bottom"/>
            <w:shd w:val="clear" w:color="auto" w:fill="CCEEFF"/>
          </w:tcPr>
          <w:p>
            <w:pPr>
              <w:spacing w:after="0"/>
              <w:rPr>
                <w:sz w:val="12"/>
                <w:szCs w:val="12"/>
                <w:color w:val="auto"/>
              </w:rPr>
            </w:pPr>
          </w:p>
        </w:tc>
      </w:tr>
      <w:tr>
        <w:trPr>
          <w:trHeight w:val="170"/>
        </w:trPr>
        <w:tc>
          <w:tcPr>
            <w:tcW w:w="10580" w:type="dxa"/>
            <w:vAlign w:val="bottom"/>
            <w:tcBorders>
              <w:top w:val="single" w:sz="8" w:color="CCEEFF"/>
            </w:tcBorders>
            <w:gridSpan w:val="2"/>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39"/>
        </w:trPr>
        <w:tc>
          <w:tcPr>
            <w:tcW w:w="105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Item 3.  Quantitative and Qualitative Disclosures About Market Risk</w:t>
            </w:r>
          </w:p>
        </w:tc>
        <w:tc>
          <w:tcPr>
            <w:tcW w:w="680" w:type="dxa"/>
            <w:vAlign w:val="bottom"/>
            <w:gridSpan w:val="3"/>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FF"/>
              </w:rPr>
              <w:t>29</w:t>
            </w:r>
          </w:p>
        </w:tc>
        <w:tc>
          <w:tcPr>
            <w:tcW w:w="20" w:type="dxa"/>
            <w:vAlign w:val="bottom"/>
            <w:shd w:val="clear" w:color="auto" w:fill="CCEEFF"/>
          </w:tcPr>
          <w:p>
            <w:pPr>
              <w:spacing w:after="0"/>
              <w:rPr>
                <w:sz w:val="12"/>
                <w:szCs w:val="12"/>
                <w:color w:val="auto"/>
              </w:rPr>
            </w:pPr>
          </w:p>
        </w:tc>
      </w:tr>
      <w:tr>
        <w:trPr>
          <w:trHeight w:val="170"/>
        </w:trPr>
        <w:tc>
          <w:tcPr>
            <w:tcW w:w="10580" w:type="dxa"/>
            <w:vAlign w:val="bottom"/>
            <w:tcBorders>
              <w:top w:val="single" w:sz="8" w:color="CCEEFF"/>
            </w:tcBorders>
            <w:gridSpan w:val="2"/>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39"/>
        </w:trPr>
        <w:tc>
          <w:tcPr>
            <w:tcW w:w="105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Item 4.  Controls and Procedures</w:t>
            </w:r>
          </w:p>
        </w:tc>
        <w:tc>
          <w:tcPr>
            <w:tcW w:w="680" w:type="dxa"/>
            <w:vAlign w:val="bottom"/>
            <w:gridSpan w:val="3"/>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FF"/>
              </w:rPr>
              <w:t>29</w:t>
            </w:r>
          </w:p>
        </w:tc>
        <w:tc>
          <w:tcPr>
            <w:tcW w:w="20" w:type="dxa"/>
            <w:vAlign w:val="bottom"/>
            <w:shd w:val="clear" w:color="auto" w:fill="CCEEFF"/>
          </w:tcPr>
          <w:p>
            <w:pPr>
              <w:spacing w:after="0"/>
              <w:rPr>
                <w:sz w:val="12"/>
                <w:szCs w:val="12"/>
                <w:color w:val="auto"/>
              </w:rPr>
            </w:pPr>
          </w:p>
        </w:tc>
      </w:tr>
      <w:tr>
        <w:trPr>
          <w:trHeight w:val="170"/>
        </w:trPr>
        <w:tc>
          <w:tcPr>
            <w:tcW w:w="440" w:type="dxa"/>
            <w:vAlign w:val="bottom"/>
            <w:tcBorders>
              <w:top w:val="single" w:sz="8" w:color="CCEEFF"/>
            </w:tcBorders>
          </w:tcPr>
          <w:p>
            <w:pPr>
              <w:spacing w:after="0"/>
              <w:rPr>
                <w:sz w:val="14"/>
                <w:szCs w:val="14"/>
                <w:color w:val="auto"/>
              </w:rPr>
            </w:pPr>
          </w:p>
        </w:tc>
        <w:tc>
          <w:tcPr>
            <w:tcW w:w="1014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70"/>
        </w:trPr>
        <w:tc>
          <w:tcPr>
            <w:tcW w:w="440" w:type="dxa"/>
            <w:vAlign w:val="bottom"/>
            <w:shd w:val="clear" w:color="auto" w:fill="CCEEFF"/>
          </w:tcPr>
          <w:p>
            <w:pPr>
              <w:spacing w:after="0"/>
              <w:rPr>
                <w:sz w:val="14"/>
                <w:szCs w:val="14"/>
                <w:color w:val="auto"/>
              </w:rPr>
            </w:pPr>
          </w:p>
        </w:tc>
        <w:tc>
          <w:tcPr>
            <w:tcW w:w="10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53"/>
        </w:trPr>
        <w:tc>
          <w:tcPr>
            <w:tcW w:w="440" w:type="dxa"/>
            <w:vAlign w:val="bottom"/>
          </w:tcPr>
          <w:p>
            <w:pPr>
              <w:spacing w:after="0"/>
              <w:rPr>
                <w:sz w:val="13"/>
                <w:szCs w:val="13"/>
                <w:color w:val="auto"/>
              </w:rPr>
            </w:pPr>
          </w:p>
        </w:tc>
        <w:tc>
          <w:tcPr>
            <w:tcW w:w="1014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Part II -- OTHER INFORMATION</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440" w:type="dxa"/>
            <w:vAlign w:val="bottom"/>
            <w:shd w:val="clear" w:color="auto" w:fill="CCEEFF"/>
          </w:tcPr>
          <w:p>
            <w:pPr>
              <w:spacing w:after="0"/>
              <w:rPr>
                <w:sz w:val="15"/>
                <w:szCs w:val="15"/>
                <w:color w:val="auto"/>
              </w:rPr>
            </w:pPr>
          </w:p>
        </w:tc>
        <w:tc>
          <w:tcPr>
            <w:tcW w:w="10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17"/>
        </w:trPr>
        <w:tc>
          <w:tcPr>
            <w:tcW w:w="4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Item 1.</w:t>
            </w:r>
          </w:p>
        </w:tc>
        <w:tc>
          <w:tcPr>
            <w:tcW w:w="1014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rPr>
              <w:t>Legal Proceedings</w:t>
            </w:r>
          </w:p>
        </w:tc>
        <w:tc>
          <w:tcPr>
            <w:tcW w:w="6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0000FF"/>
              </w:rPr>
              <w:t>30</w:t>
            </w:r>
          </w:p>
        </w:tc>
        <w:tc>
          <w:tcPr>
            <w:tcW w:w="20" w:type="dxa"/>
            <w:vAlign w:val="bottom"/>
          </w:tcPr>
          <w:p>
            <w:pPr>
              <w:spacing w:after="0"/>
              <w:rPr>
                <w:sz w:val="10"/>
                <w:szCs w:val="10"/>
                <w:color w:val="auto"/>
              </w:rPr>
            </w:pPr>
          </w:p>
        </w:tc>
      </w:tr>
      <w:tr>
        <w:trPr>
          <w:trHeight w:val="22"/>
        </w:trPr>
        <w:tc>
          <w:tcPr>
            <w:tcW w:w="4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440" w:type="dxa"/>
            <w:vAlign w:val="bottom"/>
            <w:shd w:val="clear" w:color="auto" w:fill="CCEEFF"/>
          </w:tcPr>
          <w:p>
            <w:pPr>
              <w:spacing w:after="0"/>
              <w:rPr>
                <w:sz w:val="14"/>
                <w:szCs w:val="14"/>
                <w:color w:val="auto"/>
              </w:rPr>
            </w:pPr>
          </w:p>
        </w:tc>
        <w:tc>
          <w:tcPr>
            <w:tcW w:w="10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17"/>
        </w:trPr>
        <w:tc>
          <w:tcPr>
            <w:tcW w:w="4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Item 1A.</w:t>
            </w:r>
          </w:p>
        </w:tc>
        <w:tc>
          <w:tcPr>
            <w:tcW w:w="1014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rPr>
              <w:t>Risk Factors</w:t>
            </w:r>
          </w:p>
        </w:tc>
        <w:tc>
          <w:tcPr>
            <w:tcW w:w="6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0000FF"/>
              </w:rPr>
              <w:t>30</w:t>
            </w:r>
          </w:p>
        </w:tc>
        <w:tc>
          <w:tcPr>
            <w:tcW w:w="20" w:type="dxa"/>
            <w:vAlign w:val="bottom"/>
          </w:tcPr>
          <w:p>
            <w:pPr>
              <w:spacing w:after="0"/>
              <w:rPr>
                <w:sz w:val="10"/>
                <w:szCs w:val="10"/>
                <w:color w:val="auto"/>
              </w:rPr>
            </w:pPr>
          </w:p>
        </w:tc>
      </w:tr>
      <w:tr>
        <w:trPr>
          <w:trHeight w:val="22"/>
        </w:trPr>
        <w:tc>
          <w:tcPr>
            <w:tcW w:w="4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10580" w:type="dxa"/>
            <w:vAlign w:val="bottom"/>
            <w:gridSpan w:val="2"/>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17"/>
        </w:trPr>
        <w:tc>
          <w:tcPr>
            <w:tcW w:w="1058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Item 2. Unregistered Sales of Equity Securities and Use of Proceeds</w:t>
            </w:r>
          </w:p>
        </w:tc>
        <w:tc>
          <w:tcPr>
            <w:tcW w:w="6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0000FF"/>
              </w:rPr>
              <w:t>30</w:t>
            </w:r>
          </w:p>
        </w:tc>
        <w:tc>
          <w:tcPr>
            <w:tcW w:w="20" w:type="dxa"/>
            <w:vAlign w:val="bottom"/>
          </w:tcPr>
          <w:p>
            <w:pPr>
              <w:spacing w:after="0"/>
              <w:rPr>
                <w:sz w:val="10"/>
                <w:szCs w:val="10"/>
                <w:color w:val="auto"/>
              </w:rPr>
            </w:pPr>
          </w:p>
        </w:tc>
      </w:tr>
      <w:tr>
        <w:trPr>
          <w:trHeight w:val="22"/>
        </w:trPr>
        <w:tc>
          <w:tcPr>
            <w:tcW w:w="4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440" w:type="dxa"/>
            <w:vAlign w:val="bottom"/>
            <w:shd w:val="clear" w:color="auto" w:fill="CCEEFF"/>
          </w:tcPr>
          <w:p>
            <w:pPr>
              <w:spacing w:after="0"/>
              <w:rPr>
                <w:sz w:val="14"/>
                <w:szCs w:val="14"/>
                <w:color w:val="auto"/>
              </w:rPr>
            </w:pPr>
          </w:p>
        </w:tc>
        <w:tc>
          <w:tcPr>
            <w:tcW w:w="10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17"/>
        </w:trPr>
        <w:tc>
          <w:tcPr>
            <w:tcW w:w="4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Item 5.</w:t>
            </w:r>
          </w:p>
        </w:tc>
        <w:tc>
          <w:tcPr>
            <w:tcW w:w="1014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rPr>
              <w:t>Other Information</w:t>
            </w:r>
          </w:p>
        </w:tc>
        <w:tc>
          <w:tcPr>
            <w:tcW w:w="6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0000FF"/>
              </w:rPr>
              <w:t>30</w:t>
            </w:r>
          </w:p>
        </w:tc>
        <w:tc>
          <w:tcPr>
            <w:tcW w:w="20" w:type="dxa"/>
            <w:vAlign w:val="bottom"/>
          </w:tcPr>
          <w:p>
            <w:pPr>
              <w:spacing w:after="0"/>
              <w:rPr>
                <w:sz w:val="10"/>
                <w:szCs w:val="10"/>
                <w:color w:val="auto"/>
              </w:rPr>
            </w:pPr>
          </w:p>
        </w:tc>
      </w:tr>
      <w:tr>
        <w:trPr>
          <w:trHeight w:val="22"/>
        </w:trPr>
        <w:tc>
          <w:tcPr>
            <w:tcW w:w="4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440" w:type="dxa"/>
            <w:vAlign w:val="bottom"/>
            <w:shd w:val="clear" w:color="auto" w:fill="CCEEFF"/>
          </w:tcPr>
          <w:p>
            <w:pPr>
              <w:spacing w:after="0"/>
              <w:rPr>
                <w:sz w:val="14"/>
                <w:szCs w:val="14"/>
                <w:color w:val="auto"/>
              </w:rPr>
            </w:pPr>
          </w:p>
        </w:tc>
        <w:tc>
          <w:tcPr>
            <w:tcW w:w="10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17"/>
        </w:trPr>
        <w:tc>
          <w:tcPr>
            <w:tcW w:w="4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Item 6.</w:t>
            </w:r>
          </w:p>
        </w:tc>
        <w:tc>
          <w:tcPr>
            <w:tcW w:w="1014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rPr>
              <w:t>Exhibits</w:t>
            </w:r>
          </w:p>
        </w:tc>
        <w:tc>
          <w:tcPr>
            <w:tcW w:w="6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0000FF"/>
              </w:rPr>
              <w:t>31</w:t>
            </w:r>
          </w:p>
        </w:tc>
        <w:tc>
          <w:tcPr>
            <w:tcW w:w="20" w:type="dxa"/>
            <w:vAlign w:val="bottom"/>
          </w:tcPr>
          <w:p>
            <w:pPr>
              <w:spacing w:after="0"/>
              <w:rPr>
                <w:sz w:val="10"/>
                <w:szCs w:val="10"/>
                <w:color w:val="auto"/>
              </w:rPr>
            </w:pPr>
          </w:p>
        </w:tc>
      </w:tr>
      <w:tr>
        <w:trPr>
          <w:trHeight w:val="22"/>
        </w:trPr>
        <w:tc>
          <w:tcPr>
            <w:tcW w:w="4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440" w:type="dxa"/>
            <w:vAlign w:val="bottom"/>
            <w:shd w:val="clear" w:color="auto" w:fill="CCEEFF"/>
          </w:tcPr>
          <w:p>
            <w:pPr>
              <w:spacing w:after="0"/>
              <w:rPr>
                <w:sz w:val="14"/>
                <w:szCs w:val="14"/>
                <w:color w:val="auto"/>
              </w:rPr>
            </w:pPr>
          </w:p>
        </w:tc>
        <w:tc>
          <w:tcPr>
            <w:tcW w:w="10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17"/>
        </w:trPr>
        <w:tc>
          <w:tcPr>
            <w:tcW w:w="440" w:type="dxa"/>
            <w:vAlign w:val="bottom"/>
          </w:tcPr>
          <w:p>
            <w:pPr>
              <w:spacing w:after="0"/>
              <w:rPr>
                <w:sz w:val="10"/>
                <w:szCs w:val="10"/>
                <w:color w:val="auto"/>
              </w:rPr>
            </w:pPr>
          </w:p>
        </w:tc>
        <w:tc>
          <w:tcPr>
            <w:tcW w:w="10140" w:type="dxa"/>
            <w:vAlign w:val="bottom"/>
          </w:tcPr>
          <w:p>
            <w:pPr>
              <w:ind w:left="180"/>
              <w:spacing w:after="0" w:line="117" w:lineRule="exact"/>
              <w:rPr>
                <w:sz w:val="20"/>
                <w:szCs w:val="20"/>
                <w:color w:val="auto"/>
              </w:rPr>
            </w:pPr>
            <w:r>
              <w:rPr>
                <w:rFonts w:ascii="Times New Roman" w:cs="Times New Roman" w:eastAsia="Times New Roman" w:hAnsi="Times New Roman"/>
                <w:sz w:val="11"/>
                <w:szCs w:val="11"/>
                <w:color w:val="auto"/>
              </w:rPr>
              <w:t>(a) Index of Exhibits</w:t>
            </w:r>
          </w:p>
        </w:tc>
        <w:tc>
          <w:tcPr>
            <w:tcW w:w="6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0000FF"/>
              </w:rPr>
              <w:t>31</w:t>
            </w:r>
          </w:p>
        </w:tc>
        <w:tc>
          <w:tcPr>
            <w:tcW w:w="20" w:type="dxa"/>
            <w:vAlign w:val="bottom"/>
          </w:tcPr>
          <w:p>
            <w:pPr>
              <w:spacing w:after="0"/>
              <w:rPr>
                <w:sz w:val="10"/>
                <w:szCs w:val="10"/>
                <w:color w:val="auto"/>
              </w:rPr>
            </w:pPr>
          </w:p>
        </w:tc>
      </w:tr>
      <w:tr>
        <w:trPr>
          <w:trHeight w:val="22"/>
        </w:trPr>
        <w:tc>
          <w:tcPr>
            <w:tcW w:w="4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10580" w:type="dxa"/>
            <w:vAlign w:val="bottom"/>
            <w:gridSpan w:val="2"/>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17"/>
        </w:trPr>
        <w:tc>
          <w:tcPr>
            <w:tcW w:w="1058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Signature Page</w:t>
            </w:r>
          </w:p>
        </w:tc>
        <w:tc>
          <w:tcPr>
            <w:tcW w:w="6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0000FF"/>
              </w:rPr>
              <w:t>32</w:t>
            </w:r>
          </w:p>
        </w:tc>
        <w:tc>
          <w:tcPr>
            <w:tcW w:w="20" w:type="dxa"/>
            <w:vAlign w:val="bottom"/>
          </w:tcPr>
          <w:p>
            <w:pPr>
              <w:spacing w:after="0"/>
              <w:rPr>
                <w:sz w:val="10"/>
                <w:szCs w:val="10"/>
                <w:color w:val="auto"/>
              </w:rPr>
            </w:pPr>
          </w:p>
        </w:tc>
      </w:tr>
      <w:tr>
        <w:trPr>
          <w:trHeight w:val="20"/>
        </w:trPr>
        <w:tc>
          <w:tcPr>
            <w:tcW w:w="4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 w:name="page4"/>
    <w:bookmarkEnd w:id="3"/>
    <w:p>
      <w:pPr>
        <w:ind w:left="432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Financial Statements</w:t>
      </w:r>
    </w:p>
    <w:p>
      <w:pPr>
        <w:spacing w:after="0" w:line="18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OPERATIONS</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25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608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6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6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Service and other</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165,530</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167,377</w:t>
            </w:r>
          </w:p>
        </w:tc>
      </w:tr>
      <w:tr>
        <w:trPr>
          <w:trHeight w:val="165"/>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Rental</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r>
      <w:tr>
        <w:trPr>
          <w:trHeight w:val="153"/>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Product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193</w:t>
            </w:r>
          </w:p>
        </w:tc>
      </w:tr>
      <w:tr>
        <w:trPr>
          <w:trHeight w:val="156"/>
        </w:trPr>
        <w:tc>
          <w:tcPr>
            <w:tcW w:w="6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166,120</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167,591</w:t>
            </w:r>
          </w:p>
        </w:tc>
      </w:tr>
      <w:tr>
        <w:trPr>
          <w:trHeight w:val="133"/>
        </w:trPr>
        <w:tc>
          <w:tcPr>
            <w:tcW w:w="6100" w:type="dxa"/>
            <w:vAlign w:val="bottom"/>
          </w:tcPr>
          <w:p>
            <w:pPr>
              <w:spacing w:after="0"/>
              <w:rPr>
                <w:sz w:val="20"/>
                <w:szCs w:val="20"/>
                <w:color w:val="auto"/>
              </w:rPr>
            </w:pPr>
            <w:r>
              <w:rPr>
                <w:rFonts w:ascii="Times New Roman" w:cs="Times New Roman" w:eastAsia="Times New Roman" w:hAnsi="Times New Roman"/>
                <w:sz w:val="11"/>
                <w:szCs w:val="11"/>
                <w:color w:val="auto"/>
              </w:rPr>
              <w:t>Costs and expenses:</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5"/>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 and other costs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130,366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133,392</w:t>
            </w:r>
          </w:p>
        </w:tc>
      </w:tr>
      <w:tr>
        <w:trPr>
          <w:trHeight w:val="153"/>
        </w:trPr>
        <w:tc>
          <w:tcPr>
            <w:tcW w:w="6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Rental costs</w:t>
            </w:r>
          </w:p>
        </w:tc>
        <w:tc>
          <w:tcPr>
            <w:tcW w:w="2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r>
      <w:tr>
        <w:trPr>
          <w:trHeight w:val="165"/>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Product costs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r>
      <w:tr>
        <w:trPr>
          <w:trHeight w:val="153"/>
        </w:trPr>
        <w:tc>
          <w:tcPr>
            <w:tcW w:w="6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Selling, general and administrative expenses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18,640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16,190</w:t>
            </w:r>
          </w:p>
        </w:tc>
      </w:tr>
      <w:tr>
        <w:trPr>
          <w:trHeight w:val="165"/>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 expense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21,662</w:t>
            </w:r>
          </w:p>
        </w:tc>
      </w:tr>
      <w:tr>
        <w:trPr>
          <w:trHeight w:val="153"/>
        </w:trPr>
        <w:tc>
          <w:tcPr>
            <w:tcW w:w="6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Impairment expense</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87"/>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McClelland Lake Lodge assets, net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r>
      <w:tr>
        <w:trPr>
          <w:trHeight w:val="156"/>
        </w:trPr>
        <w:tc>
          <w:tcPr>
            <w:tcW w:w="6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167,901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171,495</w:t>
            </w: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1"/>
                <w:szCs w:val="11"/>
                <w:color w:val="auto"/>
              </w:rPr>
              <w:t>Operating loss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(3,904)</w:t>
            </w:r>
          </w:p>
        </w:tc>
      </w:tr>
      <w:tr>
        <w:trPr>
          <w:trHeight w:val="176"/>
        </w:trPr>
        <w:tc>
          <w:tcPr>
            <w:tcW w:w="6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53"/>
        </w:trPr>
        <w:tc>
          <w:tcPr>
            <w:tcW w:w="610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(3,656)</w:t>
            </w: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r>
      <w:tr>
        <w:trPr>
          <w:trHeight w:val="15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income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2,450</w:t>
            </w:r>
          </w:p>
        </w:tc>
      </w:tr>
      <w:tr>
        <w:trPr>
          <w:trHeight w:val="15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Loss before income taxes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(5,078)</w:t>
            </w:r>
          </w:p>
        </w:tc>
      </w:tr>
      <w:tr>
        <w:trPr>
          <w:trHeight w:val="15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(1,233)</w:t>
            </w:r>
          </w:p>
        </w:tc>
      </w:tr>
      <w:tr>
        <w:trPr>
          <w:trHeight w:val="1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(6,311)</w:t>
            </w:r>
          </w:p>
        </w:tc>
      </w:tr>
      <w:tr>
        <w:trPr>
          <w:trHeight w:val="153"/>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Less: Net income (loss) attributable to noncontrolling interest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r>
      <w:tr>
        <w:trPr>
          <w:trHeight w:val="16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attributable to Civeo Corporation</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70"/>
        </w:trPr>
        <w:tc>
          <w:tcPr>
            <w:tcW w:w="6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4"/>
        </w:trPr>
        <w:tc>
          <w:tcPr>
            <w:tcW w:w="6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 Share Data (see Note 7)</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Basic net loss per share attributable to Civeo Corporation common shareholders</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(0.42)</w:t>
            </w:r>
          </w:p>
        </w:tc>
      </w:tr>
      <w:tr>
        <w:trPr>
          <w:trHeight w:val="170"/>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Diluted net loss per share attributable to Civeo Corporation common shareholders</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(0.42)</w:t>
            </w:r>
          </w:p>
        </w:tc>
      </w:tr>
      <w:tr>
        <w:trPr>
          <w:trHeight w:val="170"/>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number of common shares outstanding:</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6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Basic</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15,158</w:t>
            </w:r>
          </w:p>
        </w:tc>
      </w:tr>
      <w:tr>
        <w:trPr>
          <w:trHeight w:val="165"/>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Diluted</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15,158</w:t>
            </w:r>
          </w:p>
        </w:tc>
      </w:tr>
      <w:tr>
        <w:trPr>
          <w:trHeight w:val="170"/>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per common share</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bl>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019"/>
          </w:cols>
          <w:pgMar w:left="440" w:top="1141" w:right="1440" w:bottom="1440" w:gutter="0" w:footer="0" w:header="0"/>
        </w:sectPr>
      </w:pPr>
    </w:p>
    <w:bookmarkStart w:id="4" w:name="page5"/>
    <w:bookmarkEnd w:id="4"/>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1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COMPREHENSIVE INCOME (LOSS)</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5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604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280" w:type="dxa"/>
        <w:tblCellMar>
          <w:top w:w="0" w:type="dxa"/>
          <w:left w:w="0" w:type="dxa"/>
          <w:bottom w:w="0" w:type="dxa"/>
          <w:right w:w="0" w:type="dxa"/>
        </w:tblCellMar>
      </w:tblPr>
      <w:tr>
        <w:trPr>
          <w:trHeight w:val="164"/>
        </w:trPr>
        <w:tc>
          <w:tcPr>
            <w:tcW w:w="60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7"/>
        </w:trPr>
        <w:tc>
          <w:tcPr>
            <w:tcW w:w="6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5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(5,196)</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(6,311)</w:t>
            </w:r>
          </w:p>
        </w:tc>
      </w:tr>
      <w:tr>
        <w:trPr>
          <w:trHeight w:val="103"/>
        </w:trPr>
        <w:tc>
          <w:tcPr>
            <w:tcW w:w="6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5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 net of taxes:</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 net of zero taxes</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(10,231)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(2,176)</w:t>
            </w:r>
          </w:p>
        </w:tc>
      </w:tr>
      <w:tr>
        <w:trPr>
          <w:trHeight w:val="15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other comprehensive loss, net of taxes</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(10,231)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(2,176)</w:t>
            </w:r>
          </w:p>
        </w:tc>
      </w:tr>
      <w:tr>
        <w:trPr>
          <w:trHeight w:val="103"/>
        </w:trPr>
        <w:tc>
          <w:tcPr>
            <w:tcW w:w="6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5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loss</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(8,487)</w:t>
            </w:r>
          </w:p>
        </w:tc>
      </w:tr>
      <w:tr>
        <w:trPr>
          <w:trHeight w:val="153"/>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Less: Comprehensive income (loss) attributable to noncontrolling interest</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81"/>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loss attributable to Civeo Corporation</w:t>
            </w: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(15,295)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141" w:right="1440"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 Excluding Share Amounts)</w:t>
      </w:r>
    </w:p>
    <w:p>
      <w:pPr>
        <w:sectPr>
          <w:pgSz w:w="11900" w:h="16838" w:orient="portrait"/>
          <w:cols w:equalWidth="0" w:num="1">
            <w:col w:w="11220"/>
          </w:cols>
          <w:pgMar w:left="440" w:top="1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Current assets:</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Accounts receivable, net</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Inventories</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Prepaid expenses</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Other current assets</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Assets held for sale</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Total current assets</w:t>
      </w:r>
    </w:p>
    <w:p>
      <w:pPr>
        <w:spacing w:after="0" w:line="160"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1"/>
          <w:szCs w:val="11"/>
          <w:color w:val="auto"/>
        </w:rPr>
        <w:t>Property, plant and equipment, net Goodwill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Other intangible assets, net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Operating lease right-of-use assets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Other noncurrent assets</w:t>
      </w: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Total assets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96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20" w:type="dxa"/>
            <w:vAlign w:val="bottom"/>
          </w:tcPr>
          <w:p>
            <w:pPr>
              <w:spacing w:after="0"/>
              <w:rPr>
                <w:sz w:val="13"/>
                <w:szCs w:val="13"/>
                <w:color w:val="auto"/>
              </w:rPr>
            </w:pPr>
          </w:p>
        </w:tc>
        <w:tc>
          <w:tcPr>
            <w:tcW w:w="14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7"/>
        </w:trPr>
        <w:tc>
          <w:tcPr>
            <w:tcW w:w="4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152"/>
        </w:trPr>
        <w:tc>
          <w:tcPr>
            <w:tcW w:w="4380" w:type="dxa"/>
            <w:vAlign w:val="bottom"/>
            <w:gridSpan w:val="2"/>
          </w:tcPr>
          <w:p>
            <w:pPr>
              <w:jc w:val="right"/>
              <w:ind w:right="3903"/>
              <w:spacing w:after="0"/>
              <w:rPr>
                <w:sz w:val="20"/>
                <w:szCs w:val="20"/>
                <w:color w:val="auto"/>
              </w:rPr>
            </w:pPr>
            <w:r>
              <w:rPr>
                <w:rFonts w:ascii="Times New Roman" w:cs="Times New Roman" w:eastAsia="Times New Roman" w:hAnsi="Times New Roman"/>
                <w:sz w:val="11"/>
                <w:szCs w:val="11"/>
                <w:color w:val="auto"/>
              </w:rPr>
              <w:t>ASSETS</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446"/>
        </w:trPr>
        <w:tc>
          <w:tcPr>
            <w:tcW w:w="438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16,752</w:t>
            </w:r>
          </w:p>
        </w:tc>
        <w:tc>
          <w:tcPr>
            <w:tcW w:w="100" w:type="dxa"/>
            <w:vAlign w:val="bottom"/>
          </w:tcPr>
          <w:p>
            <w:pPr>
              <w:spacing w:after="0"/>
              <w:rPr>
                <w:sz w:val="24"/>
                <w:szCs w:val="24"/>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3,323</w:t>
            </w:r>
          </w:p>
        </w:tc>
      </w:tr>
      <w:tr>
        <w:trPr>
          <w:trHeight w:val="159"/>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143,222</w:t>
            </w:r>
          </w:p>
        </w:tc>
      </w:tr>
      <w:tr>
        <w:trPr>
          <w:trHeight w:val="159"/>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6,982</w:t>
            </w:r>
          </w:p>
        </w:tc>
      </w:tr>
      <w:tr>
        <w:trPr>
          <w:trHeight w:val="159"/>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8,439</w:t>
            </w:r>
          </w:p>
        </w:tc>
      </w:tr>
      <w:tr>
        <w:trPr>
          <w:trHeight w:val="159"/>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7,407</w:t>
            </w:r>
          </w:p>
        </w:tc>
      </w:tr>
      <w:tr>
        <w:trPr>
          <w:trHeight w:val="169"/>
        </w:trPr>
        <w:tc>
          <w:tcPr>
            <w:tcW w:w="4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5,873</w:t>
            </w:r>
          </w:p>
        </w:tc>
      </w:tr>
      <w:tr>
        <w:trPr>
          <w:trHeight w:val="147"/>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168,872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175,246</w:t>
            </w:r>
          </w:p>
        </w:tc>
      </w:tr>
      <w:tr>
        <w:trPr>
          <w:trHeight w:val="280"/>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245,840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270,563</w:t>
            </w:r>
          </w:p>
        </w:tc>
      </w:tr>
      <w:tr>
        <w:trPr>
          <w:trHeight w:val="159"/>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7,690</w:t>
            </w:r>
          </w:p>
        </w:tc>
      </w:tr>
      <w:tr>
        <w:trPr>
          <w:trHeight w:val="159"/>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74,688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77,999</w:t>
            </w:r>
          </w:p>
        </w:tc>
      </w:tr>
      <w:tr>
        <w:trPr>
          <w:trHeight w:val="159"/>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12,286</w:t>
            </w:r>
          </w:p>
        </w:tc>
      </w:tr>
      <w:tr>
        <w:trPr>
          <w:trHeight w:val="169"/>
        </w:trPr>
        <w:tc>
          <w:tcPr>
            <w:tcW w:w="4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4,278</w:t>
            </w:r>
          </w:p>
        </w:tc>
      </w:tr>
      <w:tr>
        <w:trPr>
          <w:trHeight w:val="153"/>
        </w:trPr>
        <w:tc>
          <w:tcPr>
            <w:tcW w:w="412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513,070</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548,062</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-1717675</wp:posOffset>
            </wp:positionV>
            <wp:extent cx="7129780" cy="100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9780" cy="10096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-1535430</wp:posOffset>
            </wp:positionV>
            <wp:extent cx="7129780" cy="100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9780" cy="10096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-1333500</wp:posOffset>
            </wp:positionV>
            <wp:extent cx="7129780" cy="100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9780" cy="10096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-1130935</wp:posOffset>
            </wp:positionV>
            <wp:extent cx="7129780" cy="100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9780" cy="10096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-929005</wp:posOffset>
            </wp:positionV>
            <wp:extent cx="7129780" cy="100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9780" cy="10096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-720090</wp:posOffset>
            </wp:positionV>
            <wp:extent cx="7129780" cy="80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9780" cy="8064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-538480</wp:posOffset>
            </wp:positionV>
            <wp:extent cx="7129780" cy="100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9780" cy="10096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-335915</wp:posOffset>
            </wp:positionV>
            <wp:extent cx="7129780" cy="100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9780" cy="10096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-133985</wp:posOffset>
            </wp:positionV>
            <wp:extent cx="7129780"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9780" cy="12128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-75565</wp:posOffset>
            </wp:positionV>
            <wp:extent cx="7129780" cy="100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9780" cy="10096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020" w:space="720"/>
            <w:col w:w="8480"/>
          </w:cols>
          <w:pgMar w:left="440" w:top="1141" w:right="23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48,641</w:t>
            </w:r>
          </w:p>
        </w:tc>
        <w:tc>
          <w:tcPr>
            <w:tcW w:w="100" w:type="dxa"/>
            <w:vAlign w:val="bottom"/>
          </w:tcPr>
          <w:p>
            <w:pPr>
              <w:spacing w:after="0"/>
              <w:rPr>
                <w:sz w:val="13"/>
                <w:szCs w:val="13"/>
                <w:color w:val="auto"/>
              </w:rPr>
            </w:pPr>
          </w:p>
        </w:tc>
        <w:tc>
          <w:tcPr>
            <w:tcW w:w="620" w:type="dxa"/>
            <w:vAlign w:val="bottom"/>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58,699</w:t>
            </w:r>
          </w:p>
        </w:tc>
        <w:tc>
          <w:tcPr>
            <w:tcW w:w="0" w:type="dxa"/>
            <w:vAlign w:val="bottom"/>
          </w:tcPr>
          <w:p>
            <w:pPr>
              <w:spacing w:after="0"/>
              <w:rPr>
                <w:sz w:val="1"/>
                <w:szCs w:val="1"/>
                <w:color w:val="auto"/>
              </w:rPr>
            </w:pPr>
          </w:p>
        </w:tc>
      </w:tr>
      <w:tr>
        <w:trPr>
          <w:trHeight w:val="165"/>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26,127</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40,523</w:t>
            </w:r>
          </w:p>
        </w:tc>
        <w:tc>
          <w:tcPr>
            <w:tcW w:w="0" w:type="dxa"/>
            <w:vAlign w:val="bottom"/>
          </w:tcPr>
          <w:p>
            <w:pPr>
              <w:spacing w:after="0"/>
              <w:rPr>
                <w:sz w:val="1"/>
                <w:szCs w:val="1"/>
                <w:color w:val="auto"/>
              </w:rPr>
            </w:pPr>
          </w:p>
        </w:tc>
      </w:tr>
      <w:tr>
        <w:trPr>
          <w:trHeight w:val="153"/>
        </w:trPr>
        <w:tc>
          <w:tcPr>
            <w:tcW w:w="7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taxes</w:t>
            </w:r>
          </w:p>
        </w:tc>
        <w:tc>
          <w:tcPr>
            <w:tcW w:w="6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3,831</w:t>
            </w:r>
          </w:p>
        </w:tc>
        <w:tc>
          <w:tcPr>
            <w:tcW w:w="0" w:type="dxa"/>
            <w:vAlign w:val="bottom"/>
          </w:tcPr>
          <w:p>
            <w:pPr>
              <w:spacing w:after="0"/>
              <w:rPr>
                <w:sz w:val="1"/>
                <w:szCs w:val="1"/>
                <w:color w:val="auto"/>
              </w:rPr>
            </w:pPr>
          </w:p>
        </w:tc>
      </w:tr>
      <w:tr>
        <w:trPr>
          <w:trHeight w:val="165"/>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4,492</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4,849</w:t>
            </w:r>
          </w:p>
        </w:tc>
        <w:tc>
          <w:tcPr>
            <w:tcW w:w="0" w:type="dxa"/>
            <w:vAlign w:val="bottom"/>
          </w:tcPr>
          <w:p>
            <w:pPr>
              <w:spacing w:after="0"/>
              <w:rPr>
                <w:sz w:val="1"/>
                <w:szCs w:val="1"/>
                <w:color w:val="auto"/>
              </w:rPr>
            </w:pPr>
          </w:p>
        </w:tc>
      </w:tr>
      <w:tr>
        <w:trPr>
          <w:trHeight w:val="153"/>
        </w:trPr>
        <w:tc>
          <w:tcPr>
            <w:tcW w:w="7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6,167</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6,334</w:t>
            </w:r>
          </w:p>
        </w:tc>
        <w:tc>
          <w:tcPr>
            <w:tcW w:w="0" w:type="dxa"/>
            <w:vAlign w:val="bottom"/>
          </w:tcPr>
          <w:p>
            <w:pPr>
              <w:spacing w:after="0"/>
              <w:rPr>
                <w:sz w:val="1"/>
                <w:szCs w:val="1"/>
                <w:color w:val="auto"/>
              </w:rPr>
            </w:pPr>
          </w:p>
        </w:tc>
      </w:tr>
      <w:tr>
        <w:trPr>
          <w:trHeight w:val="156"/>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92,853</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114,236</w:t>
            </w:r>
          </w:p>
        </w:tc>
        <w:tc>
          <w:tcPr>
            <w:tcW w:w="0" w:type="dxa"/>
            <w:vAlign w:val="bottom"/>
          </w:tcPr>
          <w:p>
            <w:pPr>
              <w:spacing w:after="0"/>
              <w:rPr>
                <w:sz w:val="1"/>
                <w:szCs w:val="1"/>
                <w:color w:val="auto"/>
              </w:rPr>
            </w:pPr>
          </w:p>
        </w:tc>
      </w:tr>
      <w:tr>
        <w:trPr>
          <w:trHeight w:val="127"/>
        </w:trPr>
        <w:tc>
          <w:tcPr>
            <w:tcW w:w="7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78,597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65,554</w:t>
            </w:r>
          </w:p>
        </w:tc>
        <w:tc>
          <w:tcPr>
            <w:tcW w:w="0" w:type="dxa"/>
            <w:vAlign w:val="bottom"/>
          </w:tcPr>
          <w:p>
            <w:pPr>
              <w:spacing w:after="0"/>
              <w:rPr>
                <w:sz w:val="1"/>
                <w:szCs w:val="1"/>
                <w:color w:val="auto"/>
              </w:rPr>
            </w:pPr>
          </w:p>
        </w:tc>
      </w:tr>
      <w:tr>
        <w:trPr>
          <w:trHeight w:val="153"/>
        </w:trPr>
        <w:tc>
          <w:tcPr>
            <w:tcW w:w="7820" w:type="dxa"/>
            <w:vAlign w:val="bottom"/>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6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11,803</w:t>
            </w:r>
          </w:p>
        </w:tc>
        <w:tc>
          <w:tcPr>
            <w:tcW w:w="0" w:type="dxa"/>
            <w:vAlign w:val="bottom"/>
          </w:tcPr>
          <w:p>
            <w:pPr>
              <w:spacing w:after="0"/>
              <w:rPr>
                <w:sz w:val="1"/>
                <w:szCs w:val="1"/>
                <w:color w:val="auto"/>
              </w:rPr>
            </w:pPr>
          </w:p>
        </w:tc>
      </w:tr>
      <w:tr>
        <w:trPr>
          <w:trHeight w:val="16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9,447</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9,264</w:t>
            </w:r>
          </w:p>
        </w:tc>
        <w:tc>
          <w:tcPr>
            <w:tcW w:w="0" w:type="dxa"/>
            <w:vAlign w:val="bottom"/>
          </w:tcPr>
          <w:p>
            <w:pPr>
              <w:spacing w:after="0"/>
              <w:rPr>
                <w:sz w:val="1"/>
                <w:szCs w:val="1"/>
                <w:color w:val="auto"/>
              </w:rPr>
            </w:pPr>
          </w:p>
        </w:tc>
      </w:tr>
      <w:tr>
        <w:trPr>
          <w:trHeight w:val="153"/>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23,017</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24,167</w:t>
            </w:r>
          </w:p>
        </w:tc>
        <w:tc>
          <w:tcPr>
            <w:tcW w:w="0" w:type="dxa"/>
            <w:vAlign w:val="bottom"/>
          </w:tcPr>
          <w:p>
            <w:pPr>
              <w:spacing w:after="0"/>
              <w:rPr>
                <w:sz w:val="1"/>
                <w:szCs w:val="1"/>
                <w:color w:val="auto"/>
              </w:rPr>
            </w:pPr>
          </w:p>
        </w:tc>
      </w:tr>
      <w:tr>
        <w:trPr>
          <w:trHeight w:val="156"/>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212,960</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225,024</w:t>
            </w:r>
          </w:p>
        </w:tc>
        <w:tc>
          <w:tcPr>
            <w:tcW w:w="0" w:type="dxa"/>
            <w:vAlign w:val="bottom"/>
          </w:tcPr>
          <w:p>
            <w:pPr>
              <w:spacing w:after="0"/>
              <w:rPr>
                <w:sz w:val="1"/>
                <w:szCs w:val="1"/>
                <w:color w:val="auto"/>
              </w:rPr>
            </w:pPr>
          </w:p>
        </w:tc>
      </w:tr>
      <w:tr>
        <w:trPr>
          <w:trHeight w:val="127"/>
        </w:trPr>
        <w:tc>
          <w:tcPr>
            <w:tcW w:w="7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Shareholders’ Equity:</w:t>
            </w: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82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Common shares (no par value; 46,000,000 shares authorized, 15,037,791 shares and 15,046,756 shares issued, respectively, and 14,623,717 shares and 14,680,081 shares</w:t>
            </w:r>
          </w:p>
        </w:tc>
        <w:tc>
          <w:tcPr>
            <w:tcW w:w="600" w:type="dxa"/>
            <w:vAlign w:val="bottom"/>
          </w:tcPr>
          <w:p>
            <w:pPr>
              <w:spacing w:after="0"/>
              <w:rPr>
                <w:sz w:val="9"/>
                <w:szCs w:val="9"/>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7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outstanding, respectively)</w:t>
            </w:r>
          </w:p>
        </w:tc>
        <w:tc>
          <w:tcPr>
            <w:tcW w:w="6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1,629,521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1,628,972</w:t>
            </w:r>
          </w:p>
        </w:tc>
        <w:tc>
          <w:tcPr>
            <w:tcW w:w="0" w:type="dxa"/>
            <w:vAlign w:val="bottom"/>
          </w:tcPr>
          <w:p>
            <w:pPr>
              <w:spacing w:after="0"/>
              <w:rPr>
                <w:sz w:val="1"/>
                <w:szCs w:val="1"/>
                <w:color w:val="auto"/>
              </w:rPr>
            </w:pPr>
          </w:p>
        </w:tc>
      </w:tr>
      <w:tr>
        <w:trPr>
          <w:trHeight w:val="153"/>
        </w:trPr>
        <w:tc>
          <w:tcPr>
            <w:tcW w:w="7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Accumulated deficit</w:t>
            </w:r>
          </w:p>
        </w:tc>
        <w:tc>
          <w:tcPr>
            <w:tcW w:w="6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(931,135)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(919,023)</w:t>
            </w:r>
          </w:p>
        </w:tc>
        <w:tc>
          <w:tcPr>
            <w:tcW w:w="0" w:type="dxa"/>
            <w:vAlign w:val="bottom"/>
          </w:tcPr>
          <w:p>
            <w:pPr>
              <w:spacing w:after="0"/>
              <w:rPr>
                <w:sz w:val="1"/>
                <w:szCs w:val="1"/>
                <w:color w:val="auto"/>
              </w:rPr>
            </w:pPr>
          </w:p>
        </w:tc>
      </w:tr>
      <w:tr>
        <w:trPr>
          <w:trHeight w:val="165"/>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Common shares held in treasury at cost, 414,074 and 366,675 shares, respectively</w:t>
            </w: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(9,063)</w:t>
            </w:r>
          </w:p>
        </w:tc>
        <w:tc>
          <w:tcPr>
            <w:tcW w:w="0" w:type="dxa"/>
            <w:vAlign w:val="bottom"/>
          </w:tcPr>
          <w:p>
            <w:pPr>
              <w:spacing w:after="0"/>
              <w:rPr>
                <w:sz w:val="1"/>
                <w:szCs w:val="1"/>
                <w:color w:val="auto"/>
              </w:rPr>
            </w:pPr>
          </w:p>
        </w:tc>
      </w:tr>
      <w:tr>
        <w:trPr>
          <w:trHeight w:val="153"/>
        </w:trPr>
        <w:tc>
          <w:tcPr>
            <w:tcW w:w="7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(390,877)</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(380,715)</w:t>
            </w:r>
          </w:p>
        </w:tc>
        <w:tc>
          <w:tcPr>
            <w:tcW w:w="0" w:type="dxa"/>
            <w:vAlign w:val="bottom"/>
          </w:tcPr>
          <w:p>
            <w:pPr>
              <w:spacing w:after="0"/>
              <w:rPr>
                <w:sz w:val="1"/>
                <w:szCs w:val="1"/>
                <w:color w:val="auto"/>
              </w:rPr>
            </w:pPr>
          </w:p>
        </w:tc>
      </w:tr>
      <w:tr>
        <w:trPr>
          <w:trHeight w:val="156"/>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Civeo Corporation shareholders’ equity</w:t>
            </w:r>
          </w:p>
        </w:tc>
        <w:tc>
          <w:tcPr>
            <w:tcW w:w="6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297,379</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320,171</w:t>
            </w:r>
          </w:p>
        </w:tc>
        <w:tc>
          <w:tcPr>
            <w:tcW w:w="0" w:type="dxa"/>
            <w:vAlign w:val="bottom"/>
          </w:tcPr>
          <w:p>
            <w:pPr>
              <w:spacing w:after="0"/>
              <w:rPr>
                <w:sz w:val="1"/>
                <w:szCs w:val="1"/>
                <w:color w:val="auto"/>
              </w:rPr>
            </w:pPr>
          </w:p>
        </w:tc>
      </w:tr>
      <w:tr>
        <w:trPr>
          <w:trHeight w:val="144"/>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Noncontrolling interest</w:t>
            </w:r>
          </w:p>
        </w:tc>
        <w:tc>
          <w:tcPr>
            <w:tcW w:w="6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2,731</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0" w:type="dxa"/>
            <w:vAlign w:val="bottom"/>
          </w:tcPr>
          <w:p>
            <w:pPr>
              <w:spacing w:after="0"/>
              <w:rPr>
                <w:sz w:val="1"/>
                <w:szCs w:val="1"/>
                <w:color w:val="auto"/>
              </w:rPr>
            </w:pPr>
          </w:p>
        </w:tc>
      </w:tr>
      <w:tr>
        <w:trPr>
          <w:trHeight w:val="150"/>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shareholders’ equity</w:t>
            </w:r>
          </w:p>
        </w:tc>
        <w:tc>
          <w:tcPr>
            <w:tcW w:w="6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300,110</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323,038</w:t>
            </w: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6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513,070</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548,062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440" w:top="1141" w:right="239" w:bottom="1440" w:gutter="0" w:footer="0" w:header="0"/>
          <w:type w:val="continuous"/>
        </w:sectPr>
      </w:pPr>
    </w:p>
    <w:bookmarkStart w:id="6" w:name="page7"/>
    <w:bookmarkEnd w:id="6"/>
    <w:p>
      <w:pPr>
        <w:jc w:val="center"/>
        <w:ind w:right="-1099"/>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17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w:t>
      </w:r>
    </w:p>
    <w:p>
      <w:pPr>
        <w:spacing w:after="0" w:line="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4"/>
          <w:szCs w:val="14"/>
          <w:b w:val="1"/>
          <w:bCs w:val="1"/>
          <w:color w:val="auto"/>
        </w:rPr>
        <w:t>CHANGES IN SHAREHOLDERS’ EQUITY</w:t>
      </w:r>
    </w:p>
    <w:p>
      <w:pPr>
        <w:spacing w:after="0" w:line="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70" w:lineRule="exact"/>
        <w:rPr>
          <w:sz w:val="20"/>
          <w:szCs w:val="20"/>
          <w:color w:val="auto"/>
        </w:rPr>
      </w:pPr>
    </w:p>
    <w:tbl>
      <w:tblPr>
        <w:tblLayout w:type="fixed"/>
        <w:tblInd w:w="2720" w:type="dxa"/>
        <w:tblCellMar>
          <w:top w:w="0" w:type="dxa"/>
          <w:left w:w="0" w:type="dxa"/>
          <w:bottom w:w="0" w:type="dxa"/>
          <w:right w:w="0" w:type="dxa"/>
        </w:tblCellMar>
      </w:tblPr>
      <w:tr>
        <w:trPr>
          <w:trHeight w:val="136"/>
        </w:trPr>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Attributable to Civeo</w:t>
            </w:r>
          </w:p>
        </w:tc>
        <w:tc>
          <w:tcPr>
            <w:tcW w:w="8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00" w:type="dxa"/>
            <w:vAlign w:val="bottom"/>
          </w:tcPr>
          <w:p>
            <w:pPr>
              <w:spacing w:after="0"/>
              <w:rPr>
                <w:sz w:val="8"/>
                <w:szCs w:val="8"/>
                <w:color w:val="auto"/>
              </w:rPr>
            </w:pPr>
          </w:p>
        </w:tc>
        <w:tc>
          <w:tcPr>
            <w:tcW w:w="86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vMerge w:val="restart"/>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80" w:type="dxa"/>
            <w:vAlign w:val="bottom"/>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260" w:type="dxa"/>
            <w:vAlign w:val="bottom"/>
          </w:tcPr>
          <w:p>
            <w:pPr>
              <w:spacing w:after="0"/>
              <w:rPr>
                <w:sz w:val="7"/>
                <w:szCs w:val="7"/>
                <w:color w:val="auto"/>
              </w:rPr>
            </w:pPr>
          </w:p>
        </w:tc>
        <w:tc>
          <w:tcPr>
            <w:tcW w:w="880" w:type="dxa"/>
            <w:vAlign w:val="bottom"/>
            <w:vMerge w:val="restart"/>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60" w:type="dxa"/>
            <w:vAlign w:val="bottom"/>
            <w:vMerge w:val="restart"/>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0" w:type="dxa"/>
            <w:vAlign w:val="bottom"/>
            <w:vMerge w:val="restart"/>
          </w:tcPr>
          <w:p>
            <w:pPr>
              <w:jc w:val="center"/>
              <w:ind w:right="91"/>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118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260" w:type="dxa"/>
            <w:vAlign w:val="bottom"/>
            <w:vMerge w:val="restart"/>
          </w:tcPr>
          <w:p>
            <w:pPr>
              <w:jc w:val="center"/>
              <w:ind w:left="11"/>
              <w:spacing w:after="0"/>
              <w:rPr>
                <w:sz w:val="20"/>
                <w:szCs w:val="20"/>
                <w:color w:val="auto"/>
              </w:rPr>
            </w:pPr>
            <w:r>
              <w:rPr>
                <w:rFonts w:ascii="Times New Roman" w:cs="Times New Roman" w:eastAsia="Times New Roman" w:hAnsi="Times New Roman"/>
                <w:sz w:val="10"/>
                <w:szCs w:val="10"/>
                <w:b w:val="1"/>
                <w:bCs w:val="1"/>
                <w:color w:val="auto"/>
                <w:w w:val="99"/>
              </w:rPr>
              <w:t>Noncontrolling</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jc w:val="center"/>
              <w:ind w:left="51"/>
              <w:spacing w:after="0" w:line="96"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8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260" w:type="dxa"/>
            <w:vAlign w:val="bottom"/>
            <w:vMerge w:val="continue"/>
          </w:tcPr>
          <w:p>
            <w:pPr>
              <w:spacing w:after="0"/>
              <w:rPr>
                <w:sz w:val="8"/>
                <w:szCs w:val="8"/>
                <w:color w:val="auto"/>
              </w:rPr>
            </w:pPr>
          </w:p>
        </w:tc>
        <w:tc>
          <w:tcPr>
            <w:tcW w:w="880" w:type="dxa"/>
            <w:vAlign w:val="bottom"/>
          </w:tcPr>
          <w:p>
            <w:pPr>
              <w:jc w:val="center"/>
              <w:ind w:left="251"/>
              <w:spacing w:after="0" w:line="96" w:lineRule="exact"/>
              <w:rPr>
                <w:sz w:val="20"/>
                <w:szCs w:val="20"/>
                <w:color w:val="auto"/>
              </w:rPr>
            </w:pPr>
            <w:r>
              <w:rPr>
                <w:rFonts w:ascii="Times New Roman" w:cs="Times New Roman" w:eastAsia="Times New Roman" w:hAnsi="Times New Roman"/>
                <w:sz w:val="10"/>
                <w:szCs w:val="10"/>
                <w:b w:val="1"/>
                <w:bCs w:val="1"/>
                <w:color w:val="auto"/>
                <w:w w:val="96"/>
              </w:rPr>
              <w:t>Shareholders’</w:t>
            </w: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Par Value</w:t>
            </w:r>
          </w:p>
        </w:tc>
        <w:tc>
          <w:tcPr>
            <w:tcW w:w="1020" w:type="dxa"/>
            <w:vAlign w:val="bottom"/>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6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800" w:type="dxa"/>
            <w:vAlign w:val="bottom"/>
          </w:tcPr>
          <w:p>
            <w:pPr>
              <w:jc w:val="center"/>
              <w:ind w:right="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1260" w:type="dxa"/>
            <w:vAlign w:val="bottom"/>
          </w:tcPr>
          <w:p>
            <w:pPr>
              <w:jc w:val="center"/>
              <w:ind w:left="11"/>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880" w:type="dxa"/>
            <w:vAlign w:val="bottom"/>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548755" cy="107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8755" cy="107950"/>
                    </a:xfrm>
                    <a:prstGeom prst="rect">
                      <a:avLst/>
                    </a:prstGeom>
                    <a:noFill/>
                  </pic:spPr>
                </pic:pic>
              </a:graphicData>
            </a:graphic>
          </wp:anchor>
        </w:drawing>
      </w:r>
    </w:p>
    <w:p>
      <w:pPr>
        <w:sectPr>
          <w:pgSz w:w="11900" w:h="16838" w:orient="portrait"/>
          <w:cols w:equalWidth="0" w:num="1">
            <w:col w:w="10320"/>
          </w:cols>
          <w:pgMar w:left="300" w:top="1141" w:right="1279" w:bottom="1440" w:gutter="0" w:footer="0" w:header="0"/>
        </w:sectPr>
      </w:pPr>
    </w:p>
    <w:tbl>
      <w:tblPr>
        <w:tblLayout w:type="fixed"/>
        <w:tblInd w:w="0" w:type="dxa"/>
        <w:tblCellMar>
          <w:top w:w="0" w:type="dxa"/>
          <w:left w:w="0" w:type="dxa"/>
          <w:bottom w:w="0" w:type="dxa"/>
          <w:right w:w="0" w:type="dxa"/>
        </w:tblCellMar>
      </w:tblPr>
      <w:tr>
        <w:trPr>
          <w:trHeight w:val="152"/>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1,624,512</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shares repurchased</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6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Share-based compensation</w:t>
            </w:r>
          </w:p>
        </w:tc>
        <w:tc>
          <w:tcPr>
            <w:tcW w:w="120" w:type="dxa"/>
            <w:vAlign w:val="bottom"/>
          </w:tcPr>
          <w:p>
            <w:pPr>
              <w:spacing w:after="0"/>
              <w:rPr>
                <w:sz w:val="14"/>
                <w:szCs w:val="14"/>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w:t>
            </w:r>
          </w:p>
        </w:tc>
        <w:tc>
          <w:tcPr>
            <w:tcW w:w="180" w:type="dxa"/>
            <w:vAlign w:val="bottom"/>
          </w:tcPr>
          <w:p>
            <w:pPr>
              <w:spacing w:after="0"/>
              <w:rPr>
                <w:sz w:val="14"/>
                <w:szCs w:val="14"/>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March 31, 2023</w:t>
            </w: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1,625,379</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1,628,972</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shares repurchased</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Excise tax on common shares repurchased</w:t>
            </w:r>
          </w:p>
        </w:tc>
        <w:tc>
          <w:tcPr>
            <w:tcW w:w="12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r>
      <w:tr>
        <w:trPr>
          <w:trHeight w:val="16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Share-based compensation</w:t>
            </w:r>
          </w:p>
        </w:tc>
        <w:tc>
          <w:tcPr>
            <w:tcW w:w="120" w:type="dxa"/>
            <w:vAlign w:val="bottom"/>
          </w:tcPr>
          <w:p>
            <w:pPr>
              <w:spacing w:after="0"/>
              <w:rPr>
                <w:sz w:val="14"/>
                <w:szCs w:val="14"/>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180" w:type="dxa"/>
            <w:vAlign w:val="bottom"/>
          </w:tcPr>
          <w:p>
            <w:pPr>
              <w:spacing w:after="0"/>
              <w:rPr>
                <w:sz w:val="14"/>
                <w:szCs w:val="14"/>
                <w:color w:val="auto"/>
              </w:rPr>
            </w:pPr>
          </w:p>
        </w:tc>
      </w:tr>
      <w:tr>
        <w:trPr>
          <w:trHeight w:val="159"/>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March 31, 2024</w:t>
            </w: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1,629,521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9"/>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203"/>
              <w:spacing w:after="0" w:line="115" w:lineRule="exact"/>
              <w:rPr>
                <w:sz w:val="20"/>
                <w:szCs w:val="20"/>
                <w:color w:val="auto"/>
              </w:rPr>
            </w:pPr>
            <w:r>
              <w:rPr>
                <w:rFonts w:ascii="Times New Roman" w:cs="Times New Roman" w:eastAsia="Times New Roman" w:hAnsi="Times New Roman"/>
                <w:sz w:val="11"/>
                <w:szCs w:val="11"/>
                <w:b w:val="1"/>
                <w:bCs w:val="1"/>
                <w:color w:val="auto"/>
              </w:rPr>
              <w:t>Shares (in</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54"/>
        </w:trPr>
        <w:tc>
          <w:tcPr>
            <w:tcW w:w="28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12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14,680</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3"/>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Share-based compensation</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shares repurchased</w:t>
            </w: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March 31, 2024</w:t>
            </w:r>
          </w:p>
        </w:tc>
        <w:tc>
          <w:tcPr>
            <w:tcW w:w="120" w:type="dxa"/>
            <w:vAlign w:val="bottom"/>
          </w:tcPr>
          <w:p>
            <w:pPr>
              <w:spacing w:after="0"/>
              <w:rPr>
                <w:sz w:val="13"/>
                <w:szCs w:val="13"/>
                <w:color w:val="auto"/>
              </w:rPr>
            </w:pPr>
          </w:p>
        </w:tc>
        <w:tc>
          <w:tcPr>
            <w:tcW w:w="106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14,624</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97"/>
              </w:rPr>
              <w:t>(930,123)</w:t>
            </w: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(9,063)</w:t>
            </w: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(385,187)</w:t>
            </w:r>
          </w:p>
        </w:tc>
        <w:tc>
          <w:tcPr>
            <w:tcW w:w="100" w:type="dxa"/>
            <w:vAlign w:val="bottom"/>
          </w:tcPr>
          <w:p>
            <w:pPr>
              <w:spacing w:after="0"/>
              <w:rPr>
                <w:sz w:val="13"/>
                <w:szCs w:val="13"/>
                <w:color w:val="auto"/>
              </w:rPr>
            </w:pPr>
          </w:p>
        </w:tc>
        <w:tc>
          <w:tcPr>
            <w:tcW w:w="44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3,562</w:t>
            </w:r>
          </w:p>
        </w:tc>
        <w:tc>
          <w:tcPr>
            <w:tcW w:w="80" w:type="dxa"/>
            <w:vAlign w:val="bottom"/>
          </w:tcPr>
          <w:p>
            <w:pPr>
              <w:spacing w:after="0"/>
              <w:rPr>
                <w:sz w:val="13"/>
                <w:szCs w:val="13"/>
                <w:color w:val="auto"/>
              </w:rPr>
            </w:pPr>
          </w:p>
        </w:tc>
        <w:tc>
          <w:tcPr>
            <w:tcW w:w="36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303,701</w:t>
            </w:r>
          </w:p>
        </w:tc>
      </w:tr>
      <w:tr>
        <w:trPr>
          <w:trHeight w:val="150"/>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(6,353)</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(6,311)</w:t>
            </w:r>
          </w:p>
        </w:tc>
      </w:tr>
      <w:tr>
        <w:trPr>
          <w:trHeight w:val="159"/>
        </w:trPr>
        <w:tc>
          <w:tcPr>
            <w:tcW w:w="5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(2,176)</w:t>
            </w:r>
          </w:p>
        </w:tc>
      </w:tr>
      <w:tr>
        <w:trPr>
          <w:trHeight w:val="159"/>
        </w:trPr>
        <w:tc>
          <w:tcPr>
            <w:tcW w:w="5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r>
      <w:tr>
        <w:trPr>
          <w:trHeight w:val="159"/>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(3,771)</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(3,771)</w:t>
            </w:r>
          </w:p>
        </w:tc>
      </w:tr>
      <w:tr>
        <w:trPr>
          <w:trHeight w:val="169"/>
        </w:trPr>
        <w:tc>
          <w:tcPr>
            <w:tcW w:w="5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867</w:t>
            </w:r>
          </w:p>
        </w:tc>
      </w:tr>
      <w:tr>
        <w:trPr>
          <w:trHeight w:val="154"/>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97"/>
              </w:rPr>
              <w:t>(940,247)</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(9,063)</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(387,361)</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3,469</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292,177</w:t>
            </w:r>
          </w:p>
        </w:tc>
      </w:tr>
      <w:tr>
        <w:trPr>
          <w:trHeight w:val="20"/>
        </w:trPr>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4"/>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97"/>
              </w:rPr>
              <w:t>(919,023)</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(9,063)</w:t>
            </w:r>
          </w:p>
        </w:tc>
        <w:tc>
          <w:tcPr>
            <w:tcW w:w="100" w:type="dxa"/>
            <w:vAlign w:val="bottom"/>
          </w:tcPr>
          <w:p>
            <w:pPr>
              <w:spacing w:after="0"/>
              <w:rPr>
                <w:sz w:val="20"/>
                <w:szCs w:val="20"/>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(380,715)</w:t>
            </w:r>
          </w:p>
        </w:tc>
        <w:tc>
          <w:tcPr>
            <w:tcW w:w="100" w:type="dxa"/>
            <w:vAlign w:val="bottom"/>
          </w:tcPr>
          <w:p>
            <w:pPr>
              <w:spacing w:after="0"/>
              <w:rPr>
                <w:sz w:val="20"/>
                <w:szCs w:val="20"/>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2,867</w:t>
            </w:r>
          </w:p>
        </w:tc>
        <w:tc>
          <w:tcPr>
            <w:tcW w:w="80" w:type="dxa"/>
            <w:vAlign w:val="bottom"/>
          </w:tcPr>
          <w:p>
            <w:pPr>
              <w:spacing w:after="0"/>
              <w:rPr>
                <w:sz w:val="20"/>
                <w:szCs w:val="20"/>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323,038</w:t>
            </w:r>
          </w:p>
        </w:tc>
      </w:tr>
      <w:tr>
        <w:trPr>
          <w:trHeight w:val="159"/>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(5,133)</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(5,196)</w:t>
            </w:r>
          </w:p>
        </w:tc>
      </w:tr>
      <w:tr>
        <w:trPr>
          <w:trHeight w:val="159"/>
        </w:trPr>
        <w:tc>
          <w:tcPr>
            <w:tcW w:w="5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(10,231)</w:t>
            </w:r>
          </w:p>
        </w:tc>
      </w:tr>
      <w:tr>
        <w:trPr>
          <w:trHeight w:val="159"/>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(3,707)</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(3,711)</w:t>
            </w:r>
          </w:p>
        </w:tc>
      </w:tr>
      <w:tr>
        <w:trPr>
          <w:trHeight w:val="159"/>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(3,208)</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(3,208)</w:t>
            </w:r>
          </w:p>
        </w:tc>
      </w:tr>
      <w:tr>
        <w:trPr>
          <w:trHeight w:val="159"/>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(64)</w:t>
            </w:r>
          </w:p>
        </w:tc>
        <w:tc>
          <w:tcPr>
            <w:tcW w:w="22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69"/>
        </w:trPr>
        <w:tc>
          <w:tcPr>
            <w:tcW w:w="5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w:t>
            </w:r>
          </w:p>
        </w:tc>
      </w:tr>
      <w:tr>
        <w:trPr>
          <w:trHeight w:val="154"/>
        </w:trPr>
        <w:tc>
          <w:tcPr>
            <w:tcW w:w="56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97"/>
              </w:rPr>
              <w:t>(931,135)</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(10,130)</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(390,877)</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2,731</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300,110</w:t>
            </w:r>
          </w:p>
        </w:tc>
      </w:tr>
      <w:tr>
        <w:trPr>
          <w:trHeight w:val="20"/>
        </w:trPr>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-1447800</wp:posOffset>
            </wp:positionV>
            <wp:extent cx="6548755" cy="100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8755" cy="10096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-1245870</wp:posOffset>
            </wp:positionV>
            <wp:extent cx="6548755" cy="100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8755" cy="10096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-841375</wp:posOffset>
            </wp:positionV>
            <wp:extent cx="6548755" cy="100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8755" cy="10096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-639445</wp:posOffset>
            </wp:positionV>
            <wp:extent cx="6548755" cy="100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8755" cy="10096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-437515</wp:posOffset>
            </wp:positionV>
            <wp:extent cx="6548755" cy="100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8755" cy="10096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-234950</wp:posOffset>
            </wp:positionV>
            <wp:extent cx="6548755" cy="235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8755" cy="23558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-1043940</wp:posOffset>
            </wp:positionV>
            <wp:extent cx="6548755"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8755" cy="134620"/>
                    </a:xfrm>
                    <a:prstGeom prst="rect">
                      <a:avLst/>
                    </a:prstGeom>
                    <a:noFill/>
                  </pic:spPr>
                </pic:pic>
              </a:graphicData>
            </a:graphic>
          </wp:anchor>
        </w:drawing>
      </w:r>
    </w:p>
    <w:p>
      <w:pPr>
        <w:spacing w:after="0" w:line="1566" w:lineRule="exact"/>
        <w:rPr>
          <w:sz w:val="20"/>
          <w:szCs w:val="20"/>
          <w:color w:val="auto"/>
        </w:rPr>
      </w:pPr>
    </w:p>
    <w:p>
      <w:pPr>
        <w:sectPr>
          <w:pgSz w:w="11900" w:h="16838" w:orient="portrait"/>
          <w:cols w:equalWidth="0" w:num="2">
            <w:col w:w="4880" w:space="460"/>
            <w:col w:w="4980"/>
          </w:cols>
          <w:pgMar w:left="300" w:top="1141" w:right="1279" w:bottom="1440" w:gutter="0" w:footer="0" w:header="0"/>
          <w:type w:val="continuous"/>
        </w:sectPr>
      </w:pPr>
    </w:p>
    <w:p>
      <w:pPr>
        <w:ind w:left="362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20"/>
          </w:cols>
          <w:pgMar w:left="300" w:top="1141" w:right="1279" w:bottom="1440" w:gutter="0" w:footer="0" w:header="0"/>
          <w:type w:val="continuous"/>
        </w:sectPr>
      </w:pPr>
    </w:p>
    <w:bookmarkStart w:id="7" w:name="page8"/>
    <w:bookmarkEnd w:id="7"/>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59"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7780"/>
        <w:spacing w:after="0"/>
        <w:rPr>
          <w:sz w:val="20"/>
          <w:szCs w:val="20"/>
          <w:color w:val="auto"/>
        </w:rPr>
      </w:pPr>
      <w:r>
        <w:rPr>
          <w:rFonts w:ascii="Times New Roman" w:cs="Times New Roman" w:eastAsia="Times New Roman" w:hAnsi="Times New Roman"/>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8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(5,196)</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(6,311)</w:t>
            </w:r>
          </w:p>
        </w:tc>
      </w:tr>
      <w:tr>
        <w:trPr>
          <w:trHeight w:val="16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to net cash provided by operating activities: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53"/>
        </w:trPr>
        <w:tc>
          <w:tcPr>
            <w:tcW w:w="8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2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16,770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21,662</w:t>
            </w:r>
          </w:p>
        </w:tc>
      </w:tr>
      <w:tr>
        <w:trPr>
          <w:trHeight w:val="16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Impairment charges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7,823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income tax expense (benefit)</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1,189</w:t>
            </w:r>
          </w:p>
        </w:tc>
      </w:tr>
      <w:tr>
        <w:trPr>
          <w:trHeight w:val="16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Non-cash compensation charge</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867</w:t>
            </w:r>
          </w:p>
        </w:tc>
      </w:tr>
      <w:tr>
        <w:trPr>
          <w:trHeight w:val="153"/>
        </w:trPr>
        <w:tc>
          <w:tcPr>
            <w:tcW w:w="8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Gain on disposals of assets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(2,018)</w:t>
            </w:r>
          </w:p>
        </w:tc>
      </w:tr>
      <w:tr>
        <w:trPr>
          <w:trHeight w:val="16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Provision (benefit) for credit losses, net of recoveries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53"/>
        </w:trPr>
        <w:tc>
          <w:tcPr>
            <w:tcW w:w="8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net</w:t>
            </w:r>
          </w:p>
        </w:tc>
        <w:tc>
          <w:tcPr>
            <w:tcW w:w="92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589</w:t>
            </w:r>
          </w:p>
        </w:tc>
      </w:tr>
      <w:tr>
        <w:trPr>
          <w:trHeight w:val="16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53"/>
        </w:trPr>
        <w:tc>
          <w:tcPr>
            <w:tcW w:w="8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receivable</w:t>
            </w:r>
          </w:p>
        </w:tc>
        <w:tc>
          <w:tcPr>
            <w:tcW w:w="92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7,387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(4,298)</w:t>
            </w:r>
          </w:p>
        </w:tc>
      </w:tr>
      <w:tr>
        <w:trPr>
          <w:trHeight w:val="165"/>
        </w:trPr>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Inventories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w:t>
            </w:r>
          </w:p>
        </w:tc>
      </w:tr>
      <w:tr>
        <w:trPr>
          <w:trHeight w:val="153"/>
        </w:trPr>
        <w:tc>
          <w:tcPr>
            <w:tcW w:w="8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(20,075)</w:t>
            </w:r>
          </w:p>
        </w:tc>
      </w:tr>
      <w:tr>
        <w:trPr>
          <w:trHeight w:val="165"/>
        </w:trPr>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Taxes payable</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r>
      <w:tr>
        <w:trPr>
          <w:trHeight w:val="153"/>
        </w:trPr>
        <w:tc>
          <w:tcPr>
            <w:tcW w:w="8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Other current and noncurrent assets and liabilities, net</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4,180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9,311</w:t>
            </w:r>
          </w:p>
        </w:tc>
      </w:tr>
      <w:tr>
        <w:trPr>
          <w:trHeight w:val="156"/>
        </w:trPr>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cash flows provided by operating activities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5,985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358</w:t>
            </w:r>
          </w:p>
        </w:tc>
      </w:tr>
      <w:tr>
        <w:trPr>
          <w:trHeight w:val="85"/>
        </w:trPr>
        <w:tc>
          <w:tcPr>
            <w:tcW w:w="8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5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8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Capital expenditures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(4,772)</w:t>
            </w:r>
          </w:p>
        </w:tc>
      </w:tr>
      <w:tr>
        <w:trPr>
          <w:trHeight w:val="16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dispositions of property, plant and equipment</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6,778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2,265</w:t>
            </w:r>
          </w:p>
        </w:tc>
      </w:tr>
      <w:tr>
        <w:trPr>
          <w:trHeight w:val="144"/>
        </w:trPr>
        <w:tc>
          <w:tcPr>
            <w:tcW w:w="8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Net cash flows provided by (used in) investing activities</w:t>
            </w:r>
          </w:p>
        </w:tc>
        <w:tc>
          <w:tcPr>
            <w:tcW w:w="92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(2,507)</w:t>
            </w:r>
          </w:p>
        </w:tc>
      </w:tr>
      <w:tr>
        <w:trPr>
          <w:trHeight w:val="91"/>
        </w:trPr>
        <w:tc>
          <w:tcPr>
            <w:tcW w:w="80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53"/>
        </w:trPr>
        <w:tc>
          <w:tcPr>
            <w:tcW w:w="8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Revolving credit borrowings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81,073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48,045</w:t>
            </w:r>
          </w:p>
        </w:tc>
      </w:tr>
      <w:tr>
        <w:trPr>
          <w:trHeight w:val="153"/>
        </w:trPr>
        <w:tc>
          <w:tcPr>
            <w:tcW w:w="8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Revolving credit repayments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(66,477)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(30,315)</w:t>
            </w:r>
          </w:p>
        </w:tc>
      </w:tr>
      <w:tr>
        <w:trPr>
          <w:trHeight w:val="16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Term loan repayments</w:t>
            </w: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(7,389)</w:t>
            </w:r>
          </w:p>
        </w:tc>
      </w:tr>
      <w:tr>
        <w:trPr>
          <w:trHeight w:val="153"/>
        </w:trPr>
        <w:tc>
          <w:tcPr>
            <w:tcW w:w="8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Dividends paid</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5"/>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Repurchases of common shares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(3,771)</w:t>
            </w:r>
          </w:p>
        </w:tc>
      </w:tr>
      <w:tr>
        <w:trPr>
          <w:trHeight w:val="153"/>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Taxes paid on vested shares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8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cash flows provided by financing activities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6,614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6,570</w:t>
            </w:r>
          </w:p>
        </w:tc>
      </w:tr>
      <w:tr>
        <w:trPr>
          <w:trHeight w:val="85"/>
        </w:trPr>
        <w:tc>
          <w:tcPr>
            <w:tcW w:w="8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5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44"/>
        </w:trPr>
        <w:tc>
          <w:tcPr>
            <w:tcW w:w="8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cash and cash equivalents</w:t>
            </w:r>
          </w:p>
        </w:tc>
        <w:tc>
          <w:tcPr>
            <w:tcW w:w="92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13,429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4,412</w:t>
            </w:r>
          </w:p>
        </w:tc>
      </w:tr>
      <w:tr>
        <w:trPr>
          <w:trHeight w:val="15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3,323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7,954</w:t>
            </w:r>
          </w:p>
        </w:tc>
      </w:tr>
      <w:tr>
        <w:trPr>
          <w:trHeight w:val="71"/>
        </w:trPr>
        <w:tc>
          <w:tcPr>
            <w:tcW w:w="8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84"/>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92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16,752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12,366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141" w:right="57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200" w:lineRule="exact"/>
        <w:rPr>
          <w:sz w:val="20"/>
          <w:szCs w:val="20"/>
          <w:color w:val="auto"/>
        </w:rPr>
      </w:pPr>
    </w:p>
    <w:p>
      <w:pPr>
        <w:spacing w:after="0" w:line="365" w:lineRule="exact"/>
        <w:rPr>
          <w:sz w:val="20"/>
          <w:szCs w:val="20"/>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BUSINESS AND BASIS OF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w:t>
      </w:r>
    </w:p>
    <w:p>
      <w:pPr>
        <w:spacing w:after="0" w:line="18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provide hospitality services to remote workforces in Canada and Australia, including lodging, catering and food service,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two principal reportable business segments – Canada and Australia.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2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43"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4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unaudited consolidated financial statements included in this report should be read in conjunction with our audited consolidated financial statements and accompanying notes included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162" w:lineRule="exact"/>
        <w:rPr>
          <w:sz w:val="20"/>
          <w:szCs w:val="20"/>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disaggregates our revenue by our two reportable segments (Canada and Australia) into major categories for the periods indicated (in thousands):</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600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56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Canada</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5620" w:type="dxa"/>
            <w:vAlign w:val="bottom"/>
          </w:tcPr>
          <w:p>
            <w:pPr>
              <w:spacing w:after="0"/>
              <w:rPr>
                <w:sz w:val="20"/>
                <w:szCs w:val="20"/>
                <w:color w:val="auto"/>
              </w:rPr>
            </w:pPr>
            <w:r>
              <w:rPr>
                <w:rFonts w:ascii="Times New Roman" w:cs="Times New Roman" w:eastAsia="Times New Roman" w:hAnsi="Times New Roman"/>
                <w:sz w:val="13"/>
                <w:szCs w:val="13"/>
                <w:color w:val="auto"/>
              </w:rPr>
              <w:t>Accommodation revenues</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59,787</w:t>
            </w:r>
          </w:p>
        </w:tc>
        <w:tc>
          <w:tcPr>
            <w:tcW w:w="120" w:type="dxa"/>
            <w:vAlign w:val="bottom"/>
          </w:tcPr>
          <w:p>
            <w:pPr>
              <w:spacing w:after="0"/>
              <w:rPr>
                <w:sz w:val="14"/>
                <w:szCs w:val="14"/>
                <w:color w:val="auto"/>
              </w:rPr>
            </w:pP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64,228</w:t>
            </w:r>
          </w:p>
        </w:tc>
      </w:tr>
      <w:tr>
        <w:trPr>
          <w:trHeight w:val="17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Mobile facility rental revenues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20,031</w:t>
            </w:r>
          </w:p>
        </w:tc>
      </w:tr>
      <w:tr>
        <w:trPr>
          <w:trHeight w:val="168"/>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Food service and other services revenues</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5,194</w:t>
            </w:r>
          </w:p>
        </w:tc>
      </w:tr>
      <w:tr>
        <w:trPr>
          <w:trHeight w:val="163"/>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Canada revenues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67,160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89,453</w:t>
            </w:r>
          </w:p>
        </w:tc>
      </w:tr>
      <w:tr>
        <w:trPr>
          <w:trHeight w:val="85"/>
        </w:trPr>
        <w:tc>
          <w:tcPr>
            <w:tcW w:w="5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7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5620" w:type="dxa"/>
            <w:vAlign w:val="bottom"/>
          </w:tcPr>
          <w:p>
            <w:pPr>
              <w:spacing w:after="0"/>
              <w:rPr>
                <w:sz w:val="20"/>
                <w:szCs w:val="20"/>
                <w:color w:val="auto"/>
              </w:rPr>
            </w:pPr>
            <w:r>
              <w:rPr>
                <w:rFonts w:ascii="Times New Roman" w:cs="Times New Roman" w:eastAsia="Times New Roman" w:hAnsi="Times New Roman"/>
                <w:sz w:val="13"/>
                <w:szCs w:val="13"/>
                <w:color w:val="auto"/>
              </w:rPr>
              <w:t>Accommodation revenues</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47,107</w:t>
            </w:r>
          </w:p>
        </w:tc>
        <w:tc>
          <w:tcPr>
            <w:tcW w:w="120" w:type="dxa"/>
            <w:vAlign w:val="bottom"/>
          </w:tcPr>
          <w:p>
            <w:pPr>
              <w:spacing w:after="0"/>
              <w:rPr>
                <w:sz w:val="14"/>
                <w:szCs w:val="14"/>
                <w:color w:val="auto"/>
              </w:rPr>
            </w:pP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40,599</w:t>
            </w:r>
          </w:p>
        </w:tc>
      </w:tr>
      <w:tr>
        <w:trPr>
          <w:trHeight w:val="17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Food service and other services revenues</w:t>
            </w:r>
          </w:p>
        </w:tc>
        <w:tc>
          <w:tcPr>
            <w:tcW w:w="8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44,630</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36,390</w:t>
            </w:r>
          </w:p>
        </w:tc>
      </w:tr>
      <w:tr>
        <w:trPr>
          <w:trHeight w:val="15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Australia revenues</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91,737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76,989</w:t>
            </w:r>
          </w:p>
        </w:tc>
      </w:tr>
      <w:tr>
        <w:trPr>
          <w:trHeight w:val="87"/>
        </w:trPr>
        <w:tc>
          <w:tcPr>
            <w:tcW w:w="56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69"/>
        </w:trPr>
        <w:tc>
          <w:tcPr>
            <w:tcW w:w="5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revenues</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7,223</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w:t>
            </w:r>
          </w:p>
        </w:tc>
      </w:tr>
      <w:tr>
        <w:trPr>
          <w:trHeight w:val="15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other revenues</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w:t>
            </w:r>
          </w:p>
        </w:tc>
      </w:tr>
      <w:tr>
        <w:trPr>
          <w:trHeight w:val="87"/>
        </w:trPr>
        <w:tc>
          <w:tcPr>
            <w:tcW w:w="5620" w:type="dxa"/>
            <w:vAlign w:val="bottom"/>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160"/>
        </w:trPr>
        <w:tc>
          <w:tcPr>
            <w:tcW w:w="562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revenues</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166,120</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167,591</w:t>
            </w: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payment terms vary by the type and location of our customer and the services offered. The time between invoicing and when our performance obligations are satisfied is not significant.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 terms are generally within 30 days and in most cases do not extend beyond 60 days. We do not have significant financing components or significant payment terms.</w:t>
      </w:r>
    </w:p>
    <w:p>
      <w:pPr>
        <w:spacing w:after="0" w:line="18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March 31, 2024,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17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left="676"/>
              <w:spacing w:after="0"/>
              <w:rPr>
                <w:sz w:val="20"/>
                <w:szCs w:val="20"/>
                <w:color w:val="auto"/>
              </w:rPr>
            </w:pPr>
            <w:r>
              <w:rPr>
                <w:rFonts w:ascii="Times New Roman" w:cs="Times New Roman" w:eastAsia="Times New Roman" w:hAnsi="Times New Roman"/>
                <w:sz w:val="13"/>
                <w:szCs w:val="13"/>
                <w:b w:val="1"/>
                <w:bCs w:val="1"/>
                <w:color w:val="auto"/>
                <w:w w:val="98"/>
              </w:rPr>
              <w:t>For the years ending December 31,</w:t>
            </w: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30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expected to be recognized as of March 31, 2024</w:t>
            </w: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130,870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130,218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96,661</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298,110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655,859</w:t>
            </w:r>
          </w:p>
        </w:tc>
      </w:tr>
    </w:tbl>
    <w:p>
      <w:pPr>
        <w:spacing w:after="0" w:line="24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55" w:lineRule="exact"/>
        <w:rPr>
          <w:sz w:val="20"/>
          <w:szCs w:val="20"/>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IMPAIRMENT CHARGES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summarizes pre-tax impairment charges recorded during 2024, which are included in Impairment expense in our consolidated statements of operations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Australia</w:t>
            </w:r>
          </w:p>
        </w:tc>
        <w:tc>
          <w:tcPr>
            <w:tcW w:w="30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6"/>
                <w:szCs w:val="16"/>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Quarter ended March 31, 2024</w:t>
            </w:r>
          </w:p>
        </w:tc>
        <w:tc>
          <w:tcPr>
            <w:tcW w:w="18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Long-lived assets</w:t>
            </w:r>
          </w:p>
        </w:tc>
        <w:tc>
          <w:tcPr>
            <w:tcW w:w="20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6"/>
                <w:szCs w:val="16"/>
                <w:color w:val="auto"/>
              </w:rPr>
            </w:pPr>
          </w:p>
        </w:tc>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1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0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ind w:left="49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247"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Quarter ended March 31, 2024</w:t>
      </w:r>
      <w:r>
        <w:rPr>
          <w:rFonts w:ascii="Times New Roman" w:cs="Times New Roman" w:eastAsia="Times New Roman" w:hAnsi="Times New Roman"/>
          <w:sz w:val="14"/>
          <w:szCs w:val="14"/>
          <w:color w:val="auto"/>
        </w:rPr>
        <w:t>. During the first quarter of 2024, we recorded impairment expense of $5.7 million related to various undeveloped land positions and related permitting costs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Australia. At March 31, 2024, we identified an impairment trigger related to certain of these properties due to the denial of development permit applications in Australia. Accordingly, the assets were written down to their estimated fair value of $0.6 million.</w:t>
      </w:r>
    </w:p>
    <w:p>
      <w:pPr>
        <w:spacing w:after="0" w:line="15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during the first quarter of 2024, we recorded impairment expense of $2.1 million, related to land located in the U.S. The land was written down to its estimated fair value (less costs to sell) of $3.8 million.</w:t>
      </w:r>
    </w:p>
    <w:p>
      <w:pPr>
        <w:spacing w:after="0" w:line="143" w:lineRule="exact"/>
        <w:rPr>
          <w:sz w:val="20"/>
          <w:szCs w:val="20"/>
          <w:color w:val="auto"/>
        </w:rPr>
      </w:pPr>
    </w:p>
    <w:p>
      <w:pPr>
        <w:ind w:left="260" w:hanging="255"/>
        <w:spacing w:after="0"/>
        <w:tabs>
          <w:tab w:leader="none" w:pos="26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18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2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of March 31, 2024 and December 31, 2023,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 In addition, the estimated fair value of our assets held for sale is based upon Level 2 fair value measurements, which include appraisals, broker price opinions and negotiations with third parties.</w:t>
      </w:r>
    </w:p>
    <w:p>
      <w:pPr>
        <w:spacing w:after="0" w:line="1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first quarter of 2024, we wrote down certain long-lived assets to fair value. Our estimate of the fair value of undeveloped land positions in Australia that were impaired was based on appraisals from third parties.</w:t>
      </w:r>
    </w:p>
    <w:p>
      <w:pPr>
        <w:spacing w:after="0" w:line="143" w:lineRule="exact"/>
        <w:rPr>
          <w:sz w:val="20"/>
          <w:szCs w:val="20"/>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DETAILS OF SELECTED BALANCE SHEET ACCOUNTS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Additional information regarding selected balance sheet accounts at March 31, 2024 and December 31, 2023 is presented below (in thousands):</w:t>
      </w:r>
    </w:p>
    <w:p>
      <w:pPr>
        <w:spacing w:after="0" w:line="28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40" w:type="dxa"/>
            <w:vAlign w:val="bottom"/>
          </w:tcPr>
          <w:p>
            <w:pPr>
              <w:spacing w:after="0"/>
              <w:rPr>
                <w:sz w:val="14"/>
                <w:szCs w:val="14"/>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receivable, net:</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87,111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93,527</w:t>
            </w: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Unbilled revenue</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46,331</w:t>
            </w: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3,563</w:t>
            </w:r>
          </w:p>
        </w:tc>
      </w:tr>
      <w:tr>
        <w:trPr>
          <w:trHeight w:val="163"/>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accounts receivable</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143,421</w:t>
            </w: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w:t>
            </w:r>
          </w:p>
        </w:tc>
      </w:tr>
      <w:tr>
        <w:trPr>
          <w:trHeight w:val="18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accounts receivable, net</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131,478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143,222</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40" w:type="dxa"/>
            <w:vAlign w:val="bottom"/>
          </w:tcPr>
          <w:p>
            <w:pPr>
              <w:spacing w:after="0"/>
              <w:rPr>
                <w:sz w:val="14"/>
                <w:szCs w:val="14"/>
                <w:color w:val="auto"/>
              </w:rPr>
            </w:pP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Inventories:</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Finished goods and purchased products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5,648</w:t>
            </w:r>
          </w:p>
        </w:tc>
      </w:tr>
      <w:tr>
        <w:trPr>
          <w:trHeight w:val="17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Raw materials</w:t>
            </w: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w:t>
            </w:r>
          </w:p>
        </w:tc>
      </w:tr>
      <w:tr>
        <w:trPr>
          <w:trHeight w:val="163"/>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inventories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6,982</w:t>
            </w: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ind w:left="49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jc w:val="center"/>
              <w:ind w:right="4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Useful Life</w:t>
            </w: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40" w:type="dxa"/>
            <w:vAlign w:val="bottom"/>
          </w:tcPr>
          <w:p>
            <w:pPr>
              <w:spacing w:after="0"/>
              <w:rPr>
                <w:sz w:val="11"/>
                <w:szCs w:val="11"/>
                <w:color w:val="auto"/>
              </w:rPr>
            </w:pPr>
          </w:p>
        </w:tc>
        <w:tc>
          <w:tcPr>
            <w:tcW w:w="1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3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25,356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27,988</w:t>
            </w:r>
          </w:p>
        </w:tc>
        <w:tc>
          <w:tcPr>
            <w:tcW w:w="0" w:type="dxa"/>
            <w:vAlign w:val="bottom"/>
          </w:tcPr>
          <w:p>
            <w:pPr>
              <w:spacing w:after="0"/>
              <w:rPr>
                <w:sz w:val="1"/>
                <w:szCs w:val="1"/>
                <w:color w:val="auto"/>
              </w:rPr>
            </w:pPr>
          </w:p>
        </w:tc>
      </w:tr>
      <w:tr>
        <w:trPr>
          <w:trHeight w:val="17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Accommodations assets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1,333,543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1,378,408</w:t>
            </w:r>
          </w:p>
        </w:tc>
        <w:tc>
          <w:tcPr>
            <w:tcW w:w="0" w:type="dxa"/>
            <w:vAlign w:val="bottom"/>
          </w:tcPr>
          <w:p>
            <w:pPr>
              <w:spacing w:after="0"/>
              <w:rPr>
                <w:sz w:val="1"/>
                <w:szCs w:val="1"/>
                <w:color w:val="auto"/>
              </w:rPr>
            </w:pPr>
          </w:p>
        </w:tc>
      </w:tr>
      <w:tr>
        <w:trPr>
          <w:trHeight w:val="16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Buildings and leasehold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14,603</w:t>
            </w:r>
          </w:p>
        </w:tc>
        <w:tc>
          <w:tcPr>
            <w:tcW w:w="0" w:type="dxa"/>
            <w:vAlign w:val="bottom"/>
          </w:tcPr>
          <w:p>
            <w:pPr>
              <w:spacing w:after="0"/>
              <w:rPr>
                <w:sz w:val="1"/>
                <w:szCs w:val="1"/>
                <w:color w:val="auto"/>
              </w:rPr>
            </w:pPr>
          </w:p>
        </w:tc>
      </w:tr>
      <w:tr>
        <w:trPr>
          <w:trHeight w:val="17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and equipment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13,255</w:t>
            </w:r>
          </w:p>
        </w:tc>
        <w:tc>
          <w:tcPr>
            <w:tcW w:w="0" w:type="dxa"/>
            <w:vAlign w:val="bottom"/>
          </w:tcPr>
          <w:p>
            <w:pPr>
              <w:spacing w:after="0"/>
              <w:rPr>
                <w:sz w:val="1"/>
                <w:szCs w:val="1"/>
                <w:color w:val="auto"/>
              </w:rPr>
            </w:pPr>
          </w:p>
        </w:tc>
      </w:tr>
      <w:tr>
        <w:trPr>
          <w:trHeight w:val="16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Office furniture and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67,248</w:t>
            </w:r>
          </w:p>
        </w:tc>
        <w:tc>
          <w:tcPr>
            <w:tcW w:w="0" w:type="dxa"/>
            <w:vAlign w:val="bottom"/>
          </w:tcPr>
          <w:p>
            <w:pPr>
              <w:spacing w:after="0"/>
              <w:rPr>
                <w:sz w:val="1"/>
                <w:szCs w:val="1"/>
                <w:color w:val="auto"/>
              </w:rPr>
            </w:pPr>
          </w:p>
        </w:tc>
      </w:tr>
      <w:tr>
        <w:trPr>
          <w:trHeight w:val="17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Vehicles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10,025</w:t>
            </w:r>
          </w:p>
        </w:tc>
        <w:tc>
          <w:tcPr>
            <w:tcW w:w="0" w:type="dxa"/>
            <w:vAlign w:val="bottom"/>
          </w:tcPr>
          <w:p>
            <w:pPr>
              <w:spacing w:after="0"/>
              <w:rPr>
                <w:sz w:val="1"/>
                <w:szCs w:val="1"/>
                <w:color w:val="auto"/>
              </w:rPr>
            </w:pPr>
          </w:p>
        </w:tc>
      </w:tr>
      <w:tr>
        <w:trPr>
          <w:trHeight w:val="168"/>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14,119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12,087</w:t>
            </w:r>
          </w:p>
        </w:tc>
        <w:tc>
          <w:tcPr>
            <w:tcW w:w="0" w:type="dxa"/>
            <w:vAlign w:val="bottom"/>
          </w:tcPr>
          <w:p>
            <w:pPr>
              <w:spacing w:after="0"/>
              <w:rPr>
                <w:sz w:val="1"/>
                <w:szCs w:val="1"/>
                <w:color w:val="auto"/>
              </w:rPr>
            </w:pPr>
          </w:p>
        </w:tc>
      </w:tr>
      <w:tr>
        <w:trPr>
          <w:trHeight w:val="163"/>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property, plant and equipment</w:t>
            </w: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1,477,149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1,523,614</w:t>
            </w:r>
          </w:p>
        </w:tc>
        <w:tc>
          <w:tcPr>
            <w:tcW w:w="0" w:type="dxa"/>
            <w:vAlign w:val="bottom"/>
          </w:tcPr>
          <w:p>
            <w:pPr>
              <w:spacing w:after="0"/>
              <w:rPr>
                <w:sz w:val="1"/>
                <w:szCs w:val="1"/>
                <w:color w:val="auto"/>
              </w:rPr>
            </w:pPr>
          </w:p>
        </w:tc>
      </w:tr>
      <w:tr>
        <w:trPr>
          <w:trHeight w:val="168"/>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(1,231,309)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(1,253,051)</w:t>
            </w:r>
          </w:p>
        </w:tc>
        <w:tc>
          <w:tcPr>
            <w:tcW w:w="0" w:type="dxa"/>
            <w:vAlign w:val="bottom"/>
          </w:tcPr>
          <w:p>
            <w:pPr>
              <w:spacing w:after="0"/>
              <w:rPr>
                <w:sz w:val="1"/>
                <w:szCs w:val="1"/>
                <w:color w:val="auto"/>
              </w:rPr>
            </w:pPr>
          </w:p>
        </w:tc>
      </w:tr>
      <w:tr>
        <w:trPr>
          <w:trHeight w:val="18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property, plant and equipment, net</w:t>
            </w:r>
          </w:p>
        </w:tc>
        <w:tc>
          <w:tcPr>
            <w:tcW w:w="3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245,840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40" w:type="dxa"/>
            <w:vAlign w:val="bottom"/>
          </w:tcPr>
          <w:p>
            <w:pPr>
              <w:spacing w:after="0"/>
              <w:rPr>
                <w:sz w:val="14"/>
                <w:szCs w:val="14"/>
                <w:color w:val="auto"/>
              </w:rPr>
            </w:pP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Accrued liabilities:</w:t>
            </w: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68"/>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20,392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33,854</w:t>
            </w:r>
          </w:p>
        </w:tc>
      </w:tr>
      <w:tr>
        <w:trPr>
          <w:trHeight w:val="17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taxes, other than income taxes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w:t>
            </w:r>
          </w:p>
        </w:tc>
      </w:tr>
      <w:tr>
        <w:trPr>
          <w:trHeight w:val="168"/>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2,672</w:t>
            </w:r>
          </w:p>
        </w:tc>
      </w:tr>
      <w:tr>
        <w:trPr>
          <w:trHeight w:val="18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accrued liabilities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26,127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40,523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r>
      <w:tr>
        <w:trPr>
          <w:trHeight w:val="152"/>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Contract liabilities (Deferred revenue):</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70"/>
        </w:trPr>
        <w:tc>
          <w:tcPr>
            <w:tcW w:w="768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 xml:space="preserve">Current contract liabilities </w:t>
            </w:r>
            <w:r>
              <w:rPr>
                <w:rFonts w:ascii="Times New Roman" w:cs="Times New Roman" w:eastAsia="Times New Roman" w:hAnsi="Times New Roman"/>
                <w:sz w:val="16"/>
                <w:szCs w:val="16"/>
                <w:color w:val="auto"/>
                <w:vertAlign w:val="superscript"/>
              </w:rPr>
              <w:t>(1)</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4,849</w:t>
            </w:r>
          </w:p>
        </w:tc>
      </w:tr>
      <w:tr>
        <w:trPr>
          <w:trHeight w:val="170"/>
        </w:trPr>
        <w:tc>
          <w:tcPr>
            <w:tcW w:w="76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 xml:space="preserve">Noncurrent contract liabilities </w:t>
            </w:r>
            <w:r>
              <w:rPr>
                <w:rFonts w:ascii="Times New Roman" w:cs="Times New Roman" w:eastAsia="Times New Roman" w:hAnsi="Times New Roman"/>
                <w:sz w:val="16"/>
                <w:szCs w:val="16"/>
                <w:color w:val="auto"/>
                <w:vertAlign w:val="superscript"/>
              </w:rPr>
              <w:t>(1)</w:t>
            </w: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7,112</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8,068</w:t>
            </w:r>
          </w:p>
        </w:tc>
      </w:tr>
      <w:tr>
        <w:trPr>
          <w:trHeight w:val="160"/>
        </w:trPr>
        <w:tc>
          <w:tcPr>
            <w:tcW w:w="7680" w:type="dxa"/>
            <w:vAlign w:val="bottom"/>
          </w:tcPr>
          <w:p>
            <w:pPr>
              <w:spacing w:after="0"/>
              <w:rPr>
                <w:sz w:val="20"/>
                <w:szCs w:val="20"/>
                <w:color w:val="auto"/>
              </w:rPr>
            </w:pPr>
            <w:r>
              <w:rPr>
                <w:rFonts w:ascii="Times New Roman" w:cs="Times New Roman" w:eastAsia="Times New Roman" w:hAnsi="Times New Roman"/>
                <w:sz w:val="13"/>
                <w:szCs w:val="13"/>
                <w:color w:val="auto"/>
              </w:rPr>
              <w:t>Total contract liabilities (Deferred revenue)</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11,604</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12,917</w:t>
            </w: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Current contract liabilities and Noncurrent contract liabilities are included in "Deferred revenue" and "Other noncurrent liabilities," respectively, in our unaudited consolidated balance sheets.</w:t>
      </w:r>
    </w:p>
    <w:p>
      <w:pPr>
        <w:spacing w:after="0" w:line="200"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Deferred revenue typically consists of upfront payments received before we satisfy the associated performance obligation. The decrease in deferred revenue from December 31, 2023 to March 31, 2024 was due to revenue recognized over the contracted terms related to advance payments received from a customer for village enhancements in Australia.</w:t>
      </w:r>
    </w:p>
    <w:p>
      <w:pPr>
        <w:spacing w:after="0" w:line="143"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ASSETS HELD FOR SALE</w:t>
      </w:r>
    </w:p>
    <w:p>
      <w:pPr>
        <w:spacing w:after="0" w:line="20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March 31, 2024 and December 31, 2023, assets held for sale included certain assets in the United States (U.S.). These assets were recorded at the estimated fair value less costs to sell, which exceeded or equaled their carry values.</w:t>
      </w:r>
    </w:p>
    <w:p>
      <w:pPr>
        <w:spacing w:after="0" w:line="14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During the third quarter of 2023, we entered into a definitive agreement to sell our McClelland Lake Lodge assets for approximately $36 million. The related assets had no remaining carrying value. During the third and fourth quarters of 2023, we recognized $14.2 million in dismantle costs and received $28.2 million in cash proceeds associated with the sale. During the first quarter of 2024, we recognized the remaining $1.0 million in dismantle costs and received the remaining $7.8 million in cash proceeds.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carrying amount as of March 31, 2024 and December 31, 2023 of the assets classified as held for sale (in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ind w:left="49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357" w:lineRule="exact"/>
        <w:rPr>
          <w:sz w:val="20"/>
          <w:szCs w:val="20"/>
          <w:color w:val="auto"/>
        </w:rPr>
      </w:pPr>
    </w:p>
    <w:tbl>
      <w:tblPr>
        <w:tblLayout w:type="fixed"/>
        <w:tblInd w:w="500" w:type="dxa"/>
        <w:tblCellMar>
          <w:top w:w="0" w:type="dxa"/>
          <w:left w:w="0" w:type="dxa"/>
          <w:bottom w:w="0" w:type="dxa"/>
          <w:right w:w="0" w:type="dxa"/>
        </w:tblCellMar>
      </w:tblPr>
      <w:tr>
        <w:trPr>
          <w:trHeight w:val="170"/>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4"/>
                <w:szCs w:val="14"/>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72"/>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 held for sale:</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8"/>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5,873</w:t>
            </w:r>
          </w:p>
        </w:tc>
      </w:tr>
      <w:tr>
        <w:trPr>
          <w:trHeight w:val="188"/>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 held for sale</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202"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calculate our basic earnings per share by dividing net loss attributable to Civeo Corporation by the weighted average number of common shares outstanding. For diluted earnings per share, the basic shares outstanding are adjusted by adding all potentially dilutive securities.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calculation of basic and diluted earnings per share attributable to Civeo common shareholders is presented below for the periods indicated (in thousands, except per share amounts):</w:t>
      </w:r>
    </w:p>
    <w:p>
      <w:pPr>
        <w:spacing w:after="0" w:line="43"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6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w:t>
            </w:r>
          </w:p>
        </w:tc>
      </w:tr>
      <w:tr>
        <w:trPr>
          <w:trHeight w:val="161"/>
        </w:trPr>
        <w:tc>
          <w:tcPr>
            <w:tcW w:w="6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8"/>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Basic net loss attributable to Civeo Corporation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(6,353)</w:t>
            </w:r>
          </w:p>
        </w:tc>
      </w:tr>
      <w:tr>
        <w:trPr>
          <w:trHeight w:val="18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net loss attributable to Civeo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8"/>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 basic</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15,158</w:t>
            </w:r>
          </w:p>
        </w:tc>
      </w:tr>
      <w:tr>
        <w:trPr>
          <w:trHeight w:val="17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Dilutive shares - share-based awards</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 diluted</w:t>
            </w: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14,655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15,158</w:t>
            </w:r>
          </w:p>
        </w:tc>
      </w:tr>
      <w:tr>
        <w:trPr>
          <w:trHeight w:val="71"/>
        </w:trPr>
        <w:tc>
          <w:tcPr>
            <w:tcW w:w="60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70"/>
        </w:trPr>
        <w:tc>
          <w:tcPr>
            <w:tcW w:w="6060" w:type="dxa"/>
            <w:vAlign w:val="bottom"/>
            <w:tcBorders>
              <w:top w:val="single" w:sz="8" w:color="CCEEFF"/>
            </w:tcBorders>
          </w:tcPr>
          <w:p>
            <w:pPr>
              <w:spacing w:after="0" w:line="170" w:lineRule="exact"/>
              <w:rPr>
                <w:sz w:val="20"/>
                <w:szCs w:val="20"/>
                <w:color w:val="auto"/>
              </w:rPr>
            </w:pPr>
            <w:r>
              <w:rPr>
                <w:rFonts w:ascii="Times New Roman" w:cs="Times New Roman" w:eastAsia="Times New Roman" w:hAnsi="Times New Roman"/>
                <w:sz w:val="13"/>
                <w:szCs w:val="13"/>
                <w:color w:val="auto"/>
              </w:rPr>
              <w:t xml:space="preserve">Basic net loss per share attributable to Civeo Corporation common shareholders </w:t>
            </w:r>
            <w:r>
              <w:rPr>
                <w:rFonts w:ascii="Times New Roman" w:cs="Times New Roman" w:eastAsia="Times New Roman" w:hAnsi="Times New Roman"/>
                <w:sz w:val="16"/>
                <w:szCs w:val="16"/>
                <w:color w:val="auto"/>
                <w:vertAlign w:val="superscript"/>
              </w:rPr>
              <w:t>(1)</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(0.42)</w:t>
            </w:r>
          </w:p>
        </w:tc>
      </w:tr>
      <w:tr>
        <w:trPr>
          <w:trHeight w:val="85"/>
        </w:trPr>
        <w:tc>
          <w:tcPr>
            <w:tcW w:w="6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r>
      <w:tr>
        <w:trPr>
          <w:trHeight w:val="219"/>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Diluted net loss per share attributable to Civeo Corporation common shareholders </w:t>
            </w:r>
            <w:r>
              <w:rPr>
                <w:rFonts w:ascii="Times New Roman" w:cs="Times New Roman" w:eastAsia="Times New Roman" w:hAnsi="Times New Roman"/>
                <w:sz w:val="16"/>
                <w:szCs w:val="16"/>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00" w:type="dxa"/>
            <w:vAlign w:val="bottom"/>
          </w:tcPr>
          <w:p>
            <w:pPr>
              <w:spacing w:after="0"/>
              <w:rPr>
                <w:sz w:val="19"/>
                <w:szCs w:val="19"/>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(0.42)</w:t>
            </w:r>
          </w:p>
        </w:tc>
      </w:tr>
    </w:tbl>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09"/>
        </w:trPr>
        <w:tc>
          <w:tcPr>
            <w:tcW w:w="18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85"/>
              </w:rPr>
              <w:t>(1)</w:t>
            </w:r>
          </w:p>
        </w:tc>
        <w:tc>
          <w:tcPr>
            <w:tcW w:w="2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7"/>
              </w:rPr>
              <w:t>Computations may reflect rounding adjustments.</w:t>
            </w:r>
          </w:p>
        </w:tc>
        <w:tc>
          <w:tcPr>
            <w:tcW w:w="0" w:type="dxa"/>
            <w:vAlign w:val="bottom"/>
          </w:tcPr>
          <w:p>
            <w:pPr>
              <w:spacing w:after="0"/>
              <w:rPr>
                <w:sz w:val="1"/>
                <w:szCs w:val="1"/>
                <w:color w:val="auto"/>
              </w:rPr>
            </w:pPr>
          </w:p>
        </w:tc>
      </w:tr>
      <w:tr>
        <w:trPr>
          <w:trHeight w:val="56"/>
        </w:trPr>
        <w:tc>
          <w:tcPr>
            <w:tcW w:w="18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common share equivalents have been excluded from the calculation of weighted-average common shares outstanding because the effect is anti-dilutive for the periods presented (in millions of shares):</w:t>
      </w:r>
    </w:p>
    <w:p>
      <w:pPr>
        <w:spacing w:after="0" w:line="17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1760" w:type="dxa"/>
        <w:tblCellMar>
          <w:top w:w="0" w:type="dxa"/>
          <w:left w:w="0" w:type="dxa"/>
          <w:bottom w:w="0" w:type="dxa"/>
          <w:right w:w="0" w:type="dxa"/>
        </w:tblCellMar>
      </w:tblPr>
      <w:tr>
        <w:trPr>
          <w:trHeight w:val="165"/>
        </w:trPr>
        <w:tc>
          <w:tcPr>
            <w:tcW w:w="608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awards</w:t>
            </w: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ind w:left="49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247"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March 31, 2024 and December 31, 2023, long-term debt consisted of the following (in thousands):</w:t>
      </w:r>
    </w:p>
    <w:p>
      <w:pPr>
        <w:spacing w:after="0" w:line="28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40" w:type="dxa"/>
            <w:vAlign w:val="bottom"/>
          </w:tcPr>
          <w:p>
            <w:pPr>
              <w:spacing w:after="0"/>
              <w:rPr>
                <w:sz w:val="14"/>
                <w:szCs w:val="14"/>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67"/>
        </w:trPr>
        <w:tc>
          <w:tcPr>
            <w:tcW w:w="78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2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U.S. revolving credit facility; weighted average interest rate of 10.5% for the three month period ended March 31, 2024</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87"/>
        </w:trPr>
        <w:tc>
          <w:tcPr>
            <w:tcW w:w="7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Canadian revolving credit facility; weighted average interest rate of 8.9% for the three month period ended March 31, 2024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65,554</w:t>
            </w:r>
          </w:p>
        </w:tc>
      </w:tr>
      <w:tr>
        <w:trPr>
          <w:trHeight w:val="87"/>
        </w:trPr>
        <w:tc>
          <w:tcPr>
            <w:tcW w:w="7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Australian revolving credit facility; weighted average interest rate of 7.3% for the three month period ended March 31, 2024</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78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debt</w:t>
            </w: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65,554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28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of March 31, 2024, our Credit Agreement (as then amended to date, the Credit Agreement) provided for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 C$100.0 million term loan facility provided under the Credit Agreement was fully repaid on December 31, 2023.</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Credit Agreement was amended effective March 31, 2023 to, among other things, change the benchmark interest rate for certain U.S. dollar-denominated loans in each of the Australian Revolving Facility, Canadian Revolving Facility, and U.S. Revolving Facility from London Inter-Bank Offered Rate to Term Secured Overnight Financing Rate (SOFR).</w:t>
      </w:r>
    </w:p>
    <w:p>
      <w:pPr>
        <w:spacing w:after="0" w:line="3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U.S. dollar amounts outstanding under the facilities provided by the Credit Agreement bear interest at a variable rate equal to the Term SOFR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net debt to Consolidated EBITDA. Australian dollar amounts outstanding under the Credit Agreement bear interest at a variable rate equal to the Bank Bill Swap Bid Rate plus a margin of 3.00% to 4.00%, based on a ratio of our total net debt to Consolidated EBITDA. The future transition from CDOR as an interest rate benchmark is addressed in the Credit Agreement and at such time the transition from CDOR takes place, an alternate benchmark will be established based on the first alternative of the following, plus a benchmark replacement adjustment, Term Canadian Overnight Repo Rate Average (CORRA) and Compound CORRA.</w:t>
      </w:r>
    </w:p>
    <w:p>
      <w:pPr>
        <w:spacing w:after="0" w:line="62"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March 31, 2024.</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March 31, 2024, we had seven lenders that were parties to the Credit Agreement, with total revolving commitments ranging from $13.0 million to $60.6 million. As of March 31, 2024, we had outstanding letters of credit of $0.3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ind w:left="49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under the U.S. facility, zero under the Australian facility and $1.1 million under the Canadian facility. We also had outstanding bank guarantees of A$0.8 million under the Australian facility.</w:t>
      </w:r>
    </w:p>
    <w:p>
      <w:pPr>
        <w:spacing w:after="0" w:line="123"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operate in three jurisdictions, Canada, Australia and the U.S., where statutory tax rates range from 15% to 30%. Our effective tax rate will vary from period to period based on changes in earnings mix between these different jurisdictions. On January 1, 2024, the Organization for Economic Cooperation and Development Pillar Two rules became effective and established a minimum 15% tax rate on certain multinational enterprises. The Pillar Two rules have been implemented in Canada and Australia, with the U.S. still uncertain to date. The applicable tax law changes with respect to Pillar Two have been considered for the jurisdictions in which we operate, and we do not anticipate the Pillar Two rules to have a materially adverse impact on our financial results.</w:t>
      </w:r>
    </w:p>
    <w:p>
      <w:pPr>
        <w:spacing w:after="0" w:line="1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March 31, 2024 and 2023, Canada and the U.S. were considered loss jurisdictions for tax accounting purposes and were removed from the annual effective tax rate computation for purposes of computing the interim tax provision.</w:t>
      </w:r>
    </w:p>
    <w:p>
      <w:pPr>
        <w:spacing w:after="0" w:line="1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income tax expense for the three months ended March 31, 2024 totaled $1.6 million, or (42.6)% of pretax loss, compared to income tax expense of $1.2 million, or (24.3)% of pretax loss, for the three months ended March 31, 2023. Our effective tax rate for the three months ended March 31, 2024 and 2023 was impacted by Canada and the U.S. being considered loss jurisdictions that were removed from the annual effective tax rate computation for purposes of computing the interim tax provision.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18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ACCUMULATED OTHER COMPREHENSIVE LOSS</w:t>
      </w:r>
    </w:p>
    <w:p>
      <w:pPr>
        <w:spacing w:after="0" w:line="18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accumulated other comprehensive loss increased $10.2 million from $380.7 million at December 31, 2023 to $390.9 million at March 31, 2024, as a result of foreign currency exchange rate fluctuations. Changes in other comprehensive loss during the three months of 2024 were primarily driven by the Australian dollar and the Canadian dollar decreasing in value compared to the U.S. dollar. Excluding intercompany balances, our Canadian dollar and Australian dollar functional currency net assets totaled approximately C$206 million and A$207 million, respectively, at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SHARE REPURCHASE PROGRAMS AND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Programs</w:t>
      </w:r>
    </w:p>
    <w:p>
      <w:pPr>
        <w:spacing w:after="0" w:line="20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August 2023 and 2022, our Board of Directors (Board) authorized common share repurchase programs to repurchase up to 5.0% of our total common shares which were issued and outstanding, or approximately 742,000 and 685,000 common shares, respectively, over a twelve month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ind w:left="49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2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The common shares repurchased under the share repurchase programs are cancelled in the periods they are acquired and the payment is accounted for as an increase to accumulated deficit in our Unaudited Consolidated Statements of Changes in Shareholders’ Equity in the period the payment is made.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common share repurchases pursuant to our share repurchase programs (in thousands, except per share data).</w:t>
      </w:r>
    </w:p>
    <w:p>
      <w:pPr>
        <w:spacing w:after="0" w:line="43" w:lineRule="exact"/>
        <w:rPr>
          <w:sz w:val="20"/>
          <w:szCs w:val="20"/>
          <w:color w:val="auto"/>
        </w:rPr>
      </w:pPr>
    </w:p>
    <w:tbl>
      <w:tblPr>
        <w:tblLayout w:type="fixed"/>
        <w:tblInd w:w="200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r>
      <w:tr>
        <w:trPr>
          <w:trHeight w:val="161"/>
        </w:trPr>
        <w:tc>
          <w:tcPr>
            <w:tcW w:w="49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r>
      <w:tr>
        <w:trPr>
          <w:trHeight w:val="16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Dollar-value of shares repurchased</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3,771</w:t>
            </w: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Shares repurchased</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w:t>
            </w:r>
          </w:p>
        </w:tc>
      </w:tr>
      <w:tr>
        <w:trPr>
          <w:trHeight w:val="17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price paid per share</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20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Board declared a quarterly dividend on February 2, 2024 of $0.25 per common share to shareholders of record as of close of business on February 26, 2024. The total cash payment of $3.7 million was paid on March 18, 2024. The dividend is an eligible dividend pursuant to the Income Tax Act (Canada).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SHARE-BASED COMPENSATION</w:t>
      </w:r>
    </w:p>
    <w:p>
      <w:pPr>
        <w:spacing w:after="0" w:line="18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restricted shares, performance awards, phantom share units and dividend equivalents, awards of deferred shares, and share payments to our employees and non-employee directors. Approximately 3.0 million Civeo common shares are authorized to be issued under the Civeo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Outstanding Awards</w:t>
      </w:r>
    </w:p>
    <w:p>
      <w:pPr>
        <w:spacing w:after="0" w:line="17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Phantom Share Units. </w:t>
      </w:r>
      <w:r>
        <w:rPr>
          <w:rFonts w:ascii="Times New Roman" w:cs="Times New Roman" w:eastAsia="Times New Roman" w:hAnsi="Times New Roman"/>
          <w:sz w:val="14"/>
          <w:szCs w:val="14"/>
          <w:color w:val="auto"/>
        </w:rPr>
        <w:t>On March 2, 2024, we granted 184,640 phantom share units under the Civeo Plan, which vest in three equal annual installments beginning on March 2, 2025. We also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granted 84,408 phantom share units under the Canadian Long-Term Incentive Plan, which vest in three equal annual installments beginning on March 2, 2025. Phantom share units are settled in cash upon vesting.</w:t>
      </w:r>
    </w:p>
    <w:p>
      <w:pPr>
        <w:spacing w:after="0" w:line="15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2024 and 2023, we recognized compensation expense associated with phantom share units totaling $1.3 million and $1.8 million, respectively. At March 31, 2024, unrecognized compensation cost related to phantom share units was $12.8 million, as remeasured at March 31, 2024, which is expected to be recognized over a weighted average period of 2.2 years.</w:t>
      </w:r>
    </w:p>
    <w:p>
      <w:pPr>
        <w:spacing w:after="0" w:line="134"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Performance Awards. </w:t>
      </w:r>
      <w:r>
        <w:rPr>
          <w:rFonts w:ascii="Times New Roman" w:cs="Times New Roman" w:eastAsia="Times New Roman" w:hAnsi="Times New Roman"/>
          <w:sz w:val="14"/>
          <w:szCs w:val="14"/>
          <w:color w:val="auto"/>
        </w:rPr>
        <w:t>On March 2, 2024, we granted 122,978 performance awards under the Civeo Plan, which cliff vest after three years on March 2, 2027 subject to attainment of applicable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performance criteria. These awards will be earned in amounts between 0% and 200% of the participant’s target performance share award, based on (i) the payout percentage associated with Civeo’s relative total shareholder return rank among a peer group of other companies and (ii) the payout percentage associated with Civeo's three year growth in EBITDA over the performance period relative to a preset 2026 EBITDA target. The portion of the performance awards tied to the 2026 EBITDA target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spacing w:after="0" w:line="16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and 2023, we recognized compensation expense associated with performance share awards totaling $0.3 million and $0.6 million, respectively. The total fair value of performance share awards that vested during the three months ended March 31, 2024 and 2023 was $2.8 million and zero, respectively. At March 31,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ind w:left="498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NOTES TO UNAUDITED CONSOLIDATED</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unrecognized compensation cost related to performance share awards was $3.5 million, which is expected to be recognized over a weighted average period of 1.9 years.</w:t>
      </w:r>
    </w:p>
    <w:p>
      <w:pPr>
        <w:spacing w:after="0" w:line="198"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Share Awards / Restricted Share Units / Deferred Share Awards. </w:t>
      </w:r>
      <w:r>
        <w:rPr>
          <w:rFonts w:ascii="Times New Roman" w:cs="Times New Roman" w:eastAsia="Times New Roman" w:hAnsi="Times New Roman"/>
          <w:sz w:val="14"/>
          <w:szCs w:val="14"/>
          <w:color w:val="auto"/>
        </w:rPr>
        <w:t>Compensation expense associated with restricted share awards, restricted share units and deferred share awards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recognized in the three months ended March 31, 2024 and 2023 totaled $0.3 million and $0.3 million, respectively. The total fair value of restricted share awards, restricted share units and deferred share awards that vested during the three months ended March 31, 2024 and 2023 was zero and less than $0.1 million, respectively.</w:t>
      </w:r>
    </w:p>
    <w:p>
      <w:pPr>
        <w:spacing w:after="0" w:line="13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At March 31, 2024, unrecognized compensation cost related to restricted share awards, restricted share units and deferred share awards was $0.1 million, which is expected to be recognized over a weighted average period of 0.1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SEGMENT AND RELATED INFORMATION</w:t>
      </w:r>
    </w:p>
    <w:p>
      <w:pPr>
        <w:spacing w:after="0" w:line="18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accordance with current accounting standards regarding disclosures about segments of an enterprise and related information, we have identified two reportable segments, Canada and Australia, which represent our strategic focus on hospitality services and workforce accommodations.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Financial information by business segment for each of the three months ended March 31, 2024 and 2023 is summarized in the following table (in thousands):</w:t>
      </w:r>
    </w:p>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9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26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Operating</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rPr>
              <w:t>and</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expenditures</w:t>
            </w: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2024</w:t>
            </w:r>
          </w:p>
        </w:tc>
        <w:tc>
          <w:tcPr>
            <w:tcW w:w="9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Canada</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67,160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center"/>
              <w:ind w:left="616"/>
              <w:spacing w:after="0"/>
              <w:rPr>
                <w:sz w:val="20"/>
                <w:szCs w:val="20"/>
                <w:color w:val="auto"/>
              </w:rPr>
            </w:pPr>
            <w:r>
              <w:rPr>
                <w:rFonts w:ascii="Times New Roman" w:cs="Times New Roman" w:eastAsia="Times New Roman" w:hAnsi="Times New Roman"/>
                <w:sz w:val="13"/>
                <w:szCs w:val="13"/>
                <w:color w:val="auto"/>
                <w:w w:val="99"/>
              </w:rPr>
              <w:t>744,639</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Australia</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w w:val="99"/>
              </w:rPr>
              <w:t>199,430</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Corporate, other and eliminations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20" w:type="dxa"/>
            <w:vAlign w:val="bottom"/>
          </w:tcPr>
          <w:p>
            <w:pPr>
              <w:jc w:val="center"/>
              <w:ind w:left="616"/>
              <w:spacing w:after="0"/>
              <w:rPr>
                <w:sz w:val="20"/>
                <w:szCs w:val="20"/>
                <w:color w:val="auto"/>
              </w:rPr>
            </w:pPr>
            <w:r>
              <w:rPr>
                <w:rFonts w:ascii="Times New Roman" w:cs="Times New Roman" w:eastAsia="Times New Roman" w:hAnsi="Times New Roman"/>
                <w:sz w:val="13"/>
                <w:szCs w:val="13"/>
                <w:color w:val="auto"/>
                <w:w w:val="98"/>
              </w:rPr>
              <w:t>(430,999)</w:t>
            </w:r>
          </w:p>
        </w:tc>
        <w:tc>
          <w:tcPr>
            <w:tcW w:w="0" w:type="dxa"/>
            <w:vAlign w:val="bottom"/>
          </w:tcPr>
          <w:p>
            <w:pPr>
              <w:spacing w:after="0"/>
              <w:rPr>
                <w:sz w:val="1"/>
                <w:szCs w:val="1"/>
                <w:color w:val="auto"/>
              </w:rPr>
            </w:pPr>
          </w:p>
        </w:tc>
      </w:tr>
      <w:tr>
        <w:trPr>
          <w:trHeight w:val="188"/>
        </w:trPr>
        <w:tc>
          <w:tcPr>
            <w:tcW w:w="30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166,120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w w:val="99"/>
              </w:rPr>
              <w:t>513,070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2023</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Canada</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89,453</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center"/>
              <w:ind w:left="616"/>
              <w:spacing w:after="0"/>
              <w:rPr>
                <w:sz w:val="20"/>
                <w:szCs w:val="20"/>
                <w:color w:val="auto"/>
              </w:rPr>
            </w:pPr>
            <w:r>
              <w:rPr>
                <w:rFonts w:ascii="Times New Roman" w:cs="Times New Roman" w:eastAsia="Times New Roman" w:hAnsi="Times New Roman"/>
                <w:sz w:val="13"/>
                <w:szCs w:val="13"/>
                <w:color w:val="auto"/>
                <w:w w:val="99"/>
              </w:rPr>
              <w:t>710,884</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Australia</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w w:val="99"/>
              </w:rPr>
              <w:t>192,432</w:t>
            </w:r>
          </w:p>
        </w:tc>
        <w:tc>
          <w:tcPr>
            <w:tcW w:w="0" w:type="dxa"/>
            <w:vAlign w:val="bottom"/>
          </w:tcPr>
          <w:p>
            <w:pPr>
              <w:spacing w:after="0"/>
              <w:rPr>
                <w:sz w:val="1"/>
                <w:szCs w:val="1"/>
                <w:color w:val="auto"/>
              </w:rPr>
            </w:pPr>
          </w:p>
        </w:tc>
      </w:tr>
      <w:tr>
        <w:trPr>
          <w:trHeight w:val="168"/>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Corporate, other and eliminations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3"/>
                <w:szCs w:val="13"/>
                <w:color w:val="auto"/>
                <w:w w:val="98"/>
              </w:rPr>
              <w:t>(352,153)</w:t>
            </w: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167,591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w w:val="99"/>
              </w:rPr>
              <w:t>551,163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2024, beliefs with respect to liquidity needs and expectations with respect to share repurchases and dividends.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2023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You should read the following discussion and analysis together with our consolidated financial statements and the notes to those statements included elsewhere in this quarterly report on Form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10-Q.</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and Macroeconomic Environment</w:t>
      </w:r>
    </w:p>
    <w:p>
      <w:pPr>
        <w:spacing w:after="0" w:line="106" w:lineRule="exact"/>
        <w:rPr>
          <w:sz w:val="20"/>
          <w:szCs w:val="20"/>
          <w:color w:val="auto"/>
        </w:rPr>
      </w:pPr>
    </w:p>
    <w:p>
      <w:pPr>
        <w:jc w:val="both"/>
        <w:ind w:firstLine="382"/>
        <w:spacing w:after="0" w:line="242" w:lineRule="auto"/>
        <w:rPr>
          <w:sz w:val="20"/>
          <w:szCs w:val="20"/>
          <w:color w:val="auto"/>
        </w:rPr>
      </w:pPr>
      <w:r>
        <w:rPr>
          <w:rFonts w:ascii="Times New Roman" w:cs="Times New Roman" w:eastAsia="Times New Roman" w:hAnsi="Times New Roman"/>
          <w:sz w:val="14"/>
          <w:szCs w:val="14"/>
          <w:color w:val="auto"/>
        </w:rPr>
        <w:t>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production costs, economic growth, global commodity supply/demand, reserve replacement, estimates of resource production and the expectations of our customers' shareholders. As a result, demand for our hospitality services is largely sensitive to expected commodity prices, principally related to oil, metallurgical (met) coal, liquefied natural gas (LNG) and iron ore,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volatility affecting the banking system and financial markets, availability of capital to the natural resource industry and regulatory changes in Canada, Australia and other markets, including governmental measures introduced to fight climate change.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Prices</w:t>
      </w:r>
    </w:p>
    <w:p>
      <w:pPr>
        <w:spacing w:after="0" w:line="117"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There is continued uncertainty around commodity price levels, including the impact of inflationary pressures, actions taken by Organization of the Petroleum Exporting Countries Plus (OPEC+) to adjust production levels, geopolitical events such as the ongoing Russia/Ukraine and Middle East conflicts and rising geopolitical risks in the Middle East, United States (U.S.) oil production levels and regulatory implications on such prices. In particular, these items could cause our Canadian oil sands and pipeline customers to reduce production, delay expansionary and maintenance spending and defer additional investments in their oil sands assets.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Recent Commodity Prices.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Recent West Texas Intermediate (WTI) crude, Western Canadian Select (WCS) crude, met coal and iron ore pricing trends are as follows:</w:t>
      </w:r>
    </w:p>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629"/>
              <w:spacing w:after="0"/>
              <w:rPr>
                <w:sz w:val="20"/>
                <w:szCs w:val="20"/>
                <w:color w:val="auto"/>
              </w:rPr>
            </w:pPr>
            <w:r>
              <w:rPr>
                <w:rFonts w:ascii="Times New Roman" w:cs="Times New Roman" w:eastAsia="Times New Roman" w:hAnsi="Times New Roman"/>
                <w:sz w:val="14"/>
                <w:szCs w:val="14"/>
                <w:color w:val="auto"/>
              </w:rPr>
              <w:t xml:space="preserve">Average Price </w:t>
            </w:r>
            <w:r>
              <w:rPr>
                <w:rFonts w:ascii="Times New Roman" w:cs="Times New Roman" w:eastAsia="Times New Roman" w:hAnsi="Times New Roman"/>
                <w:sz w:val="18"/>
                <w:szCs w:val="18"/>
                <w:color w:val="auto"/>
                <w:vertAlign w:val="superscript"/>
              </w:rPr>
              <w:t>(1)</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restart"/>
          </w:tcPr>
          <w:p>
            <w:pPr>
              <w:jc w:val="center"/>
              <w:ind w:left="429"/>
              <w:spacing w:after="0"/>
              <w:rPr>
                <w:sz w:val="20"/>
                <w:szCs w:val="20"/>
                <w:color w:val="auto"/>
              </w:rPr>
            </w:pPr>
            <w:r>
              <w:rPr>
                <w:rFonts w:ascii="Times New Roman" w:cs="Times New Roman" w:eastAsia="Times New Roman" w:hAnsi="Times New Roman"/>
                <w:sz w:val="14"/>
                <w:szCs w:val="14"/>
                <w:color w:val="auto"/>
              </w:rPr>
              <w:t>WTI</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left="409"/>
              <w:spacing w:after="0"/>
              <w:rPr>
                <w:sz w:val="20"/>
                <w:szCs w:val="20"/>
                <w:color w:val="auto"/>
              </w:rPr>
            </w:pPr>
            <w:r>
              <w:rPr>
                <w:rFonts w:ascii="Times New Roman" w:cs="Times New Roman" w:eastAsia="Times New Roman" w:hAnsi="Times New Roman"/>
                <w:sz w:val="14"/>
                <w:szCs w:val="14"/>
                <w:color w:val="auto"/>
                <w:w w:val="98"/>
              </w:rPr>
              <w:t>WCS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389"/>
              <w:spacing w:after="0" w:line="129" w:lineRule="exact"/>
              <w:rPr>
                <w:sz w:val="20"/>
                <w:szCs w:val="20"/>
                <w:color w:val="auto"/>
              </w:rPr>
            </w:pPr>
            <w:r>
              <w:rPr>
                <w:rFonts w:ascii="Times New Roman" w:cs="Times New Roman" w:eastAsia="Times New Roman" w:hAnsi="Times New Roman"/>
                <w:sz w:val="14"/>
                <w:szCs w:val="14"/>
                <w:color w:val="auto"/>
                <w:w w:val="99"/>
              </w:rPr>
              <w:t>Hard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color w:val="auto"/>
              </w:rPr>
              <w:t>Iron</w:t>
            </w:r>
          </w:p>
        </w:tc>
        <w:tc>
          <w:tcPr>
            <w:tcW w:w="0" w:type="dxa"/>
            <w:vAlign w:val="bottom"/>
          </w:tcPr>
          <w:p>
            <w:pPr>
              <w:spacing w:after="0"/>
              <w:rPr>
                <w:sz w:val="1"/>
                <w:szCs w:val="1"/>
                <w:color w:val="auto"/>
              </w:rPr>
            </w:pPr>
          </w:p>
        </w:tc>
      </w:tr>
      <w:tr>
        <w:trPr>
          <w:trHeight w:val="138"/>
        </w:trPr>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349"/>
              <w:spacing w:after="0" w:line="138" w:lineRule="exact"/>
              <w:rPr>
                <w:sz w:val="20"/>
                <w:szCs w:val="20"/>
                <w:color w:val="auto"/>
              </w:rPr>
            </w:pPr>
            <w:r>
              <w:rPr>
                <w:rFonts w:ascii="Times New Roman" w:cs="Times New Roman" w:eastAsia="Times New Roman" w:hAnsi="Times New Roman"/>
                <w:sz w:val="14"/>
                <w:szCs w:val="14"/>
                <w:color w:val="auto"/>
              </w:rPr>
              <w:t>Coking Coal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8"/>
              </w:rPr>
              <w:t>Quarter</w:t>
            </w:r>
          </w:p>
        </w:tc>
        <w:tc>
          <w:tcPr>
            <w:tcW w:w="1100" w:type="dxa"/>
            <w:vAlign w:val="bottom"/>
          </w:tcPr>
          <w:p>
            <w:pPr>
              <w:jc w:val="center"/>
              <w:ind w:left="429"/>
              <w:spacing w:after="0" w:line="149" w:lineRule="exact"/>
              <w:rPr>
                <w:sz w:val="20"/>
                <w:szCs w:val="20"/>
                <w:color w:val="auto"/>
              </w:rPr>
            </w:pPr>
            <w:r>
              <w:rPr>
                <w:rFonts w:ascii="Times New Roman" w:cs="Times New Roman" w:eastAsia="Times New Roman" w:hAnsi="Times New Roman"/>
                <w:sz w:val="14"/>
                <w:szCs w:val="14"/>
                <w:color w:val="auto"/>
              </w:rPr>
              <w:t>Crude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409"/>
              <w:spacing w:after="0" w:line="149" w:lineRule="exact"/>
              <w:rPr>
                <w:sz w:val="20"/>
                <w:szCs w:val="20"/>
                <w:color w:val="auto"/>
              </w:rPr>
            </w:pPr>
            <w:r>
              <w:rPr>
                <w:rFonts w:ascii="Times New Roman" w:cs="Times New Roman" w:eastAsia="Times New Roman" w:hAnsi="Times New Roman"/>
                <w:sz w:val="14"/>
                <w:szCs w:val="14"/>
                <w:color w:val="auto"/>
                <w:w w:val="99"/>
              </w:rPr>
              <w:t>Crude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369"/>
              <w:spacing w:after="0" w:line="149" w:lineRule="exact"/>
              <w:rPr>
                <w:sz w:val="20"/>
                <w:szCs w:val="20"/>
                <w:color w:val="auto"/>
              </w:rPr>
            </w:pPr>
            <w:r>
              <w:rPr>
                <w:rFonts w:ascii="Times New Roman" w:cs="Times New Roman" w:eastAsia="Times New Roman" w:hAnsi="Times New Roman"/>
                <w:sz w:val="14"/>
                <w:szCs w:val="14"/>
                <w:color w:val="auto"/>
              </w:rPr>
              <w:t>(Met Coal)</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09"/>
              <w:spacing w:after="0" w:line="149" w:lineRule="exact"/>
              <w:rPr>
                <w:sz w:val="20"/>
                <w:szCs w:val="20"/>
                <w:color w:val="auto"/>
              </w:rPr>
            </w:pPr>
            <w:r>
              <w:rPr>
                <w:rFonts w:ascii="Times New Roman" w:cs="Times New Roman" w:eastAsia="Times New Roman" w:hAnsi="Times New Roman"/>
                <w:sz w:val="14"/>
                <w:szCs w:val="14"/>
                <w:color w:val="auto"/>
              </w:rPr>
              <w:t>Ore</w:t>
            </w:r>
          </w:p>
        </w:tc>
        <w:tc>
          <w:tcPr>
            <w:tcW w:w="0" w:type="dxa"/>
            <w:vAlign w:val="bottom"/>
          </w:tcPr>
          <w:p>
            <w:pPr>
              <w:spacing w:after="0"/>
              <w:rPr>
                <w:sz w:val="1"/>
                <w:szCs w:val="1"/>
                <w:color w:val="auto"/>
              </w:rPr>
            </w:pPr>
          </w:p>
        </w:tc>
      </w:tr>
      <w:tr>
        <w:trPr>
          <w:trHeight w:val="180"/>
        </w:trPr>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ended</w:t>
            </w:r>
          </w:p>
        </w:tc>
        <w:tc>
          <w:tcPr>
            <w:tcW w:w="110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w w:val="98"/>
              </w:rPr>
              <w:t>(per bbl)</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(per bbl)</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(per tonne)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(per tonne)</w:t>
            </w:r>
          </w:p>
        </w:tc>
        <w:tc>
          <w:tcPr>
            <w:tcW w:w="0" w:type="dxa"/>
            <w:vAlign w:val="bottom"/>
          </w:tcPr>
          <w:p>
            <w:pPr>
              <w:spacing w:after="0"/>
              <w:rPr>
                <w:sz w:val="1"/>
                <w:szCs w:val="1"/>
                <w:color w:val="auto"/>
              </w:rPr>
            </w:pPr>
          </w:p>
        </w:tc>
      </w:tr>
      <w:tr>
        <w:trPr>
          <w:trHeight w:val="171"/>
        </w:trPr>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Second Quarter through April 22, 2024</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234.56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104.55</w:t>
            </w:r>
          </w:p>
        </w:tc>
        <w:tc>
          <w:tcPr>
            <w:tcW w:w="0" w:type="dxa"/>
            <w:vAlign w:val="bottom"/>
          </w:tcPr>
          <w:p>
            <w:pPr>
              <w:spacing w:after="0"/>
              <w:rPr>
                <w:sz w:val="1"/>
                <w:szCs w:val="1"/>
                <w:color w:val="auto"/>
              </w:rPr>
            </w:pPr>
          </w:p>
        </w:tc>
      </w:tr>
      <w:tr>
        <w:trPr>
          <w:trHeight w:val="180"/>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3/31/2024</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307.68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118.54</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332.24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0" w:type="dxa"/>
            <w:vAlign w:val="bottom"/>
          </w:tcPr>
          <w:p>
            <w:pPr>
              <w:spacing w:after="0"/>
              <w:rPr>
                <w:sz w:val="1"/>
                <w:szCs w:val="1"/>
                <w:color w:val="auto"/>
              </w:rPr>
            </w:pPr>
          </w:p>
        </w:tc>
      </w:tr>
      <w:tr>
        <w:trPr>
          <w:trHeight w:val="180"/>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9/30/2023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260.12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6/30/2023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243.54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0" w:type="dxa"/>
            <w:vAlign w:val="bottom"/>
          </w:tcPr>
          <w:p>
            <w:pPr>
              <w:spacing w:after="0"/>
              <w:rPr>
                <w:sz w:val="1"/>
                <w:szCs w:val="1"/>
                <w:color w:val="auto"/>
              </w:rPr>
            </w:pPr>
          </w:p>
        </w:tc>
      </w:tr>
      <w:tr>
        <w:trPr>
          <w:trHeight w:val="180"/>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341.08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117.08</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276.19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0" w:type="dxa"/>
            <w:vAlign w:val="bottom"/>
          </w:tcPr>
          <w:p>
            <w:pPr>
              <w:spacing w:after="0"/>
              <w:rPr>
                <w:sz w:val="1"/>
                <w:szCs w:val="1"/>
                <w:color w:val="auto"/>
              </w:rPr>
            </w:pPr>
          </w:p>
        </w:tc>
      </w:tr>
      <w:tr>
        <w:trPr>
          <w:trHeight w:val="180"/>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9/30/2022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252.63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99.21</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6/30/2022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464.61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128.80</w:t>
            </w:r>
          </w:p>
        </w:tc>
        <w:tc>
          <w:tcPr>
            <w:tcW w:w="0" w:type="dxa"/>
            <w:vAlign w:val="bottom"/>
          </w:tcPr>
          <w:p>
            <w:pPr>
              <w:spacing w:after="0"/>
              <w:rPr>
                <w:sz w:val="1"/>
                <w:szCs w:val="1"/>
                <w:color w:val="auto"/>
              </w:rPr>
            </w:pPr>
          </w:p>
        </w:tc>
      </w:tr>
      <w:tr>
        <w:trPr>
          <w:trHeight w:val="184"/>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474.83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60" w:hanging="246"/>
        <w:spacing w:after="0"/>
        <w:tabs>
          <w:tab w:leader="none" w:pos="76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Source: WTI crude prices are from U.S. Energy Information Administration, WCS crude prices and iron ore prices are from Bloomberg and hard coking coal prices are from IHS Markit.</w:t>
      </w:r>
    </w:p>
    <w:p>
      <w:pPr>
        <w:spacing w:after="0" w:line="302" w:lineRule="exact"/>
        <w:rPr>
          <w:sz w:val="20"/>
          <w:szCs w:val="20"/>
          <w:color w:val="auto"/>
        </w:rPr>
      </w:pPr>
    </w:p>
    <w:p>
      <w:pPr>
        <w:ind w:firstLine="382"/>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WTI Crude. </w:t>
      </w:r>
      <w:r>
        <w:rPr>
          <w:rFonts w:ascii="Times New Roman" w:cs="Times New Roman" w:eastAsia="Times New Roman" w:hAnsi="Times New Roman"/>
          <w:sz w:val="14"/>
          <w:szCs w:val="14"/>
          <w:color w:val="auto"/>
        </w:rPr>
        <w:t>After reaching historic lows in early 2020 during the start of the COVID-19 pandemic, global oil prices increased to above $100 per barrel in the second quarter 2022.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second half of 2022 and throughout 2023, oil prices declined due to (i) rising fears of a recession resulting from severe inflation and rising interest rates, (ii) resulting lower demand growth for oil and</w:t>
      </w:r>
    </w:p>
    <w:p>
      <w:pPr>
        <w:spacing w:after="0" w:line="1" w:lineRule="exact"/>
        <w:rPr>
          <w:sz w:val="20"/>
          <w:szCs w:val="20"/>
          <w:color w:val="auto"/>
        </w:rPr>
      </w:pPr>
    </w:p>
    <w:p>
      <w:pPr>
        <w:jc w:val="both"/>
        <w:ind w:firstLine="5"/>
        <w:spacing w:after="0" w:line="242" w:lineRule="auto"/>
        <w:tabs>
          <w:tab w:leader="none" w:pos="24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U.S. oil production. In an effort to support the price of oil amidst demand concerns, OPEC+ countries have extended their 2023 oil production cuts through the first half of 2024. These production cuts, coupled with the rising geopolitical risks in the Middle East, resulted in rising oil prices during the first quarter of 2024 following a decline in prices in the latter part of the fourth quarter of 2023.</w:t>
      </w:r>
    </w:p>
    <w:p>
      <w:pPr>
        <w:spacing w:after="0" w:line="89"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 xml:space="preserve">WCS Crude. </w:t>
      </w:r>
      <w:r>
        <w:rPr>
          <w:rFonts w:ascii="Times New Roman" w:cs="Times New Roman" w:eastAsia="Times New Roman" w:hAnsi="Times New Roman"/>
          <w:sz w:val="14"/>
          <w:szCs w:val="14"/>
          <w:color w:val="auto"/>
        </w:rPr>
        <w:t>In Canada, WCS crude is the benchmark price for our oil sands customers. Pricing for WCS is driven by several factors, including the underlying price for WTI crude,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90"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Certain expansionary oil pipeline projects have the potential to both drive incremental demand for mobile assets and to improve take-away capacity for Canadian oil sands producers over the longer term, most notably the Trans Mountain Pipeline expansion, which is expected to commence commercial operation by May 1, 2024.</w:t>
      </w:r>
    </w:p>
    <w:p>
      <w:pPr>
        <w:spacing w:after="0" w:line="61"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WCS prices in the first quarter of 2024 averaged $59.48 per barrel compared to an average of $56.61 in the first quarter of 2023. The WCS Differential decreased from $19.35 per barrel at the end of the fourth quarter of 2023 to $13.29 at the end of the first quarter of 2024. As of April 22, 2024, the WTI price was $82.85 and the WCS price was $68.88, resulting in a WCS Differential of $13.97.</w:t>
      </w:r>
    </w:p>
    <w:p>
      <w:pPr>
        <w:spacing w:after="0" w:line="81" w:lineRule="exact"/>
        <w:rPr>
          <w:sz w:val="20"/>
          <w:szCs w:val="20"/>
          <w:color w:val="auto"/>
        </w:rPr>
      </w:pPr>
    </w:p>
    <w:p>
      <w:pPr>
        <w:jc w:val="both"/>
        <w:ind w:firstLine="382"/>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Met Coal. </w:t>
      </w:r>
      <w:r>
        <w:rPr>
          <w:rFonts w:ascii="Times New Roman" w:cs="Times New Roman" w:eastAsia="Times New Roman" w:hAnsi="Times New Roman"/>
          <w:sz w:val="14"/>
          <w:szCs w:val="14"/>
          <w:color w:val="auto"/>
        </w:rPr>
        <w:t>In Australia, 84% of our rooms are located in the Bowen Basin of Queensland, Australia and primarily serve met coal mines in that region. Met coal pricing and production growth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the Bowen Basin region is predominantly influenced by the level of global steel production, which decreased by 0.1% in the first quarter of 2024 compared to the first quarter of 2023. Production stability was the result of strong production from key producers in China and India particularly in the month of February 2024, which offset weaker production in the U.S., Russia and Europe. As of April 22, 2024, met coal spot prices were $250.20 per tonne. Steel demand is expected to increase by 1.2% in 2024 compared to 2023, with continued improvements in demand from India.</w:t>
      </w:r>
    </w:p>
    <w:p>
      <w:pPr>
        <w:spacing w:after="0" w:line="161"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Met coal prices remained over $300 per tonne into early March 2024 before weakening in the second half of March 2024 as a result of a recovery in met coal supply when compared to 2023. Prices for 2024 have remained over $200 per tonne and continue to support existing production. With supply side pressures easing and China's gross domestic product target of +5%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year-on-year, analysts anticipate met coal prices will increase to over $230 per tonne in the second quarter of 2024, with a 2024 average of $245 per tonne.</w:t>
      </w:r>
    </w:p>
    <w:p>
      <w:pPr>
        <w:spacing w:after="0" w:line="187" w:lineRule="exact"/>
        <w:rPr>
          <w:sz w:val="20"/>
          <w:szCs w:val="20"/>
          <w:color w:val="auto"/>
        </w:rPr>
      </w:pPr>
    </w:p>
    <w:p>
      <w:pPr>
        <w:jc w:val="both"/>
        <w:ind w:firstLine="382"/>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Iron Ore. </w:t>
      </w:r>
      <w:r>
        <w:rPr>
          <w:rFonts w:ascii="Times New Roman" w:cs="Times New Roman" w:eastAsia="Times New Roman" w:hAnsi="Times New Roman"/>
          <w:sz w:val="14"/>
          <w:szCs w:val="14"/>
          <w:color w:val="auto"/>
        </w:rPr>
        <w:t>Iron ore prices remained consistently over $100 per tonne despite recent weakness in prices during March 2024 through April 2024 and have averaged $118.54 per tonne in the first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quarter of 2024. Analysts are expecting iron ore prices to remain over $100 per tonne during 2024 as supply stabilizes.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104"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Inflationary Pressures. </w:t>
      </w:r>
      <w:r>
        <w:rPr>
          <w:rFonts w:ascii="Times New Roman" w:cs="Times New Roman" w:eastAsia="Times New Roman" w:hAnsi="Times New Roman"/>
          <w:sz w:val="14"/>
          <w:szCs w:val="14"/>
          <w:color w:val="auto"/>
        </w:rPr>
        <w:t>During 2023 and through the first quarter of 2024, inflationary pressures and supply chain disruptions have been, and are being, experienced worldwide. Price increases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spacing w:after="0" w:line="81"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Labor Shortages. </w:t>
      </w:r>
      <w:r>
        <w:rPr>
          <w:rFonts w:ascii="Times New Roman" w:cs="Times New Roman" w:eastAsia="Times New Roman" w:hAnsi="Times New Roman"/>
          <w:sz w:val="14"/>
          <w:szCs w:val="14"/>
          <w:color w:val="auto"/>
        </w:rPr>
        <w:t>In addition to the macro inflationary impacts on labor costs noted above, we continue to be impacted by increased staff costs as a result of hospitality labor shortages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Australia due to lingering government-imposed and voluntary social distancing and quarantining during the COVID-19 pandemic. This labor shortage has been exacerbated by significantly reduced migration in and around Australia affecting labor availability, which has subsequently led to an increased reliance on more expensive temporary labor resources.</w:t>
      </w:r>
    </w:p>
    <w:p>
      <w:pPr>
        <w:spacing w:after="0" w:line="70" w:lineRule="exact"/>
        <w:rPr>
          <w:sz w:val="20"/>
          <w:szCs w:val="20"/>
          <w:color w:val="auto"/>
        </w:rPr>
      </w:pPr>
    </w:p>
    <w:p>
      <w:pPr>
        <w:jc w:val="both"/>
        <w:ind w:firstLine="382"/>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 xml:space="preserve">LNG. </w:t>
      </w:r>
      <w:r>
        <w:rPr>
          <w:rFonts w:ascii="Times New Roman" w:cs="Times New Roman" w:eastAsia="Times New Roman" w:hAnsi="Times New Roman"/>
          <w:sz w:val="14"/>
          <w:szCs w:val="14"/>
          <w:color w:val="auto"/>
        </w:rPr>
        <w:t>Our Sitka Lodge supports the LNG Canada project and related pipeline projects. From a macroeconomic standpoint, LNG demand has continued to grow, reinforcing the need for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global LNG industry to expand access to natural gas. Evolving government energy policies around the world have amplified support for cleaner energy supply, creating more opportunities for natural gas and LNG. The conflicts between Russia/Ukraine and in the Middle East have further highlighted the need for secure natural gas supply globally, particularly in Europe. Accordingly, additional investment in LNG supply will be needed to meet the resulting expected long-term LNG demand growth.</w:t>
      </w:r>
    </w:p>
    <w:p>
      <w:pPr>
        <w:spacing w:after="0" w:line="9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The Kitimat LNG Facility is nearing completion and expected to be operational in 2024. British Columbia LNG activity and related pipeline projects are a material driver of activity for our Sitka Lodge, as well as for our mobile assets, which were contracted to serve designated portions of the related pipeline construction activity. The majority of our contracted commitments associated with the Coastal GasLink Pipeline, the pipeline constructed to transport natural gas feedstock to LNGC, were completed in the fourth quarter of 2023.</w:t>
      </w:r>
    </w:p>
    <w:p>
      <w:pPr>
        <w:spacing w:after="0" w:line="80"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McClelland Lake Lodge. </w:t>
      </w:r>
      <w:r>
        <w:rPr>
          <w:rFonts w:ascii="Times New Roman" w:cs="Times New Roman" w:eastAsia="Times New Roman" w:hAnsi="Times New Roman"/>
          <w:sz w:val="14"/>
          <w:szCs w:val="14"/>
          <w:color w:val="auto"/>
        </w:rPr>
        <w:t>We did not renew our expiring land lease associated with our McClelland Lake Lodge in Alberta, Canada, which expired in June 2023, in order to support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intent to mine the land where the lodge was located. In addition, the accompanying hospitality services contract at McClelland Lake Lodge expired in July 2023; however, we continued to provide hospitality services to the customer at our other owned lodges through January 31, 2024 under a short-term take-or-pay commitment. Subsequent to this date, we have continued to provide such services at our other lodges; however, not pursuant to a take-or-pay commitment. During the third quarter of 2023, we entered into a definitive agreement to sell our McClelland Lake Lodge assets to a U.S.-based mining project for approximately C$49 million, or US$36 million. Our McClelland Lake Lodge assets were dismantled and completely removed from the existing site in January 2024. During the third and fourth quarters of 2023, we recognized $14.2 million in dismantle costs and received $28.2 million in cash proceeds associated with the sale. During the first quarter of 2024, the transaction was completed, and we recognized the remaining $1.0 million in dismantle costs and received the remaining $7.8 million in cash proceeds.</w:t>
      </w:r>
    </w:p>
    <w:p>
      <w:pPr>
        <w:spacing w:after="0" w:line="8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 Business. </w:t>
      </w:r>
      <w:r>
        <w:rPr>
          <w:rFonts w:ascii="Times New Roman" w:cs="Times New Roman" w:eastAsia="Times New Roman" w:hAnsi="Times New Roman"/>
          <w:sz w:val="14"/>
          <w:szCs w:val="14"/>
          <w:color w:val="auto"/>
        </w:rPr>
        <w:t>In the first quarter of 2023, we sold our accommodation assets in Louisiana. Our U.S. business supports completion activity in the Bakken. U.S. oil completion activity will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continue to be impacted by oil prices, pipeline capacity, federal energy policies and availability of capital to support exploration and production completion plans.</w:t>
      </w:r>
    </w:p>
    <w:p>
      <w:pPr>
        <w:spacing w:after="0" w:line="57"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Foreign Currency Exchange Rates. </w:t>
      </w:r>
      <w:r>
        <w:rPr>
          <w:rFonts w:ascii="Times New Roman" w:cs="Times New Roman" w:eastAsia="Times New Roman" w:hAnsi="Times New Roman"/>
          <w:sz w:val="14"/>
          <w:szCs w:val="14"/>
          <w:color w:val="auto"/>
        </w:rPr>
        <w:t>Exchange rates between the U.S. dollar and each of the Canadian dollar and the Australian dollar influence our U.S. dollar reported financial results.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business has historically derived the vast majority of its revenues and operating income (loss) in Canada and Australia. These revenues and profits/losses are translated into U.S. dollars for financial reporting purposes under U.S. Generally Accepted Accounting Principles. The following tables summarize the fluctuations in the exchange rates between the U.S. dollar and each of the Canadian dollar and the Australian dollar: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6" w:right="319" w:bottom="1440" w:gutter="0" w:footer="0" w:header="0"/>
        </w:sectPr>
      </w:pPr>
    </w:p>
    <w:bookmarkStart w:id="20" w:name="page21"/>
    <w:bookmarkEnd w:id="20"/>
    <w:tbl>
      <w:tblPr>
        <w:tblLayout w:type="fixed"/>
        <w:tblInd w:w="19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3"/>
                <w:szCs w:val="13"/>
                <w:color w:val="auto"/>
              </w:rPr>
            </w:pPr>
          </w:p>
        </w:tc>
      </w:tr>
      <w:tr>
        <w:trPr>
          <w:trHeight w:val="186"/>
        </w:trPr>
        <w:tc>
          <w:tcPr>
            <w:tcW w:w="3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59"/>
        </w:trPr>
        <w:tc>
          <w:tcPr>
            <w:tcW w:w="3740" w:type="dxa"/>
            <w:vAlign w:val="bottom"/>
          </w:tcPr>
          <w:p>
            <w:pPr>
              <w:spacing w:after="0"/>
              <w:rPr>
                <w:sz w:val="13"/>
                <w:szCs w:val="13"/>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7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$0.741</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$0.740</w:t>
            </w: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$0.002</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0.2%</w:t>
            </w: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$0.684</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($0.027)</w:t>
            </w:r>
          </w:p>
        </w:tc>
        <w:tc>
          <w:tcPr>
            <w:tcW w:w="10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(3.9)%</w:t>
            </w:r>
          </w:p>
        </w:tc>
      </w:tr>
    </w:tbl>
    <w:p>
      <w:pPr>
        <w:spacing w:after="0" w:line="86" w:lineRule="exact"/>
        <w:rPr>
          <w:sz w:val="20"/>
          <w:szCs w:val="20"/>
          <w:color w:val="auto"/>
        </w:rPr>
      </w:pPr>
    </w:p>
    <w:tbl>
      <w:tblPr>
        <w:tblLayout w:type="fixed"/>
        <w:tblInd w:w="136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9"/>
        </w:trPr>
        <w:tc>
          <w:tcPr>
            <w:tcW w:w="3120" w:type="dxa"/>
            <w:vAlign w:val="bottom"/>
          </w:tcPr>
          <w:p>
            <w:pPr>
              <w:spacing w:after="0"/>
              <w:rPr>
                <w:sz w:val="13"/>
                <w:szCs w:val="13"/>
                <w:color w:val="auto"/>
              </w:rPr>
            </w:pPr>
          </w:p>
        </w:tc>
        <w:tc>
          <w:tcPr>
            <w:tcW w:w="128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r>
      <w:tr>
        <w:trPr>
          <w:trHeight w:val="172"/>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Canadian dollar to U.S. dollar</w:t>
            </w:r>
          </w:p>
        </w:tc>
        <w:tc>
          <w:tcPr>
            <w:tcW w:w="12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$0.738</w:t>
            </w:r>
          </w:p>
        </w:tc>
        <w:tc>
          <w:tcPr>
            <w:tcW w:w="1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$0.756</w:t>
            </w:r>
          </w:p>
        </w:tc>
        <w:tc>
          <w:tcPr>
            <w:tcW w:w="1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(2.4)%</w:t>
            </w:r>
          </w:p>
        </w:tc>
      </w:tr>
      <w:tr>
        <w:trPr>
          <w:trHeight w:val="184"/>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Australian dollar to U.S. dollar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$0.651</w:t>
            </w:r>
          </w:p>
        </w:tc>
        <w:tc>
          <w:tcPr>
            <w:tcW w:w="160" w:type="dxa"/>
            <w:vAlign w:val="bottom"/>
          </w:tcPr>
          <w:p>
            <w:pPr>
              <w:spacing w:after="0"/>
              <w:rPr>
                <w:sz w:val="16"/>
                <w:szCs w:val="16"/>
                <w:color w:val="auto"/>
              </w:rPr>
            </w:pPr>
          </w:p>
        </w:tc>
        <w:tc>
          <w:tcPr>
            <w:tcW w:w="13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$0.681</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(4.3)%</w:t>
            </w:r>
          </w:p>
        </w:tc>
      </w:tr>
    </w:tbl>
    <w:p>
      <w:pPr>
        <w:spacing w:after="0" w:line="1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33"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Capital Expenditures. </w:t>
      </w:r>
      <w:r>
        <w:rPr>
          <w:rFonts w:ascii="Times New Roman" w:cs="Times New Roman" w:eastAsia="Times New Roman" w:hAnsi="Times New Roman"/>
          <w:sz w:val="14"/>
          <w:szCs w:val="14"/>
          <w:color w:val="auto"/>
        </w:rPr>
        <w:t>We continue to monitor the global economy, commodity prices, demand for crude oil, met coal, LNG and iron ore, inflation and the resultant impact on the capital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spending plans of our customers in order to plan our business activities. We currently expect that our 2024 capital expenditures will be in the range of approximately $30 million to $35 million, compared to 2023 capital expenditures of $31.6 million. We may adjust our capital expenditure plans in the future as we continue to monitor customer activity.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“Liquidity and Capital Resources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below for further discussion of our 2024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4"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Unless otherwise indicated, discussion of results for the three months ended March 31, 2024, is based on a comparison to the corresponding period of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Operations – Three Months Ended March 31, 2024 Compared to Three Months Ended March 31, 2023</w:t>
      </w:r>
    </w:p>
    <w:p>
      <w:pPr>
        <w:spacing w:after="0" w:line="262"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5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8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3"/>
        </w:trPr>
        <w:tc>
          <w:tcPr>
            <w:tcW w:w="50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49"/>
        </w:trPr>
        <w:tc>
          <w:tcPr>
            <w:tcW w:w="50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5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7"/>
        </w:trPr>
        <w:tc>
          <w:tcPr>
            <w:tcW w:w="5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53"/>
        </w:trPr>
        <w:tc>
          <w:tcPr>
            <w:tcW w:w="5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Canada</w:t>
            </w:r>
          </w:p>
        </w:tc>
        <w:tc>
          <w:tcPr>
            <w:tcW w:w="42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67,160</w:t>
            </w:r>
          </w:p>
        </w:tc>
        <w:tc>
          <w:tcPr>
            <w:tcW w:w="100" w:type="dxa"/>
            <w:vAlign w:val="bottom"/>
          </w:tcPr>
          <w:p>
            <w:pPr>
              <w:spacing w:after="0"/>
              <w:rPr>
                <w:sz w:val="13"/>
                <w:szCs w:val="13"/>
                <w:color w:val="auto"/>
              </w:rPr>
            </w:pPr>
          </w:p>
        </w:tc>
        <w:tc>
          <w:tcPr>
            <w:tcW w:w="600" w:type="dxa"/>
            <w:vAlign w:val="bottom"/>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89,453</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(22,293)</w:t>
            </w:r>
          </w:p>
        </w:tc>
      </w:tr>
      <w:tr>
        <w:trPr>
          <w:trHeight w:val="16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Australia</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91,737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76,989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14,748</w:t>
            </w:r>
          </w:p>
        </w:tc>
      </w:tr>
      <w:tr>
        <w:trPr>
          <w:trHeight w:val="153"/>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7,223</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6,074</w:t>
            </w:r>
          </w:p>
        </w:tc>
      </w:tr>
      <w:tr>
        <w:trPr>
          <w:trHeight w:val="156"/>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revenues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166,120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167,591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(1,471)</w:t>
            </w:r>
          </w:p>
        </w:tc>
      </w:tr>
      <w:tr>
        <w:trPr>
          <w:trHeight w:val="153"/>
        </w:trPr>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Costs and expenses:</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Cost of sales and services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53"/>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Canada</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57,257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73,905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(16,648)</w:t>
            </w:r>
          </w:p>
        </w:tc>
      </w:tr>
      <w:tr>
        <w:trPr>
          <w:trHeight w:val="165"/>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Australia</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66,113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58,308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7,805</w:t>
            </w:r>
          </w:p>
        </w:tc>
      </w:tr>
      <w:tr>
        <w:trPr>
          <w:trHeight w:val="153"/>
        </w:trPr>
        <w:tc>
          <w:tcPr>
            <w:tcW w:w="50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1"/>
                <w:szCs w:val="11"/>
                <w:color w:val="auto"/>
              </w:rPr>
              <w:t>Other</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7,075</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5,774</w:t>
            </w:r>
          </w:p>
        </w:tc>
      </w:tr>
      <w:tr>
        <w:trPr>
          <w:trHeight w:val="15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cost of sales and services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130,445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133,514</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(3,069)</w:t>
            </w:r>
          </w:p>
        </w:tc>
      </w:tr>
      <w:tr>
        <w:trPr>
          <w:trHeight w:val="153"/>
        </w:trPr>
        <w:tc>
          <w:tcPr>
            <w:tcW w:w="5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Selling, general and administrative expenses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18,640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16,190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2,450</w:t>
            </w:r>
          </w:p>
        </w:tc>
      </w:tr>
      <w:tr>
        <w:trPr>
          <w:trHeight w:val="16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 expense</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16,770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(4,892)</w:t>
            </w:r>
          </w:p>
        </w:tc>
      </w:tr>
      <w:tr>
        <w:trPr>
          <w:trHeight w:val="153"/>
        </w:trPr>
        <w:tc>
          <w:tcPr>
            <w:tcW w:w="50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Impairment expense</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7,823</w:t>
            </w:r>
          </w:p>
        </w:tc>
      </w:tr>
      <w:tr>
        <w:trPr>
          <w:trHeight w:val="16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McClelland Lake Lodge assets, net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(6,075)</w:t>
            </w:r>
          </w:p>
        </w:tc>
      </w:tr>
      <w:tr>
        <w:trPr>
          <w:trHeight w:val="153"/>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r>
      <w:tr>
        <w:trPr>
          <w:trHeight w:val="156"/>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costs and expenses</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167,901</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171,495</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(3,594)</w:t>
            </w:r>
          </w:p>
        </w:tc>
      </w:tr>
      <w:tr>
        <w:trPr>
          <w:trHeight w:val="144"/>
        </w:trPr>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Operating loss</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2,123</w:t>
            </w:r>
          </w:p>
        </w:tc>
      </w:tr>
      <w:tr>
        <w:trPr>
          <w:trHeight w:val="176"/>
        </w:trPr>
        <w:tc>
          <w:tcPr>
            <w:tcW w:w="5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53"/>
        </w:trPr>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 net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1,307</w:t>
            </w:r>
          </w:p>
        </w:tc>
      </w:tr>
      <w:tr>
        <w:trPr>
          <w:trHeight w:val="165"/>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w:t>
            </w: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(1,997)</w:t>
            </w:r>
          </w:p>
        </w:tc>
      </w:tr>
      <w:tr>
        <w:trPr>
          <w:trHeight w:val="144"/>
        </w:trPr>
        <w:tc>
          <w:tcPr>
            <w:tcW w:w="50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before income taxes</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1,433</w:t>
            </w:r>
          </w:p>
        </w:tc>
      </w:tr>
      <w:tr>
        <w:trPr>
          <w:trHeight w:val="165"/>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r>
      <w:tr>
        <w:trPr>
          <w:trHeight w:val="144"/>
        </w:trPr>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Less: Net loss attributable to noncontrolling interest</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1,115</w:t>
            </w:r>
          </w:p>
        </w:tc>
      </w:tr>
      <w:tr>
        <w:trPr>
          <w:trHeight w:val="159"/>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Net income (loss) attributable to noncontrolling interest</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r>
      <w:tr>
        <w:trPr>
          <w:trHeight w:val="156"/>
        </w:trPr>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Net loss attributable to Civeo Corporation</w:t>
            </w:r>
          </w:p>
        </w:tc>
        <w:tc>
          <w:tcPr>
            <w:tcW w:w="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(5,133)</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(6,353)</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1,220</w:t>
            </w:r>
          </w:p>
        </w:tc>
      </w:tr>
      <w:tr>
        <w:trPr>
          <w:trHeight w:val="20"/>
        </w:trPr>
        <w:tc>
          <w:tcPr>
            <w:tcW w:w="5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reported net loss attributable to Civeo for the quarter ended March 31, 2024 of $5.1 million, or $0.35 per diluted share. As further discussed below, net loss included (i) $6.1 million of net gains associated with the sale of the McClelland Lake Lodge in Canada and (ii) a $7.8 million pre-tax loss resulting from the impairment of fixed assets included in Impairment expense.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reported net loss attributable to Civeo for the quarter ended March 31, 2023 of $6.4 million, or $0.42 per diluted share.</w:t>
      </w:r>
    </w:p>
    <w:p>
      <w:pPr>
        <w:spacing w:after="0" w:line="92"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14"/>
          <w:szCs w:val="14"/>
          <w:color w:val="auto"/>
        </w:rPr>
        <w:t>Consolidated revenues decreased $1.5 million, or 1%, in the first quarter of 2024 compared to the first quarter of 2023. This decrease was primarily due to (i) decreased mobile asset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activity from pipeline projects in Canada which were largely completed in 2023, (ii) lower billed rooms at our lodges in Canada and (iii) a weaker Australian dollar relative to the U.S. dollar in the first quarter of 2024 compared to the first quarter of 2023. These items were partially offset by (i) increased activity at our Civeo owned villages in the Australian Bowen Basin, (ii) increased activity at our integrated services villages in Western Australia and (iii) higher other revenue related to the transportation contract for the McClelland Lake Lodge assets. See the discussion of segment results of operations below for further information.</w:t>
      </w:r>
    </w:p>
    <w:p>
      <w:pPr>
        <w:spacing w:after="0" w:line="150" w:lineRule="exact"/>
        <w:rPr>
          <w:sz w:val="20"/>
          <w:szCs w:val="20"/>
          <w:color w:val="auto"/>
        </w:rPr>
      </w:pPr>
    </w:p>
    <w:p>
      <w:pPr>
        <w:jc w:val="both"/>
        <w:ind w:firstLine="382"/>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Cost of Sales and Services. </w:t>
      </w:r>
      <w:r>
        <w:rPr>
          <w:rFonts w:ascii="Times New Roman" w:cs="Times New Roman" w:eastAsia="Times New Roman" w:hAnsi="Times New Roman"/>
          <w:sz w:val="14"/>
          <w:szCs w:val="14"/>
          <w:color w:val="auto"/>
        </w:rPr>
        <w:t>Our consolidated cost of sales and services decreased $3.1 million, or 2%, in the first quarter of 2024 compared to the first quarter of 2023. This decrease was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primarily due to (i) reduced mobile asset activity from pipeline projects in Canada which were largely completed in 2023, (ii) reduced activity at certain lodges in Canada and (iii)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4"/>
          <w:szCs w:val="14"/>
          <w:color w:val="auto"/>
        </w:rPr>
        <w:t>weaker Australian dollar relative to the U.S. dollar in the first quarter of 2024 compared to the first quarter of 2023. These items were partially offset by the increase in cost of sales and services largely driven by (i) increased occupancy at our Bowen Basin Civeo owned villages in Australia, (ii) increased activity at our integrated services villages in Western Australia and (iii) higher other costs related to the transportation contract for the McClelland Lake Lodge assets. See the discussion of segment results of operations below for further information.</w:t>
      </w:r>
    </w:p>
    <w:p>
      <w:pPr>
        <w:spacing w:after="0" w:line="92"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Selling, General and Administrative Expenses. </w:t>
      </w:r>
      <w:r>
        <w:rPr>
          <w:rFonts w:ascii="Times New Roman" w:cs="Times New Roman" w:eastAsia="Times New Roman" w:hAnsi="Times New Roman"/>
          <w:sz w:val="14"/>
          <w:szCs w:val="14"/>
          <w:color w:val="auto"/>
        </w:rPr>
        <w:t>SG&amp;A expenses increased $2.5 million, or 15%, in the first quarter of 2024 compared to the first quarter of 2023. This increase was primarily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due to higher compensation expense of $1.7 million, higher incentive compensation costs of $0.6 million and higher professional fees of $0.6 million. The increase in compensation expense was primarily due to $1.1 million in severance costs related to the departure of our former Chief Financial Officer (CFO) and increased staff and associated recruitment costs. These items were partially offset by lower share-based compensation expense of $0.9 million and a weaker Australian dollar relative to the U.S. dollar in the first quarter of 2024 compared to the first quarter of 2023. The decrease in share-based compensation expense was due to the changes in our share price during 2024 compared to 2023 and forfeitures related to the departure of our former CFO.</w:t>
      </w:r>
    </w:p>
    <w:p>
      <w:pPr>
        <w:spacing w:after="0" w:line="76"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Depreciation and Amortization Expense. </w:t>
      </w:r>
      <w:r>
        <w:rPr>
          <w:rFonts w:ascii="Times New Roman" w:cs="Times New Roman" w:eastAsia="Times New Roman" w:hAnsi="Times New Roman"/>
          <w:sz w:val="14"/>
          <w:szCs w:val="14"/>
          <w:color w:val="auto"/>
        </w:rPr>
        <w:t>Depreciation and amortization expense decreased $4.9 million, or 23%, in the first quarter of 2024 compared to the first quarter of 2023.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decrease was primarily due to certain assets becoming fully depreciated in Canada, including the McClelland Lake Lodge, in the second quarter of 2023 and lower depreciation and amortization expense due to a weaker Australian dollar relative to the U.S. dollar in the first quarter of 2024 compared to the first quarter of 2023.</w:t>
      </w:r>
    </w:p>
    <w:p>
      <w:pPr>
        <w:spacing w:after="0" w:line="8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Impairment Expense. </w:t>
      </w:r>
      <w:r>
        <w:rPr>
          <w:rFonts w:ascii="Times New Roman" w:cs="Times New Roman" w:eastAsia="Times New Roman" w:hAnsi="Times New Roman"/>
          <w:sz w:val="14"/>
          <w:szCs w:val="14"/>
          <w:color w:val="auto"/>
        </w:rPr>
        <w:t>We recorded pre-tax impairment expense of $7.8 million in 2024 associated with long-lived assets in Australia and the U.S. See Note 3 - Impairment Charges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notes to the unaudited consolidated financial statements included in Item 1 of this quarterly report for further discussion.</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Gain on Sale of McClelland Lake Lodge Assets, net. </w:t>
      </w:r>
      <w:r>
        <w:rPr>
          <w:rFonts w:ascii="Times New Roman" w:cs="Times New Roman" w:eastAsia="Times New Roman" w:hAnsi="Times New Roman"/>
          <w:sz w:val="14"/>
          <w:szCs w:val="14"/>
          <w:color w:val="auto"/>
        </w:rPr>
        <w:t>We recorded $6.1 million in the first quarter of 2024 related to net gains associated with the sale of the McClelland Lake Lodge.</w:t>
      </w:r>
    </w:p>
    <w:p>
      <w:pPr>
        <w:spacing w:after="0" w:line="11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Operating Loss. </w:t>
      </w:r>
      <w:r>
        <w:rPr>
          <w:rFonts w:ascii="Times New Roman" w:cs="Times New Roman" w:eastAsia="Times New Roman" w:hAnsi="Times New Roman"/>
          <w:sz w:val="14"/>
          <w:szCs w:val="14"/>
          <w:color w:val="auto"/>
        </w:rPr>
        <w:t>Consolidated operating loss decreased $2.1 million, or 54%, in the first quarter of 2024 compared to the first quarter of 2023, primarily due to a net gain on sale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McClelland Lake Lodge assets, higher activity levels in Australia and lower depreciation and amortization expense in the first quarter of 2024 compared to the first quarter of 2023. These items were partially offset by reduced mobile asset activity in Canada and impairment expenses in the first quarter of 2024 compared to the first quarter of 2023.</w:t>
      </w:r>
    </w:p>
    <w:p>
      <w:pPr>
        <w:spacing w:after="0" w:line="8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Interest Expense, net. </w:t>
      </w:r>
      <w:r>
        <w:rPr>
          <w:rFonts w:ascii="Times New Roman" w:cs="Times New Roman" w:eastAsia="Times New Roman" w:hAnsi="Times New Roman"/>
          <w:sz w:val="14"/>
          <w:szCs w:val="14"/>
          <w:color w:val="auto"/>
        </w:rPr>
        <w:t>Net interest expense decreased by $1.3 million, or 36%, in the first quarter of 2024 compared to the first quarter of 2023, primarily related to lower average debt levels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during 2024 compared to 2023, partially offset by higher interest rates on credit facility borrowings.</w:t>
      </w:r>
    </w:p>
    <w:p>
      <w:pPr>
        <w:spacing w:after="0" w:line="6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Other Income. </w:t>
      </w:r>
      <w:r>
        <w:rPr>
          <w:rFonts w:ascii="Times New Roman" w:cs="Times New Roman" w:eastAsia="Times New Roman" w:hAnsi="Times New Roman"/>
          <w:sz w:val="14"/>
          <w:szCs w:val="14"/>
          <w:color w:val="auto"/>
        </w:rPr>
        <w:t>Consolidated other income decreased $2.0 million in the first quarter of 2024 compared to the first quarter of 2023, primarily due to higher gain on the sale of assets related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sale of our Acadian Acres accommodation assets in the U.S. in the first quarter of 2023 compared to the first quarter of 2024.</w:t>
      </w:r>
    </w:p>
    <w:p>
      <w:pPr>
        <w:spacing w:after="0" w:line="57"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Income Tax Expense. </w:t>
      </w:r>
      <w:r>
        <w:rPr>
          <w:rFonts w:ascii="Times New Roman" w:cs="Times New Roman" w:eastAsia="Times New Roman" w:hAnsi="Times New Roman"/>
          <w:sz w:val="14"/>
          <w:szCs w:val="14"/>
          <w:color w:val="auto"/>
        </w:rPr>
        <w:t>Our income tax expense for the three months ended March 31, 2024 totaled $1.6 million, or (42.6)% of pretax loss, compared to an income tax expense of $1.2 million,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(24.3)% of pretax loss, for the three months ended March 31, 2023. Our effective tax rate for each of the three months ended March 31, 2024 and 2023 was impacted by Canada and the U.S. being considered loss jurisdictions that were removed from the annual effective tax rate computation for purposes of computing the interim tax provision.</w:t>
      </w:r>
    </w:p>
    <w:p>
      <w:pPr>
        <w:spacing w:after="0" w:line="81"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Other Comprehensive (Loss) Income. </w:t>
      </w:r>
      <w:r>
        <w:rPr>
          <w:rFonts w:ascii="Times New Roman" w:cs="Times New Roman" w:eastAsia="Times New Roman" w:hAnsi="Times New Roman"/>
          <w:sz w:val="14"/>
          <w:szCs w:val="14"/>
          <w:color w:val="auto"/>
        </w:rPr>
        <w:t>Other comprehensive loss increased $8.1 million in the first quarter of 2024 compared to the first quarter of 2023, primarily as a result of foreign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currency translation adjustments due to changes in the Canadian and Australian dollar exchange rates compared to the U.S. dollar. The Canadian dollar exchange rate compared to the U.S. dollar decreased 2% in the first quarter of 2024 and remained constant in the first quarter of 2023. The Australian dollar exchange rate compared to the U.S. dollar decreased 4% in the first quarter of 2024 compared to a 1% decrease in the first quarter of 2023.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Results of Operations – Canadian Segment</w:t>
      </w:r>
    </w:p>
    <w:p>
      <w:pPr>
        <w:spacing w:after="0" w:line="28"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4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3"/>
        </w:trPr>
        <w:tc>
          <w:tcPr>
            <w:tcW w:w="49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49"/>
        </w:trPr>
        <w:tc>
          <w:tcPr>
            <w:tcW w:w="49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 ($ in thousands)</w:t>
            </w:r>
          </w:p>
        </w:tc>
        <w:tc>
          <w:tcPr>
            <w:tcW w:w="1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3"/>
        </w:trPr>
        <w:tc>
          <w:tcPr>
            <w:tcW w:w="49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Accommodation revenue </w:t>
            </w:r>
            <w:r>
              <w:rPr>
                <w:rFonts w:ascii="Times New Roman" w:cs="Times New Roman" w:eastAsia="Times New Roman" w:hAnsi="Times New Roman"/>
                <w:sz w:val="7"/>
                <w:szCs w:val="7"/>
                <w:color w:val="auto"/>
              </w:rPr>
              <w:t>(1)</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59,787</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64,228</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(4,441)</w:t>
            </w:r>
          </w:p>
        </w:tc>
      </w:tr>
      <w:tr>
        <w:trPr>
          <w:trHeight w:val="165"/>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Mobile facility rental revenue </w:t>
            </w:r>
            <w:r>
              <w:rPr>
                <w:rFonts w:ascii="Times New Roman" w:cs="Times New Roman" w:eastAsia="Times New Roman" w:hAnsi="Times New Roman"/>
                <w:sz w:val="7"/>
                <w:szCs w:val="7"/>
                <w:color w:val="auto"/>
              </w:rPr>
              <w:t>(2)</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20,031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(19,037)</w:t>
            </w:r>
          </w:p>
        </w:tc>
      </w:tr>
      <w:tr>
        <w:trPr>
          <w:trHeight w:val="153"/>
        </w:trPr>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 xml:space="preserve">Food service and other services revenue </w:t>
            </w:r>
            <w:r>
              <w:rPr>
                <w:rFonts w:ascii="Times New Roman" w:cs="Times New Roman" w:eastAsia="Times New Roman" w:hAnsi="Times New Roman"/>
                <w:sz w:val="7"/>
                <w:szCs w:val="7"/>
                <w:color w:val="auto"/>
              </w:rPr>
              <w:t>(3)</w:t>
            </w:r>
          </w:p>
        </w:tc>
        <w:tc>
          <w:tcPr>
            <w:tcW w:w="1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6,379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5,194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1,185</w:t>
            </w:r>
          </w:p>
        </w:tc>
      </w:tr>
      <w:tr>
        <w:trPr>
          <w:trHeight w:val="156"/>
        </w:trPr>
        <w:tc>
          <w:tcPr>
            <w:tcW w:w="4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revenues</w:t>
            </w:r>
          </w:p>
        </w:tc>
        <w:tc>
          <w:tcPr>
            <w:tcW w:w="116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67,160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89,453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(22,293)</w:t>
            </w:r>
          </w:p>
        </w:tc>
      </w:tr>
      <w:tr>
        <w:trPr>
          <w:trHeight w:val="117"/>
        </w:trPr>
        <w:tc>
          <w:tcPr>
            <w:tcW w:w="4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5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sales and services ($ in thousands)</w:t>
            </w:r>
          </w:p>
        </w:tc>
        <w:tc>
          <w:tcPr>
            <w:tcW w:w="1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3"/>
        </w:trPr>
        <w:tc>
          <w:tcPr>
            <w:tcW w:w="49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Accommodation cost</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45,720</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52,098</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(6,378)</w:t>
            </w:r>
          </w:p>
        </w:tc>
      </w:tr>
      <w:tr>
        <w:trPr>
          <w:trHeight w:val="165"/>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Mobile facility rental cost</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2,651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14,502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(11,851)</w:t>
            </w:r>
          </w:p>
        </w:tc>
      </w:tr>
      <w:tr>
        <w:trPr>
          <w:trHeight w:val="153"/>
        </w:trPr>
        <w:tc>
          <w:tcPr>
            <w:tcW w:w="49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Food service and other services cost</w:t>
            </w:r>
          </w:p>
        </w:tc>
        <w:tc>
          <w:tcPr>
            <w:tcW w:w="1160" w:type="dxa"/>
            <w:vAlign w:val="bottom"/>
          </w:tcPr>
          <w:p>
            <w:pPr>
              <w:spacing w:after="0"/>
              <w:rPr>
                <w:sz w:val="13"/>
                <w:szCs w:val="13"/>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6,140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4,774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1,366</w:t>
            </w:r>
          </w:p>
        </w:tc>
      </w:tr>
      <w:tr>
        <w:trPr>
          <w:trHeight w:val="165"/>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Indirect other costs</w:t>
            </w:r>
          </w:p>
        </w:tc>
        <w:tc>
          <w:tcPr>
            <w:tcW w:w="1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2,746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2,531</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215</w:t>
            </w:r>
          </w:p>
        </w:tc>
      </w:tr>
      <w:tr>
        <w:trPr>
          <w:trHeight w:val="144"/>
        </w:trPr>
        <w:tc>
          <w:tcPr>
            <w:tcW w:w="49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cost of sales and services</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57,257</w:t>
            </w:r>
          </w:p>
        </w:tc>
        <w:tc>
          <w:tcPr>
            <w:tcW w:w="10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73,905</w:t>
            </w:r>
          </w:p>
        </w:tc>
        <w:tc>
          <w:tcPr>
            <w:tcW w:w="80" w:type="dxa"/>
            <w:vAlign w:val="bottom"/>
          </w:tcPr>
          <w:p>
            <w:pPr>
              <w:spacing w:after="0"/>
              <w:rPr>
                <w:sz w:val="12"/>
                <w:szCs w:val="12"/>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(16,648)</w:t>
            </w:r>
          </w:p>
        </w:tc>
      </w:tr>
      <w:tr>
        <w:trPr>
          <w:trHeight w:val="123"/>
        </w:trPr>
        <w:tc>
          <w:tcPr>
            <w:tcW w:w="49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53"/>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Gross margin as a % of revenues</w:t>
            </w:r>
          </w:p>
        </w:tc>
        <w:tc>
          <w:tcPr>
            <w:tcW w:w="1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17.4 %</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23"/>
        </w:trPr>
        <w:tc>
          <w:tcPr>
            <w:tcW w:w="49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53"/>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Average daily rate for lodges </w:t>
            </w:r>
            <w:r>
              <w:rPr>
                <w:rFonts w:ascii="Times New Roman" w:cs="Times New Roman" w:eastAsia="Times New Roman" w:hAnsi="Times New Roman"/>
                <w:sz w:val="7"/>
                <w:szCs w:val="7"/>
                <w:color w:val="auto"/>
              </w:rPr>
              <w:t>(4)</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23"/>
        </w:trPr>
        <w:tc>
          <w:tcPr>
            <w:tcW w:w="49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53"/>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Total billed rooms for lodges </w:t>
            </w:r>
            <w:r>
              <w:rPr>
                <w:rFonts w:ascii="Times New Roman" w:cs="Times New Roman" w:eastAsia="Times New Roman" w:hAnsi="Times New Roman"/>
                <w:sz w:val="7"/>
                <w:szCs w:val="7"/>
                <w:color w:val="auto"/>
              </w:rPr>
              <w:t>(5)</w:t>
            </w:r>
          </w:p>
        </w:tc>
        <w:tc>
          <w:tcPr>
            <w:tcW w:w="1160" w:type="dxa"/>
            <w:vAlign w:val="bottom"/>
          </w:tcPr>
          <w:p>
            <w:pPr>
              <w:spacing w:after="0"/>
              <w:rPr>
                <w:sz w:val="13"/>
                <w:szCs w:val="13"/>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610,032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642,796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(32,764)</w:t>
            </w:r>
          </w:p>
        </w:tc>
      </w:tr>
      <w:tr>
        <w:trPr>
          <w:trHeight w:val="123"/>
        </w:trPr>
        <w:tc>
          <w:tcPr>
            <w:tcW w:w="49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47"/>
        </w:trPr>
        <w:tc>
          <w:tcPr>
            <w:tcW w:w="4900" w:type="dxa"/>
            <w:vAlign w:val="bottom"/>
          </w:tcPr>
          <w:p>
            <w:pPr>
              <w:spacing w:after="0"/>
              <w:rPr>
                <w:sz w:val="20"/>
                <w:szCs w:val="20"/>
                <w:color w:val="auto"/>
              </w:rPr>
            </w:pPr>
            <w:r>
              <w:rPr>
                <w:rFonts w:ascii="Times New Roman" w:cs="Times New Roman" w:eastAsia="Times New Roman" w:hAnsi="Times New Roman"/>
                <w:sz w:val="11"/>
                <w:szCs w:val="11"/>
                <w:color w:val="auto"/>
              </w:rPr>
              <w:t>Average Canadian dollar to U.S. dollar</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0.741</w:t>
            </w:r>
          </w:p>
        </w:tc>
        <w:tc>
          <w:tcPr>
            <w:tcW w:w="10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0.740</w:t>
            </w:r>
          </w:p>
        </w:tc>
        <w:tc>
          <w:tcPr>
            <w:tcW w:w="80" w:type="dxa"/>
            <w:vAlign w:val="bottom"/>
          </w:tcPr>
          <w:p>
            <w:pPr>
              <w:spacing w:after="0"/>
              <w:rPr>
                <w:sz w:val="12"/>
                <w:szCs w:val="12"/>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0.002</w:t>
            </w:r>
          </w:p>
        </w:tc>
      </w:tr>
    </w:tbl>
    <w:p>
      <w:pPr>
        <w:spacing w:after="0" w:line="240" w:lineRule="exact"/>
        <w:rPr>
          <w:sz w:val="20"/>
          <w:szCs w:val="20"/>
          <w:color w:val="auto"/>
        </w:rPr>
      </w:pPr>
    </w:p>
    <w:p>
      <w:pPr>
        <w:ind w:left="240" w:hanging="235"/>
        <w:spacing w:after="0"/>
        <w:tabs>
          <w:tab w:leader="none" w:pos="2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revenues related to mobile assets for the periods presented.</w:t>
      </w:r>
    </w:p>
    <w:p>
      <w:pPr>
        <w:spacing w:after="0" w:line="2"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revenues related to food services, laundry and water and wastewater treatment services for the periods presented.</w:t>
      </w:r>
    </w:p>
    <w:p>
      <w:pPr>
        <w:spacing w:after="0" w:line="2"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Average daily rate is based on billed rooms and accommodation revenue.</w:t>
      </w:r>
    </w:p>
    <w:p>
      <w:pPr>
        <w:spacing w:after="0" w:line="2"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Billed rooms represents total billed days for owned assets for the periods presented.</w:t>
      </w:r>
    </w:p>
    <w:p>
      <w:pPr>
        <w:spacing w:after="0" w:line="17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Canadian segment reported revenues in the first quarter of 2024 that were $22.3 million, or 25%, lower than the first quarter of 2023. The revenue decrease was driven by reduced mobile asset activity from pipeline projects which were largely completed in 2023 and lower billed rooms at our lodges.</w:t>
      </w:r>
    </w:p>
    <w:p>
      <w:pPr>
        <w:spacing w:after="0" w:line="14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Canadian segment cost of sales and services decreased $16.6 million, or 23%, in the first quarter of 2024 compared to the first quarter of 2023. The decrease in cost of sales and services was driven by lower costs related to reduced mobile asset activity from pipeline projects which were largely completed in 2023 and reduced activity at certain lodges.</w:t>
      </w:r>
    </w:p>
    <w:p>
      <w:pPr>
        <w:spacing w:after="0" w:line="14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Canadian segment gross margin as a percentage of revenues decreased from 17.4% in the first quarter of 2023 to 14.7% in the first quarter of 2024. This was primarily driven by reduced mobile asset activity from pipeline projects which were largely completed in 2023 and mobile camp demobilization costs of approximately $1.8 million which were incurred in the first quarter of 2024, partially offset by improved margins at our lodges due to improved efficiencies.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Results of Operations – Australian Segment</w:t>
      </w:r>
    </w:p>
    <w:p>
      <w:pPr>
        <w:spacing w:after="0" w:line="26"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4"/>
        </w:trPr>
        <w:tc>
          <w:tcPr>
            <w:tcW w:w="47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0"/>
        </w:trPr>
        <w:tc>
          <w:tcPr>
            <w:tcW w:w="47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 ($ in thousands)</w:t>
            </w:r>
          </w:p>
        </w:tc>
        <w:tc>
          <w:tcPr>
            <w:tcW w:w="1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59"/>
        </w:trPr>
        <w:tc>
          <w:tcPr>
            <w:tcW w:w="47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Accommodation revenue </w:t>
            </w:r>
            <w:r>
              <w:rPr>
                <w:rFonts w:ascii="Times New Roman" w:cs="Times New Roman" w:eastAsia="Times New Roman" w:hAnsi="Times New Roman"/>
                <w:sz w:val="14"/>
                <w:szCs w:val="14"/>
                <w:color w:val="auto"/>
                <w:vertAlign w:val="superscript"/>
              </w:rPr>
              <w:t>(1)</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47,107</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40,599</w:t>
            </w:r>
          </w:p>
        </w:tc>
        <w:tc>
          <w:tcPr>
            <w:tcW w:w="100" w:type="dxa"/>
            <w:vAlign w:val="bottom"/>
          </w:tcPr>
          <w:p>
            <w:pPr>
              <w:spacing w:after="0"/>
              <w:rPr>
                <w:sz w:val="13"/>
                <w:szCs w:val="13"/>
                <w:color w:val="auto"/>
              </w:rPr>
            </w:pPr>
          </w:p>
        </w:tc>
        <w:tc>
          <w:tcPr>
            <w:tcW w:w="40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6,508</w:t>
            </w:r>
          </w:p>
        </w:tc>
      </w:tr>
      <w:tr>
        <w:trPr>
          <w:trHeight w:val="159"/>
        </w:trPr>
        <w:tc>
          <w:tcPr>
            <w:tcW w:w="47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Food service and other services revenue </w:t>
            </w:r>
            <w:r>
              <w:rPr>
                <w:rFonts w:ascii="Times New Roman" w:cs="Times New Roman" w:eastAsia="Times New Roman" w:hAnsi="Times New Roman"/>
                <w:sz w:val="14"/>
                <w:szCs w:val="14"/>
                <w:color w:val="auto"/>
                <w:vertAlign w:val="superscript"/>
              </w:rPr>
              <w:t>(2)</w:t>
            </w:r>
          </w:p>
        </w:tc>
        <w:tc>
          <w:tcPr>
            <w:tcW w:w="1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44,630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36,390</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8,240</w:t>
            </w:r>
          </w:p>
        </w:tc>
      </w:tr>
      <w:tr>
        <w:trPr>
          <w:trHeight w:val="144"/>
        </w:trPr>
        <w:tc>
          <w:tcPr>
            <w:tcW w:w="47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revenues</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91,737</w:t>
            </w:r>
          </w:p>
        </w:tc>
        <w:tc>
          <w:tcPr>
            <w:tcW w:w="10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76,989</w:t>
            </w:r>
          </w:p>
        </w:tc>
        <w:tc>
          <w:tcPr>
            <w:tcW w:w="100" w:type="dxa"/>
            <w:vAlign w:val="bottom"/>
          </w:tcPr>
          <w:p>
            <w:pPr>
              <w:spacing w:after="0"/>
              <w:rPr>
                <w:sz w:val="12"/>
                <w:szCs w:val="12"/>
                <w:color w:val="auto"/>
              </w:rPr>
            </w:pPr>
          </w:p>
        </w:tc>
        <w:tc>
          <w:tcPr>
            <w:tcW w:w="40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14,748</w:t>
            </w:r>
          </w:p>
        </w:tc>
      </w:tr>
      <w:tr>
        <w:trPr>
          <w:trHeight w:val="176"/>
        </w:trPr>
        <w:tc>
          <w:tcPr>
            <w:tcW w:w="47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53"/>
        </w:trPr>
        <w:tc>
          <w:tcPr>
            <w:tcW w:w="4780" w:type="dxa"/>
            <w:vAlign w:val="bottom"/>
          </w:tcPr>
          <w:p>
            <w:pPr>
              <w:spacing w:after="0"/>
              <w:rPr>
                <w:sz w:val="20"/>
                <w:szCs w:val="20"/>
                <w:color w:val="auto"/>
              </w:rPr>
            </w:pPr>
            <w:r>
              <w:rPr>
                <w:rFonts w:ascii="Times New Roman" w:cs="Times New Roman" w:eastAsia="Times New Roman" w:hAnsi="Times New Roman"/>
                <w:sz w:val="11"/>
                <w:szCs w:val="11"/>
                <w:color w:val="auto"/>
              </w:rPr>
              <w:t>Cost of sales and services ($ in thousands)</w:t>
            </w: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5"/>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Accommodation cost</w:t>
            </w:r>
          </w:p>
        </w:tc>
        <w:tc>
          <w:tcPr>
            <w:tcW w:w="116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22,594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20,318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2,276</w:t>
            </w:r>
          </w:p>
        </w:tc>
      </w:tr>
      <w:tr>
        <w:trPr>
          <w:trHeight w:val="153"/>
        </w:trPr>
        <w:tc>
          <w:tcPr>
            <w:tcW w:w="4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Food service and other services cost</w:t>
            </w:r>
          </w:p>
        </w:tc>
        <w:tc>
          <w:tcPr>
            <w:tcW w:w="1160" w:type="dxa"/>
            <w:vAlign w:val="bottom"/>
          </w:tcPr>
          <w:p>
            <w:pPr>
              <w:spacing w:after="0"/>
              <w:rPr>
                <w:sz w:val="13"/>
                <w:szCs w:val="13"/>
                <w:color w:val="auto"/>
              </w:rPr>
            </w:pP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40,904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35,862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5,042</w:t>
            </w:r>
          </w:p>
        </w:tc>
      </w:tr>
      <w:tr>
        <w:trPr>
          <w:trHeight w:val="165"/>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Indirect other cost</w:t>
            </w:r>
          </w:p>
        </w:tc>
        <w:tc>
          <w:tcPr>
            <w:tcW w:w="1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2,615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2,128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487</w:t>
            </w:r>
          </w:p>
        </w:tc>
      </w:tr>
      <w:tr>
        <w:trPr>
          <w:trHeight w:val="144"/>
        </w:trPr>
        <w:tc>
          <w:tcPr>
            <w:tcW w:w="47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cost of sales and services</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66,113</w:t>
            </w:r>
          </w:p>
        </w:tc>
        <w:tc>
          <w:tcPr>
            <w:tcW w:w="10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58,308</w:t>
            </w:r>
          </w:p>
        </w:tc>
        <w:tc>
          <w:tcPr>
            <w:tcW w:w="100" w:type="dxa"/>
            <w:vAlign w:val="bottom"/>
          </w:tcPr>
          <w:p>
            <w:pPr>
              <w:spacing w:after="0"/>
              <w:rPr>
                <w:sz w:val="12"/>
                <w:szCs w:val="12"/>
                <w:color w:val="auto"/>
              </w:rPr>
            </w:pPr>
          </w:p>
        </w:tc>
        <w:tc>
          <w:tcPr>
            <w:tcW w:w="40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7,805</w:t>
            </w:r>
          </w:p>
        </w:tc>
      </w:tr>
      <w:tr>
        <w:trPr>
          <w:trHeight w:val="176"/>
        </w:trPr>
        <w:tc>
          <w:tcPr>
            <w:tcW w:w="47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53"/>
        </w:trPr>
        <w:tc>
          <w:tcPr>
            <w:tcW w:w="4780" w:type="dxa"/>
            <w:vAlign w:val="bottom"/>
          </w:tcPr>
          <w:p>
            <w:pPr>
              <w:spacing w:after="0"/>
              <w:rPr>
                <w:sz w:val="20"/>
                <w:szCs w:val="20"/>
                <w:color w:val="auto"/>
              </w:rPr>
            </w:pPr>
            <w:r>
              <w:rPr>
                <w:rFonts w:ascii="Times New Roman" w:cs="Times New Roman" w:eastAsia="Times New Roman" w:hAnsi="Times New Roman"/>
                <w:sz w:val="11"/>
                <w:szCs w:val="11"/>
                <w:color w:val="auto"/>
              </w:rPr>
              <w:t>Gross margin as a % of revenues</w:t>
            </w:r>
          </w:p>
        </w:tc>
        <w:tc>
          <w:tcPr>
            <w:tcW w:w="1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3.7 %</w:t>
            </w:r>
          </w:p>
        </w:tc>
      </w:tr>
      <w:tr>
        <w:trPr>
          <w:trHeight w:val="176"/>
        </w:trPr>
        <w:tc>
          <w:tcPr>
            <w:tcW w:w="47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59"/>
        </w:trPr>
        <w:tc>
          <w:tcPr>
            <w:tcW w:w="4780" w:type="dxa"/>
            <w:vAlign w:val="bottom"/>
          </w:tcPr>
          <w:p>
            <w:pPr>
              <w:spacing w:after="0" w:line="159" w:lineRule="exact"/>
              <w:rPr>
                <w:sz w:val="20"/>
                <w:szCs w:val="20"/>
                <w:color w:val="auto"/>
              </w:rPr>
            </w:pPr>
            <w:r>
              <w:rPr>
                <w:rFonts w:ascii="Times New Roman" w:cs="Times New Roman" w:eastAsia="Times New Roman" w:hAnsi="Times New Roman"/>
                <w:sz w:val="11"/>
                <w:szCs w:val="11"/>
                <w:color w:val="auto"/>
              </w:rPr>
              <w:t xml:space="preserve">Average daily rate for villages </w:t>
            </w:r>
            <w:r>
              <w:rPr>
                <w:rFonts w:ascii="Times New Roman" w:cs="Times New Roman" w:eastAsia="Times New Roman" w:hAnsi="Times New Roman"/>
                <w:sz w:val="14"/>
                <w:szCs w:val="14"/>
                <w:color w:val="auto"/>
                <w:vertAlign w:val="superscript"/>
              </w:rPr>
              <w:t>(3)</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40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r>
      <w:tr>
        <w:trPr>
          <w:trHeight w:val="170"/>
        </w:trPr>
        <w:tc>
          <w:tcPr>
            <w:tcW w:w="47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59"/>
        </w:trPr>
        <w:tc>
          <w:tcPr>
            <w:tcW w:w="4780" w:type="dxa"/>
            <w:vAlign w:val="bottom"/>
          </w:tcPr>
          <w:p>
            <w:pPr>
              <w:spacing w:after="0" w:line="159" w:lineRule="exact"/>
              <w:rPr>
                <w:sz w:val="20"/>
                <w:szCs w:val="20"/>
                <w:color w:val="auto"/>
              </w:rPr>
            </w:pPr>
            <w:r>
              <w:rPr>
                <w:rFonts w:ascii="Times New Roman" w:cs="Times New Roman" w:eastAsia="Times New Roman" w:hAnsi="Times New Roman"/>
                <w:sz w:val="11"/>
                <w:szCs w:val="11"/>
                <w:color w:val="auto"/>
              </w:rPr>
              <w:t xml:space="preserve">Total billed rooms for villages </w:t>
            </w:r>
            <w:r>
              <w:rPr>
                <w:rFonts w:ascii="Times New Roman" w:cs="Times New Roman" w:eastAsia="Times New Roman" w:hAnsi="Times New Roman"/>
                <w:sz w:val="14"/>
                <w:szCs w:val="14"/>
                <w:color w:val="auto"/>
                <w:vertAlign w:val="superscript"/>
              </w:rPr>
              <w:t>(4)</w:t>
            </w:r>
          </w:p>
        </w:tc>
        <w:tc>
          <w:tcPr>
            <w:tcW w:w="1160" w:type="dxa"/>
            <w:vAlign w:val="bottom"/>
          </w:tcPr>
          <w:p>
            <w:pPr>
              <w:spacing w:after="0"/>
              <w:rPr>
                <w:sz w:val="13"/>
                <w:szCs w:val="13"/>
                <w:color w:val="auto"/>
              </w:rPr>
            </w:pP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613,936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522,713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91,223</w:t>
            </w:r>
          </w:p>
        </w:tc>
      </w:tr>
      <w:tr>
        <w:trPr>
          <w:trHeight w:val="170"/>
        </w:trPr>
        <w:tc>
          <w:tcPr>
            <w:tcW w:w="47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47"/>
        </w:trPr>
        <w:tc>
          <w:tcPr>
            <w:tcW w:w="4780" w:type="dxa"/>
            <w:vAlign w:val="bottom"/>
          </w:tcPr>
          <w:p>
            <w:pPr>
              <w:spacing w:after="0"/>
              <w:rPr>
                <w:sz w:val="20"/>
                <w:szCs w:val="20"/>
                <w:color w:val="auto"/>
              </w:rPr>
            </w:pPr>
            <w:r>
              <w:rPr>
                <w:rFonts w:ascii="Times New Roman" w:cs="Times New Roman" w:eastAsia="Times New Roman" w:hAnsi="Times New Roman"/>
                <w:sz w:val="11"/>
                <w:szCs w:val="11"/>
                <w:color w:val="auto"/>
              </w:rPr>
              <w:t>Average Australian dollar to U.S. dollar</w:t>
            </w:r>
          </w:p>
        </w:tc>
        <w:tc>
          <w:tcPr>
            <w:tcW w:w="1160" w:type="dxa"/>
            <w:vAlign w:val="bottom"/>
          </w:tcPr>
          <w:p>
            <w:pPr>
              <w:jc w:val="right"/>
              <w:ind w:right="10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0.657</w:t>
            </w:r>
          </w:p>
        </w:tc>
        <w:tc>
          <w:tcPr>
            <w:tcW w:w="10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0.684</w:t>
            </w:r>
          </w:p>
        </w:tc>
        <w:tc>
          <w:tcPr>
            <w:tcW w:w="100" w:type="dxa"/>
            <w:vAlign w:val="bottom"/>
          </w:tcPr>
          <w:p>
            <w:pPr>
              <w:spacing w:after="0"/>
              <w:rPr>
                <w:sz w:val="12"/>
                <w:szCs w:val="12"/>
                <w:color w:val="auto"/>
              </w:rPr>
            </w:pPr>
          </w:p>
        </w:tc>
        <w:tc>
          <w:tcPr>
            <w:tcW w:w="40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(0.027)</w:t>
            </w:r>
          </w:p>
        </w:tc>
      </w:tr>
    </w:tbl>
    <w:p>
      <w:pPr>
        <w:spacing w:after="0" w:line="200" w:lineRule="exact"/>
        <w:rPr>
          <w:sz w:val="20"/>
          <w:szCs w:val="20"/>
          <w:color w:val="auto"/>
        </w:rPr>
      </w:pPr>
    </w:p>
    <w:p>
      <w:pPr>
        <w:spacing w:after="0" w:line="220" w:lineRule="exact"/>
        <w:rPr>
          <w:sz w:val="20"/>
          <w:szCs w:val="20"/>
          <w:color w:val="auto"/>
        </w:rPr>
      </w:pPr>
    </w:p>
    <w:p>
      <w:pPr>
        <w:ind w:left="240" w:hanging="235"/>
        <w:spacing w:after="0"/>
        <w:tabs>
          <w:tab w:leader="none" w:pos="2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revenues related to food services and other services, including facilities management for the periods presented.</w:t>
      </w:r>
    </w:p>
    <w:p>
      <w:pPr>
        <w:spacing w:after="0" w:line="2"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Average daily rate is based on billed rooms and accommodation revenue.</w:t>
      </w:r>
    </w:p>
    <w:p>
      <w:pPr>
        <w:spacing w:after="0" w:line="2" w:lineRule="exact"/>
        <w:rPr>
          <w:rFonts w:ascii="Times New Roman" w:cs="Times New Roman" w:eastAsia="Times New Roman" w:hAnsi="Times New Roman"/>
          <w:sz w:val="18"/>
          <w:szCs w:val="18"/>
          <w:color w:val="auto"/>
          <w:vertAlign w:val="superscript"/>
        </w:rPr>
      </w:pPr>
    </w:p>
    <w:p>
      <w:pPr>
        <w:ind w:left="240" w:hanging="235"/>
        <w:spacing w:after="0" w:line="194" w:lineRule="auto"/>
        <w:tabs>
          <w:tab w:leader="none" w:pos="2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Billed rooms represent total billed days for owned assets for the periods presented.</w:t>
      </w:r>
    </w:p>
    <w:p>
      <w:pPr>
        <w:spacing w:after="0" w:line="17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Australian segment reported revenues in the first quarter of 2024 that were $14.7 million, or 19%, higher than the first quarter of 2023. The weakening of the average exchange rate for Australian dollars relative to the U.S. dollar by 3.9% in the first quarter of 2024 compared to the first quarter of 2023 resulted in a $3.7 million period-over-period decrease in revenues. On a constant currency basis, the Australian segment experienced a 24% period-over-period increase in revenues. Excluding the impact of the weaker Australian exchange rate, the increase in the Australian segment was driven by increased activity at our Civeo owned villages in the Bowen Basin and our integrated services villages in Western Australia.</w:t>
      </w:r>
    </w:p>
    <w:p>
      <w:pPr>
        <w:spacing w:after="0" w:line="1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Australian segment cost of sales and services increased $7.8 million, or 13%, in the first quarter of 2024 compared to the first quarter of 2023. The weakening of the average exchange rate for Australian dollars relative to the U.S. dollar by 3.9% in the first quarter of 2024 compared to the first quarter of 2023 resulted in a $2.6 million period-over-period decrease in cost of sales and services. Excluding the impact of the weaker Australian exchange rate, the increase in cost of sales and services was largely driven by increased occupancy at our Bowen Basin owned villages and integrated services villages in Western Australia.</w:t>
      </w:r>
    </w:p>
    <w:p>
      <w:pPr>
        <w:spacing w:after="0" w:line="1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Australian segment gross margin as a percentage of revenues increased to 27.9% in the first quarter of 2024 from 24.3% in the first quarter of 2023. This was primarily driven by an increased relative gross margin contribution from our Bowen Basin accommodation business which generates higher overall gross margins than our integrated services business, which has a service-only business model.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25" w:name="page26"/>
    <w:bookmarkEnd w:id="25"/>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primary liquidity needs are to fund capital expenditures, which in the past have included expanding and improving our hospitality services, developing new lodges and villages and purchasing or leasing land, to pay dividends, to repurchase common shares and for general working capital needs. In addition, capital has been used to repay debt and fund strategic business acquisitions. Historically, our primary sources of funds have been available cash, cash flow from operations, borrowings under our Credit Agreement and proceeds from equity issuances. In the future, capital may be required to move lodges from one site to another, and we may seek to access the debt and equity capital markets from time to time to raise additional capital, increase liquidity, fund acquisitions or refinance debt.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consolidated liquidity position as of March 31, 2024 and December 31, 2023 (in thousands):</w:t>
      </w:r>
    </w:p>
    <w:p>
      <w:pPr>
        <w:spacing w:after="0" w:line="36" w:lineRule="exact"/>
        <w:rPr>
          <w:sz w:val="20"/>
          <w:szCs w:val="20"/>
          <w:color w:val="auto"/>
        </w:rPr>
      </w:pPr>
    </w:p>
    <w:tbl>
      <w:tblPr>
        <w:tblLayout w:type="fixed"/>
        <w:tblInd w:w="440" w:type="dxa"/>
        <w:tblCellMar>
          <w:top w:w="0" w:type="dxa"/>
          <w:left w:w="0" w:type="dxa"/>
          <w:bottom w:w="0" w:type="dxa"/>
          <w:right w:w="0" w:type="dxa"/>
        </w:tblCellMar>
      </w:tblPr>
      <w:tr>
        <w:trPr>
          <w:trHeight w:val="158"/>
        </w:trPr>
        <w:tc>
          <w:tcPr>
            <w:tcW w:w="71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Lender commitments</w:t>
            </w:r>
          </w:p>
        </w:tc>
        <w:tc>
          <w:tcPr>
            <w:tcW w:w="130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200,000</w:t>
            </w:r>
          </w:p>
        </w:tc>
      </w:tr>
      <w:tr>
        <w:trPr>
          <w:trHeight w:val="153"/>
        </w:trPr>
        <w:tc>
          <w:tcPr>
            <w:tcW w:w="7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Borrowings against revolving credit capacity</w:t>
            </w:r>
          </w:p>
        </w:tc>
        <w:tc>
          <w:tcPr>
            <w:tcW w:w="1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(78,597)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(65,554)</w:t>
            </w:r>
          </w:p>
        </w:tc>
      </w:tr>
      <w:tr>
        <w:trPr>
          <w:trHeight w:val="165"/>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Outstanding letters of credit</w:t>
            </w:r>
          </w:p>
        </w:tc>
        <w:tc>
          <w:tcPr>
            <w:tcW w:w="1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(1,353)</w:t>
            </w:r>
          </w:p>
        </w:tc>
      </w:tr>
      <w:tr>
        <w:trPr>
          <w:trHeight w:val="14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Unused availability</w:t>
            </w:r>
          </w:p>
        </w:tc>
        <w:tc>
          <w:tcPr>
            <w:tcW w:w="13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120,075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133,093</w:t>
            </w:r>
          </w:p>
        </w:tc>
      </w:tr>
      <w:tr>
        <w:trPr>
          <w:trHeight w:val="15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3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16,752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3,323</w:t>
            </w:r>
          </w:p>
        </w:tc>
      </w:tr>
      <w:tr>
        <w:trPr>
          <w:trHeight w:val="156"/>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available liquidity</w:t>
            </w:r>
          </w:p>
        </w:tc>
        <w:tc>
          <w:tcPr>
            <w:tcW w:w="1300" w:type="dxa"/>
            <w:vAlign w:val="bottom"/>
            <w:tcBorders>
              <w:bottom w:val="single" w:sz="8" w:color="auto"/>
            </w:tcBorders>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136,827</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136,416</w:t>
            </w: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Cash totaling $6.0 million was provided by operations during the three months ended March 31, 2024, compared to $0.4 million provided by operations during the three months ended March 31, 2023. During the three months ended March 31, 2024 and 2023, $6.4 million and $15.6 million was used in working capital, respectively. The year-over-year decrease in cash used in working capital in 2024 compared to 2023 is largely due to the timing of collections of accounts receivable and the timing of payments and accrued liabilities during the three months ended March 31, 2024 compared to the three months ended March 31, 2023.</w:t>
      </w:r>
    </w:p>
    <w:p>
      <w:pPr>
        <w:spacing w:after="0" w:line="1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Cash was provided by investing activities during the three months ended March 31, 2024 in the amount of $1.2 million, compared to cash used in investing activities during the three months ended March 31, 2023 in the amount of $2.5 million. The increase in cash provided by investing activities was primarily due to higher proceeds from the sale of property, plant and equipment. We received net proceeds from the sale of property, plant and equipment of $6.8 million during the three months ended March 31, 2024 related to the sale of our McClelland Lake Lodge accommodation assets in Canada, compared to $2.3 million during the three months ended March 31, 2023 primarily related to the sale of our Acadian Acres accommodation assets in the U.S. Capital expenditures totaled $5.6 million and $4.8 million during the three months ended March 31, 2024 and 2023, respectively. Capital expenditures in both periods were primarily related to maintenance. In addition, our 2024 capital expenditures included approximately $2.4 million related to customer-funded infrastructure upgrades in Australia.</w:t>
      </w:r>
    </w:p>
    <w:p>
      <w:pPr>
        <w:spacing w:after="0" w:line="16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expect our capital expenditures for 2024 to be in the range of $30 million to $35 million, which excludes any unannounced and uncommitted projects, the spending for which is contingent on obtaining customer contracts or commitments. Whether planned expenditures will actually be spent in 2024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and the resultant impact on the capital spending plans of our customers in order to plan our business activities, and we may adjust our capital expenditure plans in the future.</w:t>
      </w:r>
    </w:p>
    <w:p>
      <w:pPr>
        <w:spacing w:after="0" w:line="14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Net cash of $6.6 million was provided by financing activities during the three months ended March 31, 2024 primarily due to net borrowings under our revolving credit facilities of $14.6 million, partially offset by dividend payments of $3.7 million, repurchases of our common shares of $3.2 million and payments to settle tax obligations on vested shares under our share-based compensation plans of $1.1 million. Net cash of $6.6 million was provided by financing activities during the three months ended March 31, 2023 primarily due to net borrowings under our revolving credit facilities of $17.7 million, partially offset by term loan repayments of $7.4 million and repurchases of our common shares of $3.8 million.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6" w:name="page27"/>
    <w:bookmarkEnd w:id="26"/>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debt outstanding during the three months ended March 31, 2024 (in thousands):</w:t>
      </w:r>
    </w:p>
    <w:p>
      <w:pPr>
        <w:sectPr>
          <w:pgSz w:w="11900" w:h="16838" w:orient="portrait"/>
          <w:cols w:equalWidth="0" w:num="1">
            <w:col w:w="11280"/>
          </w:cols>
          <w:pgMar w:left="300" w:top="1440" w:right="319" w:bottom="1440" w:gutter="0" w:footer="0" w:header="0"/>
        </w:sectPr>
      </w:pPr>
    </w:p>
    <w:p>
      <w:pPr>
        <w:spacing w:after="0" w:line="27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1"/>
          <w:szCs w:val="11"/>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-75565</wp:posOffset>
            </wp:positionV>
            <wp:extent cx="4035425" cy="1009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35425" cy="100965"/>
                    </a:xfrm>
                    <a:prstGeom prst="rect">
                      <a:avLst/>
                    </a:prstGeom>
                    <a:noFill/>
                  </pic:spPr>
                </pic:pic>
              </a:graphicData>
            </a:graphic>
          </wp:anchor>
        </w:drawing>
      </w:r>
    </w:p>
    <w:p>
      <w:pPr>
        <w:spacing w:after="0" w:line="1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1"/>
          <w:szCs w:val="11"/>
          <w:color w:val="auto"/>
        </w:rPr>
        <w:t>Borrowings under revolving credit facilities</w:t>
      </w:r>
    </w:p>
    <w:p>
      <w:pPr>
        <w:spacing w:after="0" w:line="3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1"/>
          <w:szCs w:val="11"/>
          <w:color w:val="auto"/>
        </w:rPr>
        <w:t>Repayments of borrowings under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-75565</wp:posOffset>
            </wp:positionV>
            <wp:extent cx="4035425" cy="1009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35425" cy="100965"/>
                    </a:xfrm>
                    <a:prstGeom prst="rect">
                      <a:avLst/>
                    </a:prstGeom>
                    <a:noFill/>
                  </pic:spPr>
                </pic:pic>
              </a:graphicData>
            </a:graphic>
          </wp:anchor>
        </w:drawing>
      </w:r>
    </w:p>
    <w:p>
      <w:pPr>
        <w:spacing w:after="0" w:line="1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1"/>
          <w:szCs w:val="11"/>
          <w:color w:val="auto"/>
        </w:rPr>
        <w:t>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24765</wp:posOffset>
            </wp:positionV>
            <wp:extent cx="4035425" cy="121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35425" cy="121285"/>
                    </a:xfrm>
                    <a:prstGeom prst="rect">
                      <a:avLst/>
                    </a:prstGeom>
                    <a:noFill/>
                  </pic:spPr>
                </pic:pic>
              </a:graphicData>
            </a:graphic>
          </wp:anchor>
        </w:drawing>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1"/>
          <w:szCs w:val="11"/>
          <w:color w:val="auto"/>
        </w:rPr>
        <w:t>Balance at March 31, 2024</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982" w:hanging="982"/>
        <w:spacing w:after="0"/>
        <w:tabs>
          <w:tab w:leader="none" w:pos="982"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65,554</w:t>
      </w:r>
    </w:p>
    <w:p>
      <w:pPr>
        <w:spacing w:after="0" w:line="32" w:lineRule="exact"/>
        <w:rPr>
          <w:rFonts w:ascii="Times New Roman" w:cs="Times New Roman" w:eastAsia="Times New Roman" w:hAnsi="Times New Roman"/>
          <w:sz w:val="11"/>
          <w:szCs w:val="11"/>
          <w:color w:val="auto"/>
        </w:rPr>
      </w:pPr>
    </w:p>
    <w:p>
      <w:pPr>
        <w:ind w:left="982"/>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81,073</w:t>
      </w:r>
    </w:p>
    <w:p>
      <w:pPr>
        <w:spacing w:after="0" w:line="33"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1"/>
          <w:szCs w:val="11"/>
          <w:color w:val="auto"/>
        </w:rPr>
        <w:t>(66,477)</w:t>
      </w:r>
    </w:p>
    <w:p>
      <w:pPr>
        <w:spacing w:after="0" w:line="33"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1"/>
          <w:szCs w:val="11"/>
          <w:color w:val="auto"/>
        </w:rPr>
        <w:t>(1,553)</w:t>
      </w:r>
    </w:p>
    <w:p>
      <w:pPr>
        <w:spacing w:after="0" w:line="43" w:lineRule="exact"/>
        <w:rPr>
          <w:sz w:val="20"/>
          <w:szCs w:val="20"/>
          <w:color w:val="auto"/>
        </w:rPr>
      </w:pPr>
    </w:p>
    <w:p>
      <w:pPr>
        <w:ind w:left="982" w:hanging="982"/>
        <w:spacing w:after="0"/>
        <w:tabs>
          <w:tab w:leader="none" w:pos="982"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78,597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45085</wp:posOffset>
            </wp:positionV>
            <wp:extent cx="8623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233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6758" w:space="720"/>
            <w:col w:w="3802"/>
          </w:cols>
          <w:pgMar w:left="300" w:top="1440" w:right="319" w:bottom="1440" w:gutter="0" w:footer="0" w:header="0"/>
          <w:type w:val="continuous"/>
        </w:sectPr>
      </w:pPr>
    </w:p>
    <w:p>
      <w:pPr>
        <w:spacing w:after="0" w:line="9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17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August 2023, our Board of Directors (Board) authorized a common share repurchase program to repurchase up to 5.0% of our total common shares which are issued and outstanding, or 742,134 common shares, over a twelve month period. In addition, our Board declared a quarterly dividend on February 2, 2024 of $0.25 per common share to shareholders of record as of close of business on February 26, 2024. The total cash payment of $3.7 million was paid on March 18, 2024. The dividend is an eligible dividend pursuant to the Income Tax Act (Canada). See Note 12 – Share Repurchase Programs and Dividends to the notes to the unaudited consolidated financial statements included in Item 1 of this quarterly report for further discussion.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Agreement</w:t>
      </w:r>
    </w:p>
    <w:p>
      <w:pPr>
        <w:spacing w:after="0" w:line="20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of March 31, 2024, our Credit Agreement (as then amended to date, the Credit Agreement) provided for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 C$100.0 million term loan facility provided under the Credit Agreement was fully repaid on December 31, 2023.</w:t>
      </w:r>
    </w:p>
    <w:p>
      <w:pPr>
        <w:spacing w:after="0" w:line="1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March 31, 2024, we had outstanding letters of credit of $0.3 million under the U.S. facility, zero under the Australian facility and $1.1 million under the Canadian facility. We also had outstanding bank guarantees of A$0.8 million under the Australian facility.</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8 – Debt to the notes to the unaudited consolidated financial statements included in Item 1 of this quarterly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02"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intend to pay regular quarterly dividends on our common shares, with all future dividend payments subject to quarterly review and approval by our Board. 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The amount per share of our dividend payments may be changed, or dividends may be suspended, without advance notice. The likelihood that dividends will be reduced or suspended is increased during periods of market weakness. There can be no assurance that we will continue to pay a dividend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8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2023.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principal market risks are our exposure to changes in interest rates and foreign currency exchange 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8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credit facilities that are subject to the risk of higher interest charges associated with increases in interest rates. As of March 31, 2024, we had $78.6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$0.8 million annually, based on our floating-rate debt obligations and interest rates in effect as of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18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C$206 million and A$207 million, respectively, at March 31, 2024. We use a sensitivity analysis model to measure the impact of a 10% adverse movement of foreign currency exchange rates against the U.S. dollar. A hypothetical 10% adverse change in the value of the Canadian dollar and Australian dollar relative to the U.S. dollar as of March 31, 2024 would result in translation adjustments of approximately $21 million and $21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Interim Chief Financial Officer, as appropriate, to allow timely decisions regarding required disclosure and is recorded, processed, summarized and reported within the time periods specified in the rules and forms of the SEC. Based upon that evaluation, our Chief Executive Officer and Interim Chief Financial Officer concluded that our disclosure controls and procedures were effective as of March 31, 2024, at the reasonable assurance level.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29" w:name="page30"/>
    <w:bookmarkEnd w:id="29"/>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Legal Proceedings</w:t>
      </w:r>
    </w:p>
    <w:p>
      <w:pPr>
        <w:spacing w:after="0" w:line="181" w:lineRule="exact"/>
        <w:rPr>
          <w:sz w:val="20"/>
          <w:szCs w:val="20"/>
          <w:color w:val="auto"/>
        </w:rPr>
      </w:pPr>
    </w:p>
    <w:p>
      <w:pPr>
        <w:jc w:val="both"/>
        <w:ind w:right="80" w:firstLine="255"/>
        <w:spacing w:after="0" w:line="259" w:lineRule="auto"/>
        <w:rPr>
          <w:sz w:val="20"/>
          <w:szCs w:val="20"/>
          <w:color w:val="auto"/>
        </w:rPr>
      </w:pPr>
      <w:r>
        <w:rPr>
          <w:rFonts w:ascii="Times New Roman" w:cs="Times New Roman" w:eastAsia="Times New Roman" w:hAnsi="Times New Roman"/>
          <w:sz w:val="14"/>
          <w:szCs w:val="14"/>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i w:val="1"/>
          <w:iCs w:val="1"/>
          <w:color w:val="auto"/>
        </w:rPr>
        <w:t>Risk Factors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additional information about our risk factors, you should carefully read the section entitled "Risk Factors” included in our Annual Report on Form 10-K for the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Unregistered Sales of Equity Securities and Use of Proceeds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information about purchases of our common shares during the three months ended March 31, 2024.</w:t>
      </w:r>
    </w:p>
    <w:p>
      <w:pPr>
        <w:spacing w:after="0" w:line="213"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04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Average Price Paid per</w:t>
            </w:r>
          </w:p>
        </w:tc>
        <w:tc>
          <w:tcPr>
            <w:tcW w:w="3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2040" w:type="dxa"/>
            <w:vAlign w:val="bottom"/>
          </w:tcPr>
          <w:p>
            <w:pPr>
              <w:jc w:val="center"/>
              <w:ind w:right="276"/>
              <w:spacing w:after="0"/>
              <w:rPr>
                <w:sz w:val="20"/>
                <w:szCs w:val="20"/>
                <w:color w:val="auto"/>
              </w:rPr>
            </w:pPr>
            <w:r>
              <w:rPr>
                <w:rFonts w:ascii="Times New Roman" w:cs="Times New Roman" w:eastAsia="Times New Roman" w:hAnsi="Times New Roman"/>
                <w:sz w:val="13"/>
                <w:szCs w:val="13"/>
                <w:b w:val="1"/>
                <w:bCs w:val="1"/>
                <w:color w:val="auto"/>
                <w:w w:val="97"/>
              </w:rPr>
              <w:t>Maximum number of shares</w:t>
            </w:r>
          </w:p>
        </w:tc>
        <w:tc>
          <w:tcPr>
            <w:tcW w:w="0" w:type="dxa"/>
            <w:vAlign w:val="bottom"/>
          </w:tcPr>
          <w:p>
            <w:pPr>
              <w:spacing w:after="0"/>
              <w:rPr>
                <w:sz w:val="1"/>
                <w:szCs w:val="1"/>
                <w:color w:val="auto"/>
              </w:rPr>
            </w:pPr>
          </w:p>
        </w:tc>
      </w:tr>
      <w:tr>
        <w:trPr>
          <w:trHeight w:val="127"/>
        </w:trPr>
        <w:tc>
          <w:tcPr>
            <w:tcW w:w="286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2040" w:type="dxa"/>
            <w:vAlign w:val="bottom"/>
          </w:tcPr>
          <w:p>
            <w:pPr>
              <w:jc w:val="center"/>
              <w:ind w:right="2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that may be purchased under</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0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Share</w:t>
            </w:r>
          </w:p>
        </w:tc>
        <w:tc>
          <w:tcPr>
            <w:tcW w:w="3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announced plans or programs</w:t>
            </w:r>
          </w:p>
        </w:tc>
        <w:tc>
          <w:tcPr>
            <w:tcW w:w="2040" w:type="dxa"/>
            <w:vAlign w:val="bottom"/>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7"/>
              </w:rPr>
              <w:t>the plans or programs</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2024 - January 31, 2024</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10,314</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30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10,314</w:t>
            </w:r>
          </w:p>
        </w:tc>
        <w:tc>
          <w:tcPr>
            <w:tcW w:w="20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569,223</w:t>
            </w:r>
          </w:p>
        </w:tc>
        <w:tc>
          <w:tcPr>
            <w:tcW w:w="0" w:type="dxa"/>
            <w:vAlign w:val="bottom"/>
          </w:tcPr>
          <w:p>
            <w:pPr>
              <w:spacing w:after="0"/>
              <w:rPr>
                <w:sz w:val="1"/>
                <w:szCs w:val="1"/>
                <w:color w:val="auto"/>
              </w:rPr>
            </w:pPr>
          </w:p>
        </w:tc>
      </w:tr>
      <w:tr>
        <w:trPr>
          <w:trHeight w:val="16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February 1, 2024 - February 29, 2024</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47,399</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March 1, 2024 - March 31, 2024</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122,750</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w:t>
            </w:r>
          </w:p>
        </w:tc>
        <w:tc>
          <w:tcPr>
            <w:tcW w:w="30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122,750</w:t>
            </w:r>
          </w:p>
        </w:tc>
        <w:tc>
          <w:tcPr>
            <w:tcW w:w="20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446,473</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180,463</w:t>
            </w: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w:t>
            </w:r>
          </w:p>
        </w:tc>
        <w:tc>
          <w:tcPr>
            <w:tcW w:w="3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133,064</w:t>
            </w:r>
          </w:p>
        </w:tc>
        <w:tc>
          <w:tcPr>
            <w:tcW w:w="20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446,473</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left="260" w:right="80" w:hanging="255"/>
        <w:spacing w:after="0" w:line="237" w:lineRule="auto"/>
        <w:tabs>
          <w:tab w:leader="none" w:pos="25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August 2023, our Board of Directors authorized a common share repurchase program, which expires in August 2024, to repurchase up to 5.0% of our total common shares which were issued and outstanding at the time of approval, or 742,134 common shares, over a twelve month period. We repurchased an aggregate of 133,064 of our common shares outstanding for approximately $3.2 million during the three months ended March 31, 2024.</w:t>
      </w:r>
    </w:p>
    <w:p>
      <w:pPr>
        <w:spacing w:after="0" w:line="1" w:lineRule="exact"/>
        <w:rPr>
          <w:rFonts w:ascii="Times New Roman" w:cs="Times New Roman" w:eastAsia="Times New Roman" w:hAnsi="Times New Roman"/>
          <w:sz w:val="18"/>
          <w:szCs w:val="18"/>
          <w:color w:val="auto"/>
          <w:vertAlign w:val="superscript"/>
        </w:rPr>
      </w:pPr>
    </w:p>
    <w:p>
      <w:pPr>
        <w:ind w:left="260" w:right="80" w:hanging="255"/>
        <w:spacing w:after="0" w:line="221" w:lineRule="auto"/>
        <w:tabs>
          <w:tab w:leader="none" w:pos="25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ind w:left="240" w:hanging="235"/>
        <w:spacing w:after="0" w:line="196" w:lineRule="auto"/>
        <w:tabs>
          <w:tab w:leader="none" w:pos="24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price paid per share was based on the closing price of our common shares on February 22, 2024, the respective date as of which the restrictions lapsed on such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36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Exhibits</w:t>
      </w:r>
    </w:p>
    <w:p>
      <w:pPr>
        <w:spacing w:after="0" w:line="202" w:lineRule="exact"/>
        <w:rPr>
          <w:sz w:val="20"/>
          <w:szCs w:val="20"/>
          <w:color w:val="auto"/>
        </w:rPr>
      </w:pPr>
    </w:p>
    <w:p>
      <w:pPr>
        <w:ind w:left="520" w:hanging="388"/>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INDEX OF EXHIBITS</w:t>
      </w:r>
    </w:p>
    <w:p>
      <w:pPr>
        <w:spacing w:after="0" w:line="3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5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2"/>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w:t>
            </w: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FF"/>
              </w:rPr>
              <w:t>Separation, Waiver and Release Agreement dated as of March 11, 2024 by and between Civeo Corporation and Carolyn Stone.</w:t>
            </w: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24"/>
                <w:szCs w:val="24"/>
                <w:color w:val="auto"/>
              </w:rPr>
            </w:pP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FF"/>
              </w:rPr>
              <w:t>Certification of Chief Executive Officer of Civeo Corporation pursuant to Rules 13a-14(a) or 15d-14(a) under the Securities Exchange Act of</w:t>
            </w:r>
          </w:p>
        </w:tc>
      </w:tr>
      <w:tr>
        <w:trPr>
          <w:trHeight w:val="129"/>
        </w:trPr>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1934.</w:t>
            </w:r>
          </w:p>
        </w:tc>
        <w:tc>
          <w:tcPr>
            <w:tcW w:w="40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142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2720" w:type="dxa"/>
            <w:vAlign w:val="bottom"/>
            <w:tcBorders>
              <w:top w:val="single" w:sz="8" w:color="0000FF"/>
            </w:tcBorders>
          </w:tcPr>
          <w:p>
            <w:pPr>
              <w:spacing w:after="0"/>
              <w:rPr>
                <w:sz w:val="11"/>
                <w:szCs w:val="11"/>
                <w:color w:val="auto"/>
              </w:rPr>
            </w:pPr>
          </w:p>
        </w:tc>
        <w:tc>
          <w:tcPr>
            <w:tcW w:w="10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41"/>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4"/>
                <w:szCs w:val="24"/>
                <w:color w:val="auto"/>
              </w:rPr>
            </w:pP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FF"/>
              </w:rPr>
              <w:t>Certification of Interim Chief Financial Officer of Civeo Corporation pursuant to Rules 13a-14(a) or 15d-14(a) under the Securities Exchange</w:t>
            </w:r>
          </w:p>
        </w:tc>
      </w:tr>
      <w:tr>
        <w:trPr>
          <w:trHeight w:val="129"/>
        </w:trPr>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6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Act of 1934.</w:t>
            </w:r>
          </w:p>
        </w:tc>
        <w:tc>
          <w:tcPr>
            <w:tcW w:w="20" w:type="dxa"/>
            <w:vAlign w:val="bottom"/>
          </w:tcPr>
          <w:p>
            <w:pPr>
              <w:spacing w:after="0"/>
              <w:rPr>
                <w:sz w:val="11"/>
                <w:szCs w:val="1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1"/>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24"/>
                <w:szCs w:val="24"/>
                <w:color w:val="auto"/>
              </w:rPr>
            </w:pP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FF"/>
              </w:rPr>
              <w:t>Certification of Chief Executive Officer of Civeo Corporation pursuant to Rules 13a-14(b) or 15d-14(b) under the Securities Exchange Act of</w:t>
            </w:r>
          </w:p>
        </w:tc>
      </w:tr>
      <w:tr>
        <w:trPr>
          <w:trHeight w:val="129"/>
        </w:trPr>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4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1934 and 18 U.S.C. Section 1350.</w:t>
            </w:r>
          </w:p>
        </w:tc>
        <w:tc>
          <w:tcPr>
            <w:tcW w:w="6300" w:type="dxa"/>
            <w:vAlign w:val="bottom"/>
            <w:tcBorders>
              <w:top w:val="single" w:sz="8" w:color="0000FF"/>
            </w:tcBorders>
            <w:gridSpan w:val="6"/>
          </w:tcPr>
          <w:p>
            <w:pPr>
              <w:spacing w:after="0"/>
              <w:rPr>
                <w:sz w:val="11"/>
                <w:szCs w:val="11"/>
                <w:color w:val="auto"/>
              </w:rPr>
            </w:pPr>
          </w:p>
        </w:tc>
        <w:tc>
          <w:tcPr>
            <w:tcW w:w="40" w:type="dxa"/>
            <w:vAlign w:val="bottom"/>
            <w:gridSpan w:val="2"/>
          </w:tcPr>
          <w:p>
            <w:pPr>
              <w:spacing w:after="0"/>
              <w:rPr>
                <w:sz w:val="11"/>
                <w:szCs w:val="11"/>
                <w:color w:val="auto"/>
              </w:rPr>
            </w:pPr>
          </w:p>
        </w:tc>
      </w:tr>
      <w:tr>
        <w:trPr>
          <w:trHeight w:val="341"/>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24"/>
                <w:szCs w:val="24"/>
                <w:color w:val="auto"/>
              </w:rPr>
            </w:pP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FF"/>
              </w:rPr>
              <w:t>Certification of Interim Chief Financial Officer of Civeo Corporation pursuant to Rules 13a-14(b) or 15d-14(b) under the Securities Exchange</w:t>
            </w:r>
          </w:p>
        </w:tc>
      </w:tr>
      <w:tr>
        <w:trPr>
          <w:trHeight w:val="129"/>
        </w:trPr>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340" w:type="dxa"/>
            <w:vAlign w:val="bottom"/>
            <w:tcBorders>
              <w:top w:val="single" w:sz="8" w:color="0000FF"/>
              <w:bottom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Act of 1934 and 18 U.S.C. Section 1350.</w:t>
            </w:r>
          </w:p>
        </w:tc>
        <w:tc>
          <w:tcPr>
            <w:tcW w:w="5880" w:type="dxa"/>
            <w:vAlign w:val="bottom"/>
            <w:tcBorders>
              <w:top w:val="single" w:sz="8" w:color="0000FF"/>
            </w:tcBorders>
            <w:gridSpan w:val="4"/>
          </w:tcPr>
          <w:p>
            <w:pPr>
              <w:spacing w:after="0"/>
              <w:rPr>
                <w:sz w:val="11"/>
                <w:szCs w:val="11"/>
                <w:color w:val="auto"/>
              </w:rPr>
            </w:pPr>
          </w:p>
        </w:tc>
        <w:tc>
          <w:tcPr>
            <w:tcW w:w="60" w:type="dxa"/>
            <w:vAlign w:val="bottom"/>
            <w:gridSpan w:val="3"/>
          </w:tcPr>
          <w:p>
            <w:pPr>
              <w:spacing w:after="0"/>
              <w:rPr>
                <w:sz w:val="11"/>
                <w:szCs w:val="11"/>
                <w:color w:val="auto"/>
              </w:rPr>
            </w:pPr>
          </w:p>
        </w:tc>
      </w:tr>
      <w:tr>
        <w:trPr>
          <w:trHeight w:val="337"/>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101.INS*</w:t>
            </w: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Inline XBRL Instance Document - the instance document does not appear in the Interactive Data File because its XBRL tags are embedded</w:t>
            </w:r>
          </w:p>
        </w:tc>
      </w:tr>
      <w:tr>
        <w:trPr>
          <w:trHeight w:val="184"/>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r>
      <w:tr>
        <w:trPr>
          <w:trHeight w:val="361"/>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Inline XBRL Taxonomy Extension Schema Document</w:t>
            </w:r>
          </w:p>
        </w:tc>
      </w:tr>
      <w:tr>
        <w:trPr>
          <w:trHeight w:val="361"/>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Inline XBRL Taxonomy Extension Calculation Linkbase Document</w:t>
            </w:r>
          </w:p>
        </w:tc>
      </w:tr>
      <w:tr>
        <w:trPr>
          <w:trHeight w:val="361"/>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Inline Taxonomy Extension Definition Linkbase Document</w:t>
            </w:r>
          </w:p>
        </w:tc>
      </w:tr>
      <w:tr>
        <w:trPr>
          <w:trHeight w:val="361"/>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Inline XBRL Taxonomy Extension Label Linkbase Document</w:t>
            </w:r>
          </w:p>
        </w:tc>
      </w:tr>
      <w:tr>
        <w:trPr>
          <w:trHeight w:val="361"/>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8740" w:type="dxa"/>
            <w:vAlign w:val="bottom"/>
            <w:gridSpan w:val="12"/>
          </w:tcPr>
          <w:p>
            <w:pPr>
              <w:ind w:left="140"/>
              <w:spacing w:after="0"/>
              <w:rPr>
                <w:sz w:val="20"/>
                <w:szCs w:val="20"/>
                <w:color w:val="auto"/>
              </w:rPr>
            </w:pPr>
            <w:r>
              <w:rPr>
                <w:rFonts w:ascii="Times New Roman" w:cs="Times New Roman" w:eastAsia="Times New Roman" w:hAnsi="Times New Roman"/>
                <w:sz w:val="14"/>
                <w:szCs w:val="14"/>
                <w:color w:val="auto"/>
              </w:rPr>
              <w:t>—   Inline XBRL Taxonomy Extension Presentation Linkbase Document</w:t>
            </w:r>
          </w:p>
        </w:tc>
      </w:tr>
    </w:tbl>
    <w:p>
      <w:pPr>
        <w:spacing w:after="0" w:line="198" w:lineRule="exact"/>
        <w:rPr>
          <w:sz w:val="20"/>
          <w:szCs w:val="20"/>
          <w:color w:val="auto"/>
        </w:rPr>
      </w:pPr>
    </w:p>
    <w:p>
      <w:pPr>
        <w:ind w:left="1440" w:hanging="1166"/>
        <w:spacing w:after="0"/>
        <w:tabs>
          <w:tab w:leader="none" w:pos="14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Cover Page Interactive Data File (formatted as Inline XBRL and contained in Exhibit 101)</w:t>
      </w:r>
    </w:p>
    <w:p>
      <w:pPr>
        <w:spacing w:after="0" w:line="8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0" w:lineRule="exact"/>
        <w:rPr>
          <w:rFonts w:ascii="Times New Roman" w:cs="Times New Roman" w:eastAsia="Times New Roman" w:hAnsi="Times New Roman"/>
          <w:sz w:val="14"/>
          <w:szCs w:val="14"/>
          <w:color w:val="auto"/>
        </w:rPr>
      </w:pPr>
    </w:p>
    <w:p>
      <w:pPr>
        <w:ind w:left="340" w:hanging="321"/>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41" w:lineRule="exact"/>
        <w:rPr>
          <w:sz w:val="20"/>
          <w:szCs w:val="20"/>
          <w:color w:val="auto"/>
        </w:rPr>
      </w:pPr>
    </w:p>
    <w:p>
      <w:pPr>
        <w:ind w:left="340" w:hanging="321"/>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contracts and compensatory plans and arrangements.</w:t>
      </w:r>
    </w:p>
    <w:p>
      <w:pPr>
        <w:spacing w:after="0" w:line="2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31" w:name="page32"/>
    <w:bookmarkEnd w:id="31"/>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760" w:type="dxa"/>
            <w:vAlign w:val="bottom"/>
            <w:gridSpan w:val="3"/>
          </w:tcPr>
          <w:p>
            <w:pPr>
              <w:ind w:left="1940"/>
              <w:spacing w:after="0"/>
              <w:rPr>
                <w:sz w:val="20"/>
                <w:szCs w:val="20"/>
                <w:color w:val="auto"/>
              </w:rPr>
            </w:pPr>
            <w:r>
              <w:rPr>
                <w:rFonts w:ascii="Times New Roman" w:cs="Times New Roman" w:eastAsia="Times New Roman" w:hAnsi="Times New Roman"/>
                <w:sz w:val="14"/>
                <w:szCs w:val="14"/>
                <w:color w:val="auto"/>
              </w:rPr>
              <w:t>CIVEO CORPORATION</w:t>
            </w:r>
          </w:p>
        </w:tc>
      </w:tr>
      <w:tr>
        <w:trPr>
          <w:trHeight w:val="414"/>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 April 26, 2024</w:t>
            </w:r>
          </w:p>
        </w:tc>
        <w:tc>
          <w:tcPr>
            <w:tcW w:w="7760" w:type="dxa"/>
            <w:vAlign w:val="bottom"/>
            <w:gridSpan w:val="3"/>
          </w:tcPr>
          <w:p>
            <w:pPr>
              <w:ind w:left="2340"/>
              <w:spacing w:after="0"/>
              <w:rPr>
                <w:sz w:val="20"/>
                <w:szCs w:val="20"/>
                <w:color w:val="auto"/>
              </w:rPr>
            </w:pPr>
            <w:r>
              <w:rPr>
                <w:rFonts w:ascii="Times New Roman" w:cs="Times New Roman" w:eastAsia="Times New Roman" w:hAnsi="Times New Roman"/>
                <w:sz w:val="14"/>
                <w:szCs w:val="14"/>
                <w:b w:val="1"/>
                <w:bCs w:val="1"/>
                <w:color w:val="auto"/>
              </w:rPr>
              <w:t>By /s/ Barclay Brewer</w:t>
            </w:r>
          </w:p>
        </w:tc>
      </w:tr>
      <w:tr>
        <w:trPr>
          <w:trHeight w:val="186"/>
        </w:trPr>
        <w:tc>
          <w:tcPr>
            <w:tcW w:w="1160" w:type="dxa"/>
            <w:vAlign w:val="bottom"/>
            <w:tcBorders>
              <w:top w:val="single" w:sz="8" w:color="auto"/>
            </w:tcBorders>
          </w:tcPr>
          <w:p>
            <w:pPr>
              <w:spacing w:after="0"/>
              <w:rPr>
                <w:sz w:val="16"/>
                <w:szCs w:val="16"/>
                <w:color w:val="auto"/>
              </w:rPr>
            </w:pPr>
          </w:p>
        </w:tc>
        <w:tc>
          <w:tcPr>
            <w:tcW w:w="19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Barclay Brewer</w:t>
            </w:r>
          </w:p>
        </w:tc>
        <w:tc>
          <w:tcPr>
            <w:tcW w:w="3160" w:type="dxa"/>
            <w:vAlign w:val="bottom"/>
          </w:tcPr>
          <w:p>
            <w:pPr>
              <w:spacing w:after="0"/>
              <w:rPr>
                <w:sz w:val="16"/>
                <w:szCs w:val="16"/>
                <w:color w:val="auto"/>
              </w:rPr>
            </w:pPr>
          </w:p>
        </w:tc>
      </w:tr>
      <w:tr>
        <w:trPr>
          <w:trHeight w:val="186"/>
        </w:trPr>
        <w:tc>
          <w:tcPr>
            <w:tcW w:w="1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760" w:type="dxa"/>
            <w:vAlign w:val="bottom"/>
            <w:gridSpan w:val="3"/>
          </w:tcPr>
          <w:p>
            <w:pPr>
              <w:ind w:left="2340"/>
              <w:spacing w:after="0"/>
              <w:rPr>
                <w:sz w:val="20"/>
                <w:szCs w:val="20"/>
                <w:color w:val="auto"/>
              </w:rPr>
            </w:pPr>
            <w:r>
              <w:rPr>
                <w:rFonts w:ascii="Times New Roman" w:cs="Times New Roman" w:eastAsia="Times New Roman" w:hAnsi="Times New Roman"/>
                <w:sz w:val="14"/>
                <w:szCs w:val="14"/>
                <w:b w:val="1"/>
                <w:bCs w:val="1"/>
                <w:color w:val="auto"/>
              </w:rPr>
              <w:t>Interim Chief Financial Officer (Duly Authorized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880"/>
          </w:cols>
          <w:pgMar w:left="320" w:top="1364" w:right="699" w:bottom="1440"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CERTIFICATION OF</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3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 Bradley J. Dodson, certify that:</w:t>
      </w:r>
    </w:p>
    <w:p>
      <w:pPr>
        <w:spacing w:after="0" w:line="285" w:lineRule="exact"/>
        <w:rPr>
          <w:sz w:val="20"/>
          <w:szCs w:val="20"/>
          <w:color w:val="auto"/>
        </w:rPr>
      </w:pPr>
    </w:p>
    <w:p>
      <w:pPr>
        <w:ind w:left="280" w:hanging="261"/>
        <w:spacing w:after="0"/>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Civeo Corporation (Registrant);</w:t>
      </w:r>
    </w:p>
    <w:p>
      <w:pPr>
        <w:spacing w:after="0" w:line="51" w:lineRule="exact"/>
        <w:rPr>
          <w:sz w:val="20"/>
          <w:szCs w:val="20"/>
          <w:color w:val="auto"/>
        </w:rPr>
      </w:pPr>
    </w:p>
    <w:p>
      <w:pPr>
        <w:jc w:val="both"/>
        <w:ind w:left="280" w:right="4040" w:hanging="261"/>
        <w:spacing w:after="0" w:line="228" w:lineRule="auto"/>
        <w:tabs>
          <w:tab w:leader="none" w:pos="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sz w:val="20"/>
          <w:szCs w:val="20"/>
          <w:color w:val="auto"/>
        </w:rPr>
      </w:pPr>
    </w:p>
    <w:p>
      <w:pPr>
        <w:jc w:val="both"/>
        <w:ind w:left="280" w:right="4040" w:hanging="261"/>
        <w:spacing w:after="0" w:line="228" w:lineRule="auto"/>
        <w:tabs>
          <w:tab w:leader="none" w:pos="2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sz w:val="20"/>
          <w:szCs w:val="20"/>
          <w:color w:val="auto"/>
        </w:rPr>
      </w:pPr>
    </w:p>
    <w:p>
      <w:pPr>
        <w:jc w:val="both"/>
        <w:ind w:left="280" w:right="4040" w:hanging="261"/>
        <w:spacing w:after="0" w:line="228" w:lineRule="auto"/>
        <w:tabs>
          <w:tab w:leader="none" w:pos="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580" w:right="4040" w:hanging="297"/>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Times New Roman" w:cs="Times New Roman" w:eastAsia="Times New Roman" w:hAnsi="Times New Roman"/>
          <w:sz w:val="14"/>
          <w:szCs w:val="14"/>
          <w:color w:val="auto"/>
        </w:rPr>
      </w:pPr>
    </w:p>
    <w:p>
      <w:pPr>
        <w:ind w:left="580" w:right="4040" w:hanging="29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4"/>
          <w:szCs w:val="14"/>
          <w:color w:val="auto"/>
        </w:rPr>
      </w:pPr>
    </w:p>
    <w:p>
      <w:pPr>
        <w:ind w:left="580" w:right="4040" w:hanging="297"/>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sz w:val="20"/>
          <w:szCs w:val="20"/>
          <w:color w:val="auto"/>
        </w:rPr>
      </w:pPr>
    </w:p>
    <w:p>
      <w:pPr>
        <w:jc w:val="both"/>
        <w:ind w:left="580" w:right="4040" w:hanging="306"/>
        <w:spacing w:after="0" w:line="226"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sz w:val="20"/>
          <w:szCs w:val="20"/>
          <w:color w:val="auto"/>
        </w:rPr>
      </w:pPr>
    </w:p>
    <w:p>
      <w:pPr>
        <w:jc w:val="both"/>
        <w:ind w:left="280" w:right="4040" w:hanging="261"/>
        <w:spacing w:after="0" w:line="228" w:lineRule="auto"/>
        <w:tabs>
          <w:tab w:leader="none" w:pos="2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80" w:right="4040" w:hanging="297"/>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580" w:right="4040" w:hanging="297"/>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26, 2024</w:t>
      </w:r>
    </w:p>
    <w:p>
      <w:pPr>
        <w:spacing w:after="0" w:line="11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14605</wp:posOffset>
            </wp:positionV>
            <wp:extent cx="289052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spacing w:after="0" w:line="1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Bradley J. Dodson</w:t>
      </w:r>
    </w:p>
    <w:p>
      <w:pPr>
        <w:spacing w:after="0" w:line="2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8"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CERTIFICATION OF</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INTERIM CHIEF FINANCIAL OFFICER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3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 Barclay Brewer, certify that:</w:t>
      </w:r>
    </w:p>
    <w:p>
      <w:pPr>
        <w:spacing w:after="0" w:line="285" w:lineRule="exact"/>
        <w:rPr>
          <w:sz w:val="20"/>
          <w:szCs w:val="20"/>
          <w:color w:val="auto"/>
        </w:rPr>
      </w:pPr>
    </w:p>
    <w:p>
      <w:pPr>
        <w:ind w:left="260" w:hanging="241"/>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Civeo Corporation (Registrant);</w:t>
      </w:r>
    </w:p>
    <w:p>
      <w:pPr>
        <w:spacing w:after="0" w:line="51" w:lineRule="exact"/>
        <w:rPr>
          <w:sz w:val="20"/>
          <w:szCs w:val="20"/>
          <w:color w:val="auto"/>
        </w:rPr>
      </w:pPr>
    </w:p>
    <w:p>
      <w:pPr>
        <w:jc w:val="both"/>
        <w:ind w:left="260" w:right="4120" w:hanging="241"/>
        <w:spacing w:after="0" w:line="228"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sz w:val="20"/>
          <w:szCs w:val="20"/>
          <w:color w:val="auto"/>
        </w:rPr>
      </w:pPr>
    </w:p>
    <w:p>
      <w:pPr>
        <w:jc w:val="both"/>
        <w:ind w:left="260" w:right="4120" w:hanging="241"/>
        <w:spacing w:after="0" w:line="228"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sz w:val="20"/>
          <w:szCs w:val="20"/>
          <w:color w:val="auto"/>
        </w:rPr>
      </w:pPr>
    </w:p>
    <w:p>
      <w:pPr>
        <w:jc w:val="both"/>
        <w:ind w:left="260" w:right="4120" w:hanging="241"/>
        <w:spacing w:after="0" w:line="228" w:lineRule="auto"/>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580" w:right="4120" w:hanging="318"/>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Times New Roman" w:cs="Times New Roman" w:eastAsia="Times New Roman" w:hAnsi="Times New Roman"/>
          <w:sz w:val="14"/>
          <w:szCs w:val="14"/>
          <w:color w:val="auto"/>
        </w:rPr>
      </w:pPr>
    </w:p>
    <w:p>
      <w:pPr>
        <w:ind w:left="580" w:right="4120" w:hanging="318"/>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Times New Roman" w:cs="Times New Roman" w:eastAsia="Times New Roman" w:hAnsi="Times New Roman"/>
          <w:sz w:val="14"/>
          <w:szCs w:val="14"/>
          <w:color w:val="auto"/>
        </w:rPr>
      </w:pPr>
    </w:p>
    <w:p>
      <w:pPr>
        <w:ind w:left="580" w:right="4120" w:hanging="318"/>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580" w:right="4120" w:hanging="318"/>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sz w:val="20"/>
          <w:szCs w:val="20"/>
          <w:color w:val="auto"/>
        </w:rPr>
      </w:pPr>
    </w:p>
    <w:p>
      <w:pPr>
        <w:jc w:val="both"/>
        <w:ind w:left="260" w:right="4120" w:hanging="241"/>
        <w:spacing w:after="0" w:line="228" w:lineRule="auto"/>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80" w:right="4120" w:hanging="318"/>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580" w:right="4120" w:hanging="318"/>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26, 2024</w:t>
      </w:r>
    </w:p>
    <w:p>
      <w:pPr>
        <w:spacing w:after="0" w:line="28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/s/ Barclay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14605</wp:posOffset>
            </wp:positionV>
            <wp:extent cx="289052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spacing w:after="0" w:line="1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Barclay Brewer</w:t>
      </w:r>
    </w:p>
    <w:p>
      <w:pPr>
        <w:spacing w:after="0" w:line="2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Interim Chief Financial Officer</w:t>
      </w:r>
    </w:p>
    <w:p>
      <w:pPr>
        <w:sectPr>
          <w:pgSz w:w="11900" w:h="16838" w:orient="portrait"/>
          <w:cols w:equalWidth="0" w:num="1">
            <w:col w:w="11280"/>
          </w:cols>
          <w:pgMar w:left="300" w:top="728"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CERTIFICATION OF</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34"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Civeo Corporation (the “Company”) for the quarterly period ended March 31, 2024,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42" w:lineRule="exact"/>
        <w:rPr>
          <w:sz w:val="20"/>
          <w:szCs w:val="20"/>
          <w:color w:val="auto"/>
        </w:rPr>
      </w:pPr>
    </w:p>
    <w:p>
      <w:pPr>
        <w:ind w:left="20"/>
        <w:spacing w:after="0"/>
        <w:tabs>
          <w:tab w:leader="none" w:pos="200" w:val="left"/>
        </w:tabs>
        <w:rPr>
          <w:sz w:val="20"/>
          <w:szCs w:val="20"/>
          <w:color w:val="auto"/>
        </w:rPr>
      </w:pPr>
      <w:r>
        <w:rPr>
          <w:rFonts w:ascii="Times New Roman" w:cs="Times New Roman" w:eastAsia="Times New Roman" w:hAnsi="Times New Roman"/>
          <w:sz w:val="14"/>
          <w:szCs w:val="14"/>
          <w:color w:val="auto"/>
        </w:rPr>
        <w:t>1</w:t>
        <w:tab/>
        <w:t>The Report fully complies with the requirements of Section 13(a) or 15(d) of the Securities Exchange Act of 1934; and</w:t>
      </w:r>
    </w:p>
    <w:p>
      <w:pPr>
        <w:spacing w:after="0" w:line="51" w:lineRule="exact"/>
        <w:rPr>
          <w:sz w:val="20"/>
          <w:szCs w:val="20"/>
          <w:color w:val="auto"/>
        </w:rPr>
      </w:pPr>
    </w:p>
    <w:p>
      <w:pPr>
        <w:ind w:left="220" w:right="4040" w:hanging="201"/>
        <w:spacing w:after="0" w:line="239" w:lineRule="auto"/>
        <w:tabs>
          <w:tab w:leader="none" w:pos="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/s/ Bradley J. Dodson</w:t>
      </w:r>
    </w:p>
    <w:p>
      <w:pPr>
        <w:spacing w:after="0" w:line="23" w:lineRule="exact"/>
        <w:rPr>
          <w:sz w:val="20"/>
          <w:szCs w:val="20"/>
          <w:color w:val="auto"/>
        </w:rPr>
      </w:pPr>
    </w:p>
    <w:tbl>
      <w:tblPr>
        <w:tblLayout w:type="fixed"/>
        <w:tblInd w:w="5940" w:type="dxa"/>
        <w:tblCellMar>
          <w:top w:w="0" w:type="dxa"/>
          <w:left w:w="0" w:type="dxa"/>
          <w:bottom w:w="0" w:type="dxa"/>
          <w:right w:w="0" w:type="dxa"/>
        </w:tblCellMar>
      </w:tblPr>
      <w:tr>
        <w:trPr>
          <w:trHeight w:val="167"/>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35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Bradley J. Dodson</w:t>
            </w:r>
          </w:p>
        </w:tc>
      </w:t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April 26, 2024</w:t>
            </w:r>
          </w:p>
        </w:tc>
      </w:tr>
    </w:tbl>
    <w:p>
      <w:pPr>
        <w:sectPr>
          <w:pgSz w:w="11900" w:h="16838" w:orient="portrait"/>
          <w:cols w:equalWidth="0" w:num="1">
            <w:col w:w="11280"/>
          </w:cols>
          <w:pgMar w:left="300" w:top="728"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CERTIFICATION OF</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INTERIM CHIEF FINANCIAL OFFICER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ind w:right="80" w:firstLine="637"/>
        <w:spacing w:after="0" w:line="254" w:lineRule="auto"/>
        <w:rPr>
          <w:sz w:val="20"/>
          <w:szCs w:val="20"/>
          <w:color w:val="auto"/>
        </w:rPr>
      </w:pPr>
      <w:r>
        <w:rPr>
          <w:rFonts w:ascii="Times New Roman" w:cs="Times New Roman" w:eastAsia="Times New Roman" w:hAnsi="Times New Roman"/>
          <w:sz w:val="14"/>
          <w:szCs w:val="14"/>
          <w:color w:val="auto"/>
        </w:rPr>
        <w:t>In connection with the Quarterly Report on Form 10-Q of Civeo Corporation (the “Company”) for the quarterly period ended March 31, 2024, as filed with the Securities and Exchange Commission on the date hereof (the “Report”), I, Barclay Brewer, Interim Chief Financial Officer of the Company, hereby certify, pursuant to 18 U.S.C. Section 1350, as adopted pursuant to Section 906 of the Sarbanes-Oxley Act of 2002, to the best of my knowledge, that:</w:t>
      </w:r>
    </w:p>
    <w:p>
      <w:pPr>
        <w:spacing w:after="0" w:line="242" w:lineRule="exact"/>
        <w:rPr>
          <w:sz w:val="20"/>
          <w:szCs w:val="20"/>
          <w:color w:val="auto"/>
        </w:rPr>
      </w:pPr>
    </w:p>
    <w:p>
      <w:pPr>
        <w:ind w:left="20"/>
        <w:spacing w:after="0"/>
        <w:tabs>
          <w:tab w:leader="none" w:pos="200" w:val="left"/>
        </w:tabs>
        <w:rPr>
          <w:sz w:val="20"/>
          <w:szCs w:val="20"/>
          <w:color w:val="auto"/>
        </w:rPr>
      </w:pPr>
      <w:r>
        <w:rPr>
          <w:rFonts w:ascii="Times New Roman" w:cs="Times New Roman" w:eastAsia="Times New Roman" w:hAnsi="Times New Roman"/>
          <w:sz w:val="14"/>
          <w:szCs w:val="14"/>
          <w:color w:val="auto"/>
        </w:rPr>
        <w:t>1</w:t>
        <w:tab/>
        <w:t>The Report fully complies with the requirements of Section 13(a) or 15(d) of the Securities Exchange Act of 1934; and</w:t>
      </w:r>
    </w:p>
    <w:p>
      <w:pPr>
        <w:spacing w:after="0" w:line="51" w:lineRule="exact"/>
        <w:rPr>
          <w:sz w:val="20"/>
          <w:szCs w:val="20"/>
          <w:color w:val="auto"/>
        </w:rPr>
      </w:pPr>
    </w:p>
    <w:p>
      <w:pPr>
        <w:ind w:left="220" w:right="4040" w:hanging="201"/>
        <w:spacing w:after="0" w:line="255" w:lineRule="auto"/>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8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/s/ Barclay Brewer</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67"/>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35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Barclay Brewer</w:t>
            </w:r>
          </w:p>
        </w:tc>
      </w:tr>
      <w:tr>
        <w:trPr>
          <w:trHeight w:val="184"/>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April 26, 2024</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lowerRoman"/>
      <w:start w:val="3"/>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
      <w:numFmt w:val="bullet"/>
      <w:start w:val="1"/>
    </w:lvl>
    <w:lvl w:ilvl="1">
      <w:lvlJc w:val="left"/>
      <w:lvlText w:val="%2"/>
      <w:numFmt w:val="decimal"/>
      <w:start w:val="104"/>
    </w:lvl>
  </w:abstractNum>
  <w:abstractNum w:abstractNumId="21">
    <w:nsid w:val="2901D82"/>
    <w:multiLevelType w:val="hybridMultilevel"/>
    <w:lvl w:ilvl="0">
      <w:lvlJc w:val="left"/>
      <w:lvlText w:val="**"/>
      <w:numFmt w:val="bullet"/>
      <w:start w:val="1"/>
    </w:lvl>
    <w:lvl w:ilvl="1">
      <w:lvlJc w:val="left"/>
      <w:lvlText w:val="%2"/>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bullet"/>
      <w:start w:val="1"/>
    </w:lvl>
  </w:abstractNum>
  <w:abstractNum w:abstractNumId="24">
    <w:nsid w:val="1E7FF521"/>
    <w:multiLevelType w:val="hybridMultilevel"/>
    <w:lvl w:ilvl="0">
      <w:lvlJc w:val="left"/>
      <w:lvlText w:val="2"/>
      <w:numFmt w:val="bullet"/>
      <w:start w:val="1"/>
    </w:lvl>
  </w:abstractNum>
  <w:abstractNum w:abstractNumId="25">
    <w:nsid w:val="7C3DBD3D"/>
    <w:multiLevelType w:val="hybridMultilevel"/>
    <w:lvl w:ilvl="0">
      <w:lvlJc w:val="left"/>
      <w:lvlText w:val="3"/>
      <w:numFmt w:val="bullet"/>
      <w:start w:val="1"/>
    </w:lvl>
  </w:abstractNum>
  <w:abstractNum w:abstractNumId="26">
    <w:nsid w:val="737B8DDC"/>
    <w:multiLevelType w:val="hybridMultilevel"/>
    <w:lvl w:ilvl="0">
      <w:lvlJc w:val="left"/>
      <w:lvlText w:val="4"/>
      <w:numFmt w:val="bullet"/>
      <w:start w:val="1"/>
    </w:lvl>
  </w:abstractNum>
  <w:abstractNum w:abstractNumId="27">
    <w:nsid w:val="6CEAF087"/>
    <w:multiLevelType w:val="hybridMultilevel"/>
    <w:lvl w:ilvl="0">
      <w:lvlJc w:val="left"/>
      <w:lvlText w:val="d"/>
      <w:numFmt w:val="bullet"/>
      <w:start w:val="1"/>
    </w:lvl>
  </w:abstractNum>
  <w:abstractNum w:abstractNumId="28">
    <w:nsid w:val="22221A70"/>
    <w:multiLevelType w:val="hybridMultilevel"/>
    <w:lvl w:ilvl="0">
      <w:lvlJc w:val="left"/>
      <w:lvlText w:val="5"/>
      <w:numFmt w:val="bullet"/>
      <w:start w:val="1"/>
    </w:lvl>
  </w:abstractNum>
  <w:abstractNum w:abstractNumId="29">
    <w:nsid w:val="4516DDE9"/>
    <w:multiLevelType w:val="hybridMultilevel"/>
    <w:lvl w:ilvl="0">
      <w:lvlJc w:val="left"/>
      <w:lvlText w:val="1"/>
      <w:numFmt w:val="bullet"/>
      <w:start w:val="1"/>
    </w:lvl>
  </w:abstractNum>
  <w:abstractNum w:abstractNumId="30">
    <w:nsid w:val="3006C83E"/>
    <w:multiLevelType w:val="hybridMultilevel"/>
    <w:lvl w:ilvl="0">
      <w:lvlJc w:val="left"/>
      <w:lvlText w:val="2"/>
      <w:numFmt w:val="bullet"/>
      <w:start w:val="1"/>
    </w:lvl>
  </w:abstractNum>
  <w:abstractNum w:abstractNumId="31">
    <w:nsid w:val="614FD4A1"/>
    <w:multiLevelType w:val="hybridMultilevel"/>
    <w:lvl w:ilvl="0">
      <w:lvlJc w:val="left"/>
      <w:lvlText w:val="3"/>
      <w:numFmt w:val="bullet"/>
      <w:start w:val="1"/>
    </w:lvl>
  </w:abstractNum>
  <w:abstractNum w:abstractNumId="32">
    <w:nsid w:val="419AC241"/>
    <w:multiLevelType w:val="hybridMultilevel"/>
    <w:lvl w:ilvl="0">
      <w:lvlJc w:val="left"/>
      <w:lvlText w:val="4"/>
      <w:numFmt w:val="bullet"/>
      <w:start w:val="1"/>
    </w:lvl>
  </w:abstractNum>
  <w:abstractNum w:abstractNumId="33">
    <w:nsid w:val="5577F8E1"/>
    <w:multiLevelType w:val="hybridMultilevel"/>
    <w:lvl w:ilvl="0">
      <w:lvlJc w:val="left"/>
      <w:lvlText w:val="5"/>
      <w:numFmt w:val="bullet"/>
      <w:start w:val="1"/>
    </w:lvl>
  </w:abstractNum>
  <w:abstractNum w:abstractNumId="34">
    <w:nsid w:val="440BADFC"/>
    <w:multiLevelType w:val="hybridMultilevel"/>
    <w:lvl w:ilvl="0">
      <w:lvlJc w:val="left"/>
      <w:lvlText w:val="2"/>
      <w:numFmt w:val="bullet"/>
      <w:start w:val="1"/>
    </w:lvl>
  </w:abstractNum>
  <w:abstractNum w:abstractNumId="35">
    <w:nsid w:val="507236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2024-04-26T13:37:23Z</dcterms:created>
  <dcterms:modified xsi:type="dcterms:W3CDTF">2024-04-26T13:37:23Z</dcterms:modified>
</cp:coreProperties>
</file>