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34" w:lineRule="exact"/>
        <w:rPr>
          <w:sz w:val="24"/>
          <w:szCs w:val="24"/>
          <w:color w:val="auto"/>
        </w:rPr>
      </w:pPr>
    </w:p>
    <w:p>
      <w:pPr>
        <w:ind w:left="4660"/>
        <w:spacing w:after="0"/>
        <w:rPr>
          <w:sz w:val="20"/>
          <w:szCs w:val="20"/>
          <w:color w:val="auto"/>
        </w:rPr>
      </w:pPr>
      <w:r>
        <w:rPr>
          <w:rFonts w:ascii="Arial" w:cs="Arial" w:eastAsia="Arial" w:hAnsi="Arial"/>
          <w:sz w:val="22"/>
          <w:szCs w:val="22"/>
          <w:color w:val="auto"/>
        </w:rPr>
        <w:t>__________________</w:t>
      </w:r>
    </w:p>
    <w:p>
      <w:pPr>
        <w:spacing w:after="0" w:line="22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6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DATE OF REPORT (DATE OF EARLIEST EVENT REPORTED): July 30, 2021</w:t>
      </w:r>
    </w:p>
    <w:p>
      <w:pPr>
        <w:spacing w:after="0" w:line="39" w:lineRule="exact"/>
        <w:rPr>
          <w:sz w:val="24"/>
          <w:szCs w:val="24"/>
          <w:color w:val="auto"/>
        </w:rPr>
      </w:pPr>
    </w:p>
    <w:p>
      <w:pPr>
        <w:ind w:left="4540"/>
        <w:spacing w:after="0"/>
        <w:rPr>
          <w:sz w:val="20"/>
          <w:szCs w:val="20"/>
          <w:color w:val="auto"/>
        </w:rPr>
      </w:pPr>
      <w:r>
        <w:rPr>
          <w:rFonts w:ascii="Arial" w:cs="Arial" w:eastAsia="Arial" w:hAnsi="Arial"/>
          <w:sz w:val="22"/>
          <w:szCs w:val="22"/>
          <w:u w:val="single" w:color="auto"/>
          <w:color w:val="auto"/>
        </w:rPr>
        <w:t>____________________</w:t>
      </w:r>
    </w:p>
    <w:p>
      <w:pPr>
        <w:spacing w:after="0" w:line="20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Civeo Corporation</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20"/>
          </w:cols>
          <w:pgMar w:left="320" w:top="1390" w:right="359" w:bottom="1440" w:gutter="0" w:footer="0" w:header="0"/>
        </w:sectPr>
      </w:pPr>
    </w:p>
    <w:p>
      <w:pPr>
        <w:spacing w:after="0" w:line="263" w:lineRule="exact"/>
        <w:rPr>
          <w:sz w:val="24"/>
          <w:szCs w:val="24"/>
          <w:color w:val="auto"/>
        </w:rPr>
      </w:pPr>
    </w:p>
    <w:p>
      <w:pPr>
        <w:ind w:left="620"/>
        <w:spacing w:after="0"/>
        <w:rPr>
          <w:sz w:val="20"/>
          <w:szCs w:val="20"/>
          <w:color w:val="auto"/>
        </w:rPr>
      </w:pPr>
      <w:r>
        <w:rPr>
          <w:rFonts w:ascii="Arial" w:cs="Arial" w:eastAsia="Arial" w:hAnsi="Arial"/>
          <w:sz w:val="19"/>
          <w:szCs w:val="19"/>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1-36246</w:t>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98-1253716</w:t>
      </w:r>
    </w:p>
    <w:p>
      <w:pPr>
        <w:spacing w:after="0" w:line="49" w:lineRule="exact"/>
        <w:rPr>
          <w:sz w:val="24"/>
          <w:szCs w:val="24"/>
          <w:color w:val="auto"/>
        </w:rPr>
      </w:pPr>
    </w:p>
    <w:p>
      <w:pPr>
        <w:sectPr>
          <w:pgSz w:w="11900" w:h="16838" w:orient="portrait"/>
          <w:cols w:equalWidth="0" w:num="3">
            <w:col w:w="4440" w:space="720"/>
            <w:col w:w="2620" w:space="720"/>
            <w:col w:w="2720"/>
          </w:cols>
          <w:pgMar w:left="320" w:top="1390" w:right="359" w:bottom="1440" w:gutter="0" w:footer="0" w:header="0"/>
          <w:type w:val="continuous"/>
        </w:sectPr>
      </w:pPr>
    </w:p>
    <w:p>
      <w:pPr>
        <w:jc w:val="center"/>
        <w:ind w:right="40"/>
        <w:spacing w:after="0"/>
        <w:rPr>
          <w:sz w:val="20"/>
          <w:szCs w:val="20"/>
          <w:color w:val="auto"/>
        </w:rPr>
      </w:pPr>
      <w:r>
        <w:rPr>
          <w:rFonts w:ascii="Arial" w:cs="Arial" w:eastAsia="Arial" w:hAnsi="Arial"/>
          <w:sz w:val="18"/>
          <w:szCs w:val="18"/>
          <w:color w:val="auto"/>
        </w:rPr>
        <w:t>(State or other jurisdiction</w:t>
      </w:r>
    </w:p>
    <w:p>
      <w:pPr>
        <w:jc w:val="center"/>
        <w:ind w:right="4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Arial" w:cs="Arial" w:eastAsia="Arial" w:hAnsi="Arial"/>
          <w:sz w:val="16"/>
          <w:szCs w:val="16"/>
          <w:color w:val="auto"/>
        </w:rPr>
        <w:t>(Commission File</w:t>
      </w:r>
    </w:p>
    <w:p>
      <w:pPr>
        <w:spacing w:after="0" w:line="8" w:lineRule="exact"/>
        <w:rPr>
          <w:sz w:val="24"/>
          <w:szCs w:val="24"/>
          <w:color w:val="auto"/>
        </w:rPr>
      </w:pPr>
    </w:p>
    <w:p>
      <w:pPr>
        <w:jc w:val="center"/>
        <w:ind w:right="1260"/>
        <w:spacing w:after="0"/>
        <w:rPr>
          <w:sz w:val="20"/>
          <w:szCs w:val="20"/>
          <w:color w:val="auto"/>
        </w:rPr>
      </w:pPr>
      <w:r>
        <w:rPr>
          <w:rFonts w:ascii="Arial" w:cs="Arial" w:eastAsia="Arial" w:hAnsi="Arial"/>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7"/>
          <w:szCs w:val="17"/>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153" w:lineRule="exact"/>
        <w:rPr>
          <w:sz w:val="24"/>
          <w:szCs w:val="24"/>
          <w:color w:val="auto"/>
        </w:rPr>
      </w:pPr>
    </w:p>
    <w:p>
      <w:pPr>
        <w:sectPr>
          <w:pgSz w:w="11900" w:h="16838" w:orient="portrait"/>
          <w:cols w:equalWidth="0" w:num="3">
            <w:col w:w="4160" w:space="720"/>
            <w:col w:w="2560" w:space="720"/>
            <w:col w:w="3060"/>
          </w:cols>
          <w:pgMar w:left="320" w:top="1390" w:right="359" w:bottom="1440" w:gutter="0" w:footer="0" w:header="0"/>
          <w:type w:val="continuous"/>
        </w:sectPr>
      </w:pPr>
    </w:p>
    <w:p>
      <w:pPr>
        <w:ind w:left="4640"/>
        <w:spacing w:after="0"/>
        <w:rPr>
          <w:sz w:val="20"/>
          <w:szCs w:val="20"/>
          <w:color w:val="auto"/>
        </w:rPr>
      </w:pPr>
      <w:r>
        <w:rPr>
          <w:rFonts w:ascii="Arial" w:cs="Arial" w:eastAsia="Arial" w:hAnsi="Arial"/>
          <w:sz w:val="22"/>
          <w:szCs w:val="22"/>
          <w:b w:val="1"/>
          <w:bCs w:val="1"/>
          <w:color w:val="auto"/>
        </w:rPr>
        <w:t>Three Allen Center</w:t>
      </w:r>
    </w:p>
    <w:p>
      <w:pPr>
        <w:spacing w:after="0" w:line="139" w:lineRule="exact"/>
        <w:rPr>
          <w:sz w:val="24"/>
          <w:szCs w:val="24"/>
          <w:color w:val="auto"/>
        </w:rPr>
      </w:pPr>
    </w:p>
    <w:p>
      <w:pPr>
        <w:ind w:left="4340"/>
        <w:spacing w:after="0"/>
        <w:rPr>
          <w:sz w:val="20"/>
          <w:szCs w:val="20"/>
          <w:color w:val="auto"/>
        </w:rPr>
      </w:pPr>
      <w:r>
        <w:rPr>
          <w:rFonts w:ascii="Arial" w:cs="Arial" w:eastAsia="Arial" w:hAnsi="Arial"/>
          <w:sz w:val="19"/>
          <w:szCs w:val="19"/>
          <w:b w:val="1"/>
          <w:bCs w:val="1"/>
          <w:color w:val="auto"/>
        </w:rPr>
        <w:t>333 Clay Street, Suite 4980</w:t>
      </w:r>
    </w:p>
    <w:p>
      <w:pPr>
        <w:sectPr>
          <w:pgSz w:w="11900" w:h="16838" w:orient="portrait"/>
          <w:cols w:equalWidth="0" w:num="1">
            <w:col w:w="11220"/>
          </w:cols>
          <w:pgMar w:left="320" w:top="1390" w:right="359" w:bottom="1440" w:gutter="0" w:footer="0" w:header="0"/>
          <w:type w:val="continuous"/>
        </w:sectPr>
      </w:pPr>
    </w:p>
    <w:p>
      <w:pPr>
        <w:spacing w:after="0" w:line="160"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Houston, Texas</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77002</w:t>
      </w:r>
    </w:p>
    <w:p>
      <w:pPr>
        <w:spacing w:after="0" w:line="65" w:lineRule="exact"/>
        <w:rPr>
          <w:sz w:val="24"/>
          <w:szCs w:val="24"/>
          <w:color w:val="auto"/>
        </w:rPr>
      </w:pPr>
    </w:p>
    <w:p>
      <w:pPr>
        <w:sectPr>
          <w:pgSz w:w="11900" w:h="16838" w:orient="portrait"/>
          <w:cols w:equalWidth="0" w:num="2">
            <w:col w:w="6080" w:space="360"/>
            <w:col w:w="4780"/>
          </w:cols>
          <w:pgMar w:left="320" w:top="1390"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(Address and zip code of principal executive offices)</w:t>
      </w:r>
    </w:p>
    <w:p>
      <w:pPr>
        <w:sectPr>
          <w:pgSz w:w="11900" w:h="16838" w:orient="portrait"/>
          <w:cols w:equalWidth="0" w:num="1">
            <w:col w:w="11220"/>
          </w:cols>
          <w:pgMar w:left="320" w:top="1390" w:right="359" w:bottom="1440" w:gutter="0" w:footer="0" w:header="0"/>
          <w:type w:val="continuous"/>
        </w:sectPr>
      </w:pP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5"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107"/>
        </w:trPr>
        <w:tc>
          <w:tcPr>
            <w:tcW w:w="3760" w:type="dxa"/>
            <w:vAlign w:val="bottom"/>
            <w:tcBorders>
              <w:left w:val="single" w:sz="8" w:color="00000A"/>
              <w:bottom w:val="single" w:sz="8" w:color="00000A"/>
              <w:right w:val="single" w:sz="8" w:color="00000A"/>
            </w:tcBorders>
          </w:tcPr>
          <w:p>
            <w:pPr>
              <w:spacing w:after="0"/>
              <w:rPr>
                <w:sz w:val="9"/>
                <w:szCs w:val="9"/>
                <w:color w:val="auto"/>
              </w:rPr>
            </w:pPr>
          </w:p>
        </w:tc>
        <w:tc>
          <w:tcPr>
            <w:tcW w:w="2620" w:type="dxa"/>
            <w:vAlign w:val="bottom"/>
            <w:tcBorders>
              <w:bottom w:val="single" w:sz="8" w:color="00000A"/>
              <w:right w:val="single" w:sz="8" w:color="00000A"/>
            </w:tcBorders>
          </w:tcPr>
          <w:p>
            <w:pPr>
              <w:spacing w:after="0"/>
              <w:rPr>
                <w:sz w:val="9"/>
                <w:szCs w:val="9"/>
                <w:color w:val="auto"/>
              </w:rPr>
            </w:pPr>
          </w:p>
        </w:tc>
        <w:tc>
          <w:tcPr>
            <w:tcW w:w="4840" w:type="dxa"/>
            <w:vAlign w:val="bottom"/>
            <w:tcBorders>
              <w:bottom w:val="single" w:sz="8" w:color="00000A"/>
              <w:right w:val="single" w:sz="8" w:color="00000A"/>
            </w:tcBorders>
          </w:tcPr>
          <w:p>
            <w:pPr>
              <w:spacing w:after="0"/>
              <w:rPr>
                <w:sz w:val="9"/>
                <w:szCs w:val="9"/>
                <w:color w:val="auto"/>
              </w:rPr>
            </w:pPr>
          </w:p>
        </w:tc>
      </w:tr>
      <w:tr>
        <w:trPr>
          <w:trHeight w:val="224"/>
        </w:trPr>
        <w:tc>
          <w:tcPr>
            <w:tcW w:w="37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8"/>
              </w:rPr>
              <w:t>Common Shares, no par value</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7"/>
              </w:rPr>
              <w:t>CVEO</w:t>
            </w:r>
          </w:p>
        </w:tc>
        <w:tc>
          <w:tcPr>
            <w:tcW w:w="484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107"/>
        </w:trPr>
        <w:tc>
          <w:tcPr>
            <w:tcW w:w="3760" w:type="dxa"/>
            <w:vAlign w:val="bottom"/>
            <w:tcBorders>
              <w:left w:val="single" w:sz="8" w:color="00000A"/>
              <w:bottom w:val="single" w:sz="8" w:color="00000A"/>
              <w:right w:val="single" w:sz="8" w:color="00000A"/>
            </w:tcBorders>
          </w:tcPr>
          <w:p>
            <w:pPr>
              <w:spacing w:after="0"/>
              <w:rPr>
                <w:sz w:val="9"/>
                <w:szCs w:val="9"/>
                <w:color w:val="auto"/>
              </w:rPr>
            </w:pPr>
          </w:p>
        </w:tc>
        <w:tc>
          <w:tcPr>
            <w:tcW w:w="2620" w:type="dxa"/>
            <w:vAlign w:val="bottom"/>
            <w:tcBorders>
              <w:bottom w:val="single" w:sz="8" w:color="00000A"/>
              <w:right w:val="single" w:sz="8" w:color="00000A"/>
            </w:tcBorders>
          </w:tcPr>
          <w:p>
            <w:pPr>
              <w:spacing w:after="0"/>
              <w:rPr>
                <w:sz w:val="9"/>
                <w:szCs w:val="9"/>
                <w:color w:val="auto"/>
              </w:rPr>
            </w:pPr>
          </w:p>
        </w:tc>
        <w:tc>
          <w:tcPr>
            <w:tcW w:w="4840" w:type="dxa"/>
            <w:vAlign w:val="bottom"/>
            <w:tcBorders>
              <w:bottom w:val="single" w:sz="8" w:color="00000A"/>
              <w:right w:val="single" w:sz="8" w:color="00000A"/>
            </w:tcBorders>
          </w:tcPr>
          <w:p>
            <w:pPr>
              <w:spacing w:after="0"/>
              <w:rPr>
                <w:sz w:val="9"/>
                <w:szCs w:val="9"/>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0" w:right="359" w:bottom="1440" w:gutter="0" w:footer="0" w:header="0"/>
          <w:type w:val="continuous"/>
        </w:sectPr>
      </w:pPr>
    </w:p>
    <w:bookmarkStart w:id="1" w:name="page2"/>
    <w:bookmarkEnd w:id="1"/>
    <w:p>
      <w:pPr>
        <w:spacing w:after="0" w:line="44"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1080770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53" w:lineRule="exact"/>
        <w:rPr>
          <w:sz w:val="20"/>
          <w:szCs w:val="20"/>
          <w:color w:val="auto"/>
        </w:rPr>
      </w:pPr>
    </w:p>
    <w:p>
      <w:pPr>
        <w:jc w:val="both"/>
        <w:ind w:firstLine="365"/>
        <w:spacing w:after="0" w:line="253" w:lineRule="auto"/>
        <w:rPr>
          <w:sz w:val="20"/>
          <w:szCs w:val="20"/>
          <w:color w:val="auto"/>
        </w:rPr>
      </w:pPr>
      <w:r>
        <w:rPr>
          <w:rFonts w:ascii="Arial" w:cs="Arial" w:eastAsia="Arial" w:hAnsi="Arial"/>
          <w:sz w:val="22"/>
          <w:szCs w:val="22"/>
          <w:color w:val="auto"/>
        </w:rPr>
        <w:t>On July 30, 2021, Civeo Corporation (“Civeo”) issued a press release announcing its financial condition and results of operations as of and for the quarter ended June 30, 2021. A copy of the press release is furnished as Exhibit 99.1 to this report on Form 8-K, and is incorporated herein by reference.</w:t>
      </w:r>
    </w:p>
    <w:p>
      <w:pPr>
        <w:spacing w:after="0" w:line="21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53" w:lineRule="exact"/>
        <w:rPr>
          <w:sz w:val="20"/>
          <w:szCs w:val="20"/>
          <w:color w:val="auto"/>
        </w:rPr>
      </w:pPr>
    </w:p>
    <w:p>
      <w:pPr>
        <w:ind w:left="700" w:hanging="476"/>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74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9480" w:type="dxa"/>
            <w:vAlign w:val="bottom"/>
            <w:gridSpan w:val="3"/>
          </w:tcPr>
          <w:p>
            <w:pPr>
              <w:spacing w:after="0"/>
              <w:rPr>
                <w:sz w:val="20"/>
                <w:szCs w:val="20"/>
                <w:color w:val="auto"/>
              </w:rPr>
            </w:pPr>
            <w:r>
              <w:rPr>
                <w:rFonts w:ascii="Arial" w:cs="Arial" w:eastAsia="Arial" w:hAnsi="Arial"/>
                <w:sz w:val="22"/>
                <w:szCs w:val="22"/>
                <w:color w:val="auto"/>
              </w:rPr>
              <w:t>Description of Document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tcPr>
          <w:p>
            <w:pPr>
              <w:spacing w:after="0" w:line="195" w:lineRule="exact"/>
              <w:rPr>
                <w:sz w:val="20"/>
                <w:szCs w:val="20"/>
                <w:color w:val="auto"/>
              </w:rPr>
            </w:pPr>
            <w:r>
              <w:rPr>
                <w:rFonts w:ascii="Arial" w:cs="Arial" w:eastAsia="Arial" w:hAnsi="Arial"/>
                <w:sz w:val="22"/>
                <w:szCs w:val="22"/>
                <w:color w:val="auto"/>
                <w:w w:val="89"/>
              </w:rPr>
              <w:t>Number</w:t>
            </w:r>
          </w:p>
        </w:tc>
        <w:tc>
          <w:tcPr>
            <w:tcW w:w="102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6540" w:type="dxa"/>
            <w:vAlign w:val="bottom"/>
          </w:tcPr>
          <w:p>
            <w:pPr>
              <w:spacing w:after="0"/>
              <w:rPr>
                <w:sz w:val="17"/>
                <w:szCs w:val="17"/>
                <w:color w:val="auto"/>
              </w:rPr>
            </w:pPr>
          </w:p>
        </w:tc>
      </w:tr>
      <w:tr>
        <w:trPr>
          <w:trHeight w:val="493"/>
        </w:trPr>
        <w:tc>
          <w:tcPr>
            <w:tcW w:w="740" w:type="dxa"/>
            <w:vAlign w:val="bottom"/>
            <w:gridSpan w:val="2"/>
          </w:tcPr>
          <w:p>
            <w:pPr>
              <w:ind w:left="20"/>
              <w:spacing w:after="0"/>
              <w:rPr>
                <w:sz w:val="20"/>
                <w:szCs w:val="20"/>
                <w:color w:val="auto"/>
              </w:rPr>
            </w:pPr>
            <w:r>
              <w:rPr>
                <w:rFonts w:ascii="Arial" w:cs="Arial" w:eastAsia="Arial" w:hAnsi="Arial"/>
                <w:sz w:val="22"/>
                <w:szCs w:val="22"/>
                <w:color w:val="auto"/>
              </w:rPr>
              <w:t>99.1</w:t>
            </w:r>
          </w:p>
        </w:tc>
        <w:tc>
          <w:tcPr>
            <w:tcW w:w="1020" w:type="dxa"/>
            <w:vAlign w:val="bottom"/>
          </w:tcPr>
          <w:p>
            <w:pPr>
              <w:spacing w:after="0"/>
              <w:rPr>
                <w:sz w:val="24"/>
                <w:szCs w:val="24"/>
                <w:color w:val="auto"/>
              </w:rPr>
            </w:pPr>
          </w:p>
        </w:tc>
        <w:tc>
          <w:tcPr>
            <w:tcW w:w="2940" w:type="dxa"/>
            <w:vAlign w:val="bottom"/>
            <w:tcBorders>
              <w:bottom w:val="single" w:sz="8" w:color="0000FF"/>
            </w:tcBorders>
            <w:gridSpan w:val="2"/>
          </w:tcPr>
          <w:p>
            <w:pPr>
              <w:spacing w:after="0"/>
              <w:rPr>
                <w:rFonts w:ascii="Arial" w:cs="Arial" w:eastAsia="Arial" w:hAnsi="Arial"/>
                <w:sz w:val="22"/>
                <w:szCs w:val="22"/>
                <w:color w:val="0000FF"/>
                <w:w w:val="85"/>
              </w:rPr>
            </w:pPr>
            <w:hyperlink w:anchor="page5">
              <w:r>
                <w:rPr>
                  <w:rFonts w:ascii="Arial" w:cs="Arial" w:eastAsia="Arial" w:hAnsi="Arial"/>
                  <w:sz w:val="22"/>
                  <w:szCs w:val="22"/>
                  <w:color w:val="0000FF"/>
                  <w:w w:val="85"/>
                </w:rPr>
                <w:t>Press Release dated July 30, 2021</w:t>
              </w:r>
            </w:hyperlink>
          </w:p>
        </w:tc>
        <w:tc>
          <w:tcPr>
            <w:tcW w:w="6540" w:type="dxa"/>
            <w:vAlign w:val="bottom"/>
          </w:tcPr>
          <w:p>
            <w:pPr>
              <w:spacing w:after="0"/>
              <w:rPr>
                <w:sz w:val="24"/>
                <w:szCs w:val="24"/>
                <w:color w:val="auto"/>
              </w:rPr>
            </w:pPr>
          </w:p>
        </w:tc>
      </w:tr>
      <w:tr>
        <w:trPr>
          <w:trHeight w:val="449"/>
        </w:trPr>
        <w:tc>
          <w:tcPr>
            <w:tcW w:w="740" w:type="dxa"/>
            <w:vAlign w:val="bottom"/>
            <w:gridSpan w:val="2"/>
          </w:tcPr>
          <w:p>
            <w:pPr>
              <w:ind w:left="20"/>
              <w:spacing w:after="0"/>
              <w:rPr>
                <w:sz w:val="20"/>
                <w:szCs w:val="20"/>
                <w:color w:val="auto"/>
              </w:rPr>
            </w:pPr>
            <w:r>
              <w:rPr>
                <w:rFonts w:ascii="Arial" w:cs="Arial" w:eastAsia="Arial" w:hAnsi="Arial"/>
                <w:sz w:val="22"/>
                <w:szCs w:val="22"/>
                <w:color w:val="auto"/>
              </w:rPr>
              <w:t>104</w:t>
            </w:r>
          </w:p>
        </w:tc>
        <w:tc>
          <w:tcPr>
            <w:tcW w:w="1020" w:type="dxa"/>
            <w:vAlign w:val="bottom"/>
          </w:tcPr>
          <w:p>
            <w:pPr>
              <w:spacing w:after="0"/>
              <w:rPr>
                <w:sz w:val="24"/>
                <w:szCs w:val="24"/>
                <w:color w:val="auto"/>
              </w:rPr>
            </w:pPr>
          </w:p>
        </w:tc>
        <w:tc>
          <w:tcPr>
            <w:tcW w:w="9480" w:type="dxa"/>
            <w:vAlign w:val="bottom"/>
            <w:gridSpan w:val="3"/>
          </w:tcPr>
          <w:p>
            <w:pPr>
              <w:spacing w:after="0"/>
              <w:rPr>
                <w:sz w:val="20"/>
                <w:szCs w:val="20"/>
                <w:color w:val="auto"/>
              </w:rPr>
            </w:pPr>
            <w:r>
              <w:rPr>
                <w:rFonts w:ascii="Arial" w:cs="Arial" w:eastAsia="Arial" w:hAnsi="Arial"/>
                <w:sz w:val="22"/>
                <w:szCs w:val="22"/>
                <w:color w:val="auto"/>
              </w:rPr>
              <w:t>Cover Page Interactive Data File (formatted as Inline XBRL and contained in Exhibit 101)</w:t>
            </w:r>
          </w:p>
        </w:tc>
      </w:tr>
      <w:tr>
        <w:trPr>
          <w:trHeight w:val="1388"/>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-1653540</wp:posOffset>
            </wp:positionV>
            <wp:extent cx="342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53"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b w:val="1"/>
          <w:bCs w:val="1"/>
          <w:color w:val="auto"/>
        </w:rPr>
        <w:t>July 30, 2021</w:t>
      </w:r>
    </w:p>
    <w:p>
      <w:pPr>
        <w:spacing w:after="0" w:line="260" w:lineRule="exact"/>
        <w:rPr>
          <w:sz w:val="20"/>
          <w:szCs w:val="20"/>
          <w:color w:val="auto"/>
        </w:rPr>
      </w:pPr>
    </w:p>
    <w:p>
      <w:pPr>
        <w:ind w:left="2600"/>
        <w:spacing w:after="0"/>
        <w:rPr>
          <w:sz w:val="20"/>
          <w:szCs w:val="20"/>
          <w:color w:val="auto"/>
        </w:rPr>
      </w:pPr>
      <w:r>
        <w:rPr>
          <w:rFonts w:ascii="Arial" w:cs="Arial" w:eastAsia="Arial" w:hAnsi="Arial"/>
          <w:sz w:val="22"/>
          <w:szCs w:val="22"/>
          <w:b w:val="1"/>
          <w:bCs w:val="1"/>
          <w:color w:val="auto"/>
        </w:rPr>
        <w:t>CIVEO CORPORATION</w:t>
      </w:r>
    </w:p>
    <w:p>
      <w:pPr>
        <w:spacing w:after="0" w:line="200" w:lineRule="exact"/>
        <w:rPr>
          <w:sz w:val="20"/>
          <w:szCs w:val="20"/>
          <w:color w:val="auto"/>
        </w:rPr>
      </w:pPr>
    </w:p>
    <w:p>
      <w:pPr>
        <w:spacing w:after="0" w:line="296"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 xml:space="preserve">By: /s/ Carolyn J. Stone </w:t>
      </w:r>
      <w:r>
        <w:rPr>
          <w:rFonts w:ascii="Arial" w:cs="Arial" w:eastAsia="Arial" w:hAnsi="Arial"/>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-17780</wp:posOffset>
            </wp:positionV>
            <wp:extent cx="11430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1" w:lineRule="exact"/>
        <w:rPr>
          <w:sz w:val="20"/>
          <w:szCs w:val="20"/>
          <w:color w:val="auto"/>
        </w:rPr>
      </w:pPr>
    </w:p>
    <w:p>
      <w:pPr>
        <w:ind w:left="1740"/>
        <w:spacing w:after="0"/>
        <w:tabs>
          <w:tab w:leader="none" w:pos="25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Carolyn J. Stone</w:t>
      </w:r>
    </w:p>
    <w:p>
      <w:pPr>
        <w:spacing w:after="0" w:line="4"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Chief Financial Officer and Treasurer</w:t>
      </w:r>
    </w:p>
    <w:p>
      <w:pPr>
        <w:sectPr>
          <w:pgSz w:w="11900" w:h="16838" w:orient="portrait"/>
          <w:cols w:equalWidth="0" w:num="1">
            <w:col w:w="11220"/>
          </w:cols>
          <w:pgMar w:left="320" w:top="1300" w:right="35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27"/>
          <w:szCs w:val="27"/>
          <w:b w:val="1"/>
          <w:bCs w:val="1"/>
          <w:color w:val="auto"/>
        </w:rPr>
        <w:t>Civeo Reports Second Quarter 2021 Results</w:t>
      </w:r>
    </w:p>
    <w:p>
      <w:pPr>
        <w:spacing w:after="0" w:line="200" w:lineRule="exact"/>
        <w:rPr>
          <w:sz w:val="20"/>
          <w:szCs w:val="20"/>
          <w:color w:val="auto"/>
        </w:rPr>
      </w:pPr>
    </w:p>
    <w:p>
      <w:pPr>
        <w:spacing w:after="0" w:line="32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HOUSTON and CALGARY, July 30, 2021 (BUSINESS WIRE) -- Civeo Corporation (NYSE:CVEO) today reported financial and operating results for the second quarter ended June 30,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Highlights include:</w:t>
      </w:r>
    </w:p>
    <w:p>
      <w:pPr>
        <w:spacing w:after="0" w:line="15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second quarter revenues of $154.2 million, a net loss of $0.5 million and operating cash flow of $16.5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Delivered second quarter Adjusted EBITDA of $32.2 million and free cash flow of $13.7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total debt to $226.8 million as of June 30, 2021 from $238.1 million as of March 31, 2021.</w:t>
      </w:r>
    </w:p>
    <w:p>
      <w:pPr>
        <w:spacing w:after="0" w:line="239"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“In the second quarter of 2021, we once again stuck to our objectives of operating safely, generating free cash flow and reducing our debt balance. The second quarter marks our eighth consecutive quarter of debt and leverage ratio reduction," stated Bradley J. Dodson, Civeo's President and Chief Executive Officer.</w:t>
      </w:r>
    </w:p>
    <w:p>
      <w:pPr>
        <w:spacing w:after="0" w:line="218"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Mr. Dodson concluded, "In Canada, we are encouraged and thankful for the rapid decline of COVID-19 cases after the strong third wave occurred in April, and as a result, customer activity in the Canadian oil sands and pipeline work continued to strengthen. In Australia, Civeo and its customers continue to deal with labor supply issues and subdued activity due to COVID-19 travel restrictions and the lingering China/Australia trade dispute, but we continue to view these issues as transitory. Australia has been more successful in finding demand for its met coal exports, and Australian met coal is now trading above $200/tonne, an increase of almost 100% since the first quarter of 2021."</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2021 Results</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 the second quarter of 2021, Civeo generated revenues of $154.2 million and reported a net loss of $0.5 million, or $0.03 per diluted share. The loss results in part from $7.9 million in costs associated with asset impairments on properties in Australia. During the second quarter of 2021, Civeo produced operating cash flow of $16.5 million, Adjusted EBITDA of $32.2 million and free cash flow of $13.7 million.</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By comparison, in the second quarter of 2020, Civeo generated revenues of $114.7 million and reported net income of $6.1 million, or $0.37 per diluted share. Net income included $ 4.7 million of income associated with the settlement of a representations and warranties claim related to the Noralta acquisition. During the second quarter of 2020, Civeo produced operating cash flow of $24.5 million, Adjusted EBITDA of $28.1 million and free cash flow of $25.1 million.</w:t>
      </w:r>
    </w:p>
    <w:p>
      <w:pPr>
        <w:spacing w:after="0" w:line="13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Overall, the increase in revenues and Adjusted EBITDA in the second quarter of 2021 compared to 2020 was primarily due to a significant increase in billed rooms in the oil sands lodges and Canadian mobile camp activity, partially offset by $6.2 million of other income in 2020 related to proceeds from the Canadian Emergency Wage Subsidy ("CEWS") program and increased labor costs in our Australian business during the second quarter of 2021.</w:t>
      </w:r>
    </w:p>
    <w:p>
      <w:pPr>
        <w:spacing w:after="0" w:line="136"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(EBITDA is a non-GAAP financial measure that is defined as net income plus interest, taxes, depreciation and amortization, and Adjusted EBITDA is defined as EBITDA adjusted to exclude impairment charges and proceeds from the settlement of a representation and warranties claim related to a prior acquisition. Free cash flow is a non-GAAP financial measure that is defined as net cash flows provided by operating activities less capital expenditures plus proceeds from asset sales. Please see the reconciliations to GAAP measures at the end of this news release.)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Segment Results</w:t>
      </w:r>
    </w:p>
    <w:p>
      <w:pPr>
        <w:spacing w:after="0" w:line="14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(Unless otherwise noted, the following discussion compares the quarterly results for the second quarter of 2021 to the results for the second quarter of 2020.)</w:t>
      </w:r>
    </w:p>
    <w:p>
      <w:pPr>
        <w:sectPr>
          <w:pgSz w:w="11900" w:h="16838" w:orient="portrait"/>
          <w:cols w:equalWidth="0" w:num="1">
            <w:col w:w="11180"/>
          </w:cols>
          <w:pgMar w:left="320" w:top="895"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Canada</w:t>
      </w:r>
    </w:p>
    <w:p>
      <w:pPr>
        <w:spacing w:after="0" w:line="158"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During the second quarter of 2021, the Canadian segment generated revenues of $83.3 million, operating income of $7.5 million and Adjusted EBITDA of $22.6 million, compared to revenues of $53.0 million, operating loss of $6.7 million and Adjusted EBITDA of $15.3 million in the second quarter of 2020. Operating income and Adjusted EBITDA for the second quarter of 2021 included $0.7 million of other income related to proceeds from CEWS. The second quarter of 2020 Adjusted EBITDA included $ 6.2 million of other income related to proceeds from CEWS and a $1.7 million gain on sale of assets from the partial sale of assets from our Henday lodge. Results from the second quarter of 2021 reflect the impact of a strengthened Canadian dollar relative to the U.S. dollar, which increased revenues and Adjusted EBITDA by $9.6 million and $2.7 million, respectively.</w:t>
      </w:r>
    </w:p>
    <w:p>
      <w:pPr>
        <w:spacing w:after="0" w:line="23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On a constant currency basis, the Canadian segment experienced a 39% period-over-period increase in revenues driven by a 76% year-over-year increase in billed rooms, primarily in the oil sands lodges, related to increased customer activity as a result of the recovery of oil prices from the impact of COVID-19. Adjusted EBITDA for the Canadian segment increased 48% year-over-year primarily due to the increase in billed rooms coupled with increased mobile camp activity, partially offset by decreased billed rooms at Sitka lodge due to British Columbia's health order protocol.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the second quarter of 2021, the Australian segment generated revenues of $64.0 million, operating loss of $2.7 million and Adjusted EBITDA of $15.4 million, compared to revenues of $57.1 million, operating income of $ 8.2 million and Adjusted EBITDA of $18.8 million in the second quarter of 2020. Results from the second quarter of 2021 reflect the impact of a strengthened Australian dollar relative to the U.S. dollar, which increased revenues and Adjusted EBITDA by $9.4 million and $2.3 million, respectively. Operating loss for the second quarter of 2021 includes asset impairment charges of $7.9 million.</w:t>
      </w:r>
    </w:p>
    <w:p>
      <w:pPr>
        <w:spacing w:after="0" w:line="23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On a constant currency basis, the Australian segment experienced modestly lower period-over-period revenues, driven by a 7% year-over-year decrease in billed rooms due to subdued customer spending in the Bowen Basin. Adjusted EBITDA from the Australian segment decreased 18% year-over-year due to lower village occupancy in the Bowen Basin, as well as higher labor costs in the Integrated Services business.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w:t>
      </w:r>
    </w:p>
    <w:p>
      <w:pPr>
        <w:spacing w:after="0" w:line="158"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The U.S. segment generated revenues of $6.9 million, operating loss of $1.1 million and Adjusted EBITDA of $0.3 million in the second quarter of 2021, compared to revenues of $4.6 million, operating loss of $2.6 million and negative Adjusted EBITDA of $1.4 million in the second quarter of 2020. Revenues and Adjusted EBITDA increased year-over-year primarily due to increased offshore fabrication activity coupled with higher occupancy in the U.S. lodges.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15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As of June 30, 2021, Civeo had total liquidity of approximately $116.5 million, consisting of $112.1 million available under its revolving credit facilities and $4.4 million of cash on hand.</w:t>
      </w:r>
    </w:p>
    <w:p>
      <w:pPr>
        <w:spacing w:after="0" w:line="130"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Civeo’s total debt outstanding on June 30, 2021 was $ 226.8 million, an $ 11.2 million decrease since March 31, 2021. The decrease consisted of $14.4 million in debt payments from cash flow generated by the business, partially offset by an unfavorable foreign currency translation of $3.2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Civeo reduced its leverage ratio to 2.0x as of June 30, 2021 from 2.1x as of March 31, 2021.</w:t>
      </w:r>
    </w:p>
    <w:p>
      <w:pPr>
        <w:spacing w:after="0" w:line="158"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During the second quarter of 2021, Civeo invested $3.2 million in capital expenditures, up from $1.2 million during the second quarter of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2021 Guidance</w:t>
      </w:r>
    </w:p>
    <w:p>
      <w:pPr>
        <w:spacing w:after="0" w:line="14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For the full year of 2021, Civeo is maintaining its revenue and Adjusted EBITDA guidance range of $555 million to $580 million and $ 90 million to $100 million, respectively. This guidance is based on our expectations as of today and assumes no material changes to the current macro environment, or conditions related to the COVID-19 pandemic. The Company is lowering its full year 2021 capital expenditure guidance to $15 million to $20 million.</w:t>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Conference Call</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Civeo will host a conference call to discuss its second quarter 2021 financial results today at 11:00 a.m. Eastern time. This call is being webcast and can be accessed at Civeo's website at www.civeo.com. Participants may also join the conference call by dialing (800) 289-0438 in the United States or (323) 794-2423 internationally and using the conference ID 8892853#. A replay will be available after the call by dialing (844) 512-2921 in the United States or (412) 317-6671 internationally and using the conference ID 8892853#.</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Civeo</w:t>
      </w:r>
    </w:p>
    <w:p>
      <w:pPr>
        <w:spacing w:after="0" w:line="158"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Civeo Corporation is a leading provider of hospitality services with prominent market positions in the Canadian oil sands and the Australian natural resource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operates a total of 28 lodges and villages in Canada, Australia and the U.S., with an aggregate of approximately 30,000 rooms. Civeo is publicly traded under the symbol CVEO on the New York Stock Exchange. For more information, please visit Civeo's website at www.civeo.com.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4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herein include the statements regarding Civeo’s future plans and outlook, including guidance, current trends and liquidity needs,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global health concerns and pandemics, including the COVID-19 pandemic, any increases in or severity of COVID-19 cases (including due to existing or new variants) and the risk that room occupancy may decline if our customers are limited or restricted in the availability of personnel who may become ill or be subjected to quarantine,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oil, natural gas, coal, iron ore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the company’s ability to integrate acquisitions, risks associated with labor shortages, risks associated with the development of new projects, including whether such projects will continue in the future, risks associated with the trading price of the company’s common shares, availability and cost of capital, risks associated with general global economic conditions, global weather conditions, natural disasters and security threats and changes to government and environmental regulations, including climate change, and other factors discussed in the “Management’s Discussion and Analysis of Financial Condition and Results of Operations” and “Risk Factors” sections of Civeo’s annual report on Form 10-K for the year ended December 31, 2020 and other reports the company may file from time to time with the U.S. Securities and Exchange Commission. Each forward-looking statement contained herein speaks only as of the date of this release. Except as required by law, Civeo expressly disclaims any intention or obligation to revise or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 Financial Schedules Follow -</w:t>
      </w:r>
    </w:p>
    <w:p>
      <w:pPr>
        <w:sectPr>
          <w:pgSz w:w="11900" w:h="16838" w:orient="portrait"/>
          <w:cols w:equalWidth="0" w:num="1">
            <w:col w:w="11200"/>
          </w:cols>
          <w:pgMar w:left="320" w:top="908" w:right="37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CIVEO CORPORATION</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12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Six Months Ended</w:t>
            </w:r>
          </w:p>
        </w:tc>
      </w:tr>
      <w:tr>
        <w:trPr>
          <w:trHeight w:val="190"/>
        </w:trPr>
        <w:tc>
          <w:tcPr>
            <w:tcW w:w="4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6"/>
                <w:szCs w:val="16"/>
                <w:color w:val="auto"/>
              </w:rPr>
            </w:pPr>
          </w:p>
        </w:tc>
      </w:tr>
      <w:tr>
        <w:trPr>
          <w:trHeight w:val="255"/>
        </w:trPr>
        <w:tc>
          <w:tcPr>
            <w:tcW w:w="4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r>
      <w:tr>
        <w:trPr>
          <w:trHeight w:val="508"/>
        </w:trPr>
        <w:tc>
          <w:tcPr>
            <w:tcW w:w="4240" w:type="dxa"/>
            <w:vAlign w:val="bottom"/>
          </w:tcPr>
          <w:p>
            <w:pPr>
              <w:spacing w:after="0"/>
              <w:rPr>
                <w:sz w:val="20"/>
                <w:szCs w:val="20"/>
                <w:color w:val="auto"/>
              </w:rPr>
            </w:pPr>
            <w:r>
              <w:rPr>
                <w:rFonts w:ascii="Arial" w:cs="Arial" w:eastAsia="Arial" w:hAnsi="Arial"/>
                <w:sz w:val="14"/>
                <w:szCs w:val="14"/>
                <w:color w:val="auto"/>
              </w:rPr>
              <w:t>Revenues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154,176</w:t>
            </w:r>
          </w:p>
        </w:tc>
        <w:tc>
          <w:tcPr>
            <w:tcW w:w="18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114,702</w:t>
            </w:r>
          </w:p>
        </w:tc>
        <w:tc>
          <w:tcPr>
            <w:tcW w:w="2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279,606</w:t>
            </w:r>
          </w:p>
        </w:tc>
        <w:tc>
          <w:tcPr>
            <w:tcW w:w="18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253,494</w:t>
            </w:r>
          </w:p>
        </w:tc>
      </w:tr>
      <w:tr>
        <w:trPr>
          <w:trHeight w:val="513"/>
        </w:trPr>
        <w:tc>
          <w:tcPr>
            <w:tcW w:w="4240" w:type="dxa"/>
            <w:vAlign w:val="bottom"/>
          </w:tcPr>
          <w:p>
            <w:pPr>
              <w:spacing w:after="0"/>
              <w:rPr>
                <w:sz w:val="20"/>
                <w:szCs w:val="20"/>
                <w:color w:val="auto"/>
              </w:rPr>
            </w:pPr>
            <w:r>
              <w:rPr>
                <w:rFonts w:ascii="Arial" w:cs="Arial" w:eastAsia="Arial" w:hAnsi="Arial"/>
                <w:sz w:val="14"/>
                <w:szCs w:val="14"/>
                <w:color w:val="auto"/>
              </w:rPr>
              <w:t>Costs and expenses: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7"/>
        </w:trPr>
        <w:tc>
          <w:tcPr>
            <w:tcW w:w="4240" w:type="dxa"/>
            <w:vAlign w:val="bottom"/>
          </w:tcPr>
          <w:p>
            <w:pPr>
              <w:ind w:left="120"/>
              <w:spacing w:after="0"/>
              <w:rPr>
                <w:sz w:val="20"/>
                <w:szCs w:val="20"/>
                <w:color w:val="auto"/>
              </w:rPr>
            </w:pPr>
            <w:r>
              <w:rPr>
                <w:rFonts w:ascii="Arial" w:cs="Arial" w:eastAsia="Arial" w:hAnsi="Arial"/>
                <w:sz w:val="14"/>
                <w:szCs w:val="14"/>
                <w:color w:val="auto"/>
              </w:rPr>
              <w:t>Cost of sales and services</w:t>
            </w: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108,002</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83,133</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207,812</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186,446</w:t>
            </w:r>
          </w:p>
        </w:tc>
      </w:tr>
      <w:tr>
        <w:trPr>
          <w:trHeight w:val="257"/>
        </w:trPr>
        <w:tc>
          <w:tcPr>
            <w:tcW w:w="424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14,703</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11,490</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28,884</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25,427</w:t>
            </w:r>
          </w:p>
        </w:tc>
      </w:tr>
      <w:tr>
        <w:trPr>
          <w:trHeight w:val="257"/>
        </w:trPr>
        <w:tc>
          <w:tcPr>
            <w:tcW w:w="4240" w:type="dxa"/>
            <w:vAlign w:val="bottom"/>
          </w:tcPr>
          <w:p>
            <w:pPr>
              <w:ind w:left="120"/>
              <w:spacing w:after="0"/>
              <w:rPr>
                <w:sz w:val="20"/>
                <w:szCs w:val="20"/>
                <w:color w:val="auto"/>
              </w:rPr>
            </w:pPr>
            <w:r>
              <w:rPr>
                <w:rFonts w:ascii="Arial" w:cs="Arial" w:eastAsia="Arial" w:hAnsi="Arial"/>
                <w:sz w:val="14"/>
                <w:szCs w:val="14"/>
                <w:color w:val="auto"/>
              </w:rPr>
              <w:t>Depreciation and amortization expense</w:t>
            </w: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21,377</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22,205</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42,646</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47,707</w:t>
            </w:r>
          </w:p>
        </w:tc>
      </w:tr>
      <w:tr>
        <w:trPr>
          <w:trHeight w:val="256"/>
        </w:trPr>
        <w:tc>
          <w:tcPr>
            <w:tcW w:w="4240" w:type="dxa"/>
            <w:vAlign w:val="bottom"/>
          </w:tcPr>
          <w:p>
            <w:pPr>
              <w:ind w:left="120"/>
              <w:spacing w:after="0"/>
              <w:rPr>
                <w:sz w:val="20"/>
                <w:szCs w:val="20"/>
                <w:color w:val="auto"/>
              </w:rPr>
            </w:pPr>
            <w:r>
              <w:rPr>
                <w:rFonts w:ascii="Arial" w:cs="Arial" w:eastAsia="Arial" w:hAnsi="Arial"/>
                <w:sz w:val="14"/>
                <w:szCs w:val="14"/>
                <w:color w:val="auto"/>
              </w:rPr>
              <w:t>Impairment expense</w:t>
            </w: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7,935</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7,935</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144,120</w:t>
            </w:r>
          </w:p>
        </w:tc>
      </w:tr>
      <w:tr>
        <w:trPr>
          <w:trHeight w:val="255"/>
        </w:trPr>
        <w:tc>
          <w:tcPr>
            <w:tcW w:w="4240" w:type="dxa"/>
            <w:vAlign w:val="bottom"/>
          </w:tcPr>
          <w:p>
            <w:pPr>
              <w:ind w:left="120"/>
              <w:spacing w:after="0"/>
              <w:rPr>
                <w:sz w:val="20"/>
                <w:szCs w:val="20"/>
                <w:color w:val="auto"/>
              </w:rPr>
            </w:pPr>
            <w:r>
              <w:rPr>
                <w:rFonts w:ascii="Arial" w:cs="Arial" w:eastAsia="Arial" w:hAnsi="Arial"/>
                <w:sz w:val="14"/>
                <w:szCs w:val="14"/>
                <w:color w:val="auto"/>
              </w:rPr>
              <w:t>Other operating expense (income)</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704</w:t>
            </w:r>
          </w:p>
        </w:tc>
      </w:tr>
      <w:tr>
        <w:trPr>
          <w:trHeight w:val="236"/>
        </w:trPr>
        <w:tc>
          <w:tcPr>
            <w:tcW w:w="4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152,047</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116,543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287,378</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404,404</w:t>
            </w:r>
          </w:p>
        </w:tc>
      </w:tr>
      <w:tr>
        <w:trPr>
          <w:trHeight w:val="238"/>
        </w:trPr>
        <w:tc>
          <w:tcPr>
            <w:tcW w:w="4240" w:type="dxa"/>
            <w:vAlign w:val="bottom"/>
          </w:tcPr>
          <w:p>
            <w:pPr>
              <w:spacing w:after="0"/>
              <w:rPr>
                <w:sz w:val="20"/>
                <w:szCs w:val="20"/>
                <w:color w:val="auto"/>
              </w:rPr>
            </w:pPr>
            <w:r>
              <w:rPr>
                <w:rFonts w:ascii="Arial" w:cs="Arial" w:eastAsia="Arial" w:hAnsi="Arial"/>
                <w:sz w:val="14"/>
                <w:szCs w:val="14"/>
                <w:color w:val="auto"/>
              </w:rPr>
              <w:t>Operating income (loss)</w:t>
            </w:r>
          </w:p>
        </w:tc>
        <w:tc>
          <w:tcPr>
            <w:tcW w:w="30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2,129</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(1,841)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(7,772)</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(150,910)</w:t>
            </w:r>
          </w:p>
        </w:tc>
      </w:tr>
      <w:tr>
        <w:trPr>
          <w:trHeight w:val="513"/>
        </w:trPr>
        <w:tc>
          <w:tcPr>
            <w:tcW w:w="4240" w:type="dxa"/>
            <w:vAlign w:val="bottom"/>
          </w:tcPr>
          <w:p>
            <w:pPr>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(3,401)</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(3,854)</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(6,763)</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(9,449)</w:t>
            </w:r>
          </w:p>
        </w:tc>
      </w:tr>
      <w:tr>
        <w:trPr>
          <w:trHeight w:val="257"/>
        </w:trPr>
        <w:tc>
          <w:tcPr>
            <w:tcW w:w="4240" w:type="dxa"/>
            <w:vAlign w:val="bottom"/>
          </w:tcPr>
          <w:p>
            <w:pPr>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20</w:t>
            </w:r>
          </w:p>
        </w:tc>
      </w:tr>
      <w:tr>
        <w:trPr>
          <w:trHeight w:val="255"/>
        </w:trPr>
        <w:tc>
          <w:tcPr>
            <w:tcW w:w="4240" w:type="dxa"/>
            <w:vAlign w:val="bottom"/>
          </w:tcPr>
          <w:p>
            <w:pPr>
              <w:spacing w:after="0"/>
              <w:rPr>
                <w:sz w:val="20"/>
                <w:szCs w:val="20"/>
                <w:color w:val="auto"/>
              </w:rPr>
            </w:pPr>
            <w:r>
              <w:rPr>
                <w:rFonts w:ascii="Arial" w:cs="Arial" w:eastAsia="Arial" w:hAnsi="Arial"/>
                <w:sz w:val="14"/>
                <w:szCs w:val="14"/>
                <w:color w:val="auto"/>
              </w:rPr>
              <w:t>Other income</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788</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12,642</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5,702</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12,667</w:t>
            </w:r>
          </w:p>
        </w:tc>
      </w:tr>
      <w:tr>
        <w:trPr>
          <w:trHeight w:val="238"/>
        </w:trPr>
        <w:tc>
          <w:tcPr>
            <w:tcW w:w="4240" w:type="dxa"/>
            <w:vAlign w:val="bottom"/>
          </w:tcPr>
          <w:p>
            <w:pPr>
              <w:ind w:left="120"/>
              <w:spacing w:after="0"/>
              <w:rPr>
                <w:sz w:val="20"/>
                <w:szCs w:val="20"/>
                <w:color w:val="auto"/>
              </w:rPr>
            </w:pPr>
            <w:r>
              <w:rPr>
                <w:rFonts w:ascii="Arial" w:cs="Arial" w:eastAsia="Arial" w:hAnsi="Arial"/>
                <w:sz w:val="14"/>
                <w:szCs w:val="14"/>
                <w:color w:val="auto"/>
              </w:rPr>
              <w:t>(Loss) income before income taxes</w:t>
            </w: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(482)</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6,951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(8,831)</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(147,672)</w:t>
            </w:r>
          </w:p>
        </w:tc>
      </w:tr>
      <w:tr>
        <w:trPr>
          <w:trHeight w:val="255"/>
        </w:trPr>
        <w:tc>
          <w:tcPr>
            <w:tcW w:w="4240" w:type="dxa"/>
            <w:vAlign w:val="bottom"/>
          </w:tcPr>
          <w:p>
            <w:pPr>
              <w:spacing w:after="0"/>
              <w:rPr>
                <w:sz w:val="20"/>
                <w:szCs w:val="20"/>
                <w:color w:val="auto"/>
              </w:rPr>
            </w:pPr>
            <w:r>
              <w:rPr>
                <w:rFonts w:ascii="Arial" w:cs="Arial" w:eastAsia="Arial" w:hAnsi="Arial"/>
                <w:sz w:val="14"/>
                <w:szCs w:val="14"/>
                <w:color w:val="auto"/>
              </w:rPr>
              <w:t>Income tax benefit (expense)</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492</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8,689</w:t>
            </w:r>
          </w:p>
        </w:tc>
      </w:tr>
      <w:tr>
        <w:trPr>
          <w:trHeight w:val="238"/>
        </w:trPr>
        <w:tc>
          <w:tcPr>
            <w:tcW w:w="4240" w:type="dxa"/>
            <w:vAlign w:val="bottom"/>
          </w:tcPr>
          <w:p>
            <w:pPr>
              <w:spacing w:after="0"/>
              <w:rPr>
                <w:sz w:val="20"/>
                <w:szCs w:val="20"/>
                <w:color w:val="auto"/>
              </w:rPr>
            </w:pPr>
            <w:r>
              <w:rPr>
                <w:rFonts w:ascii="Arial" w:cs="Arial" w:eastAsia="Arial" w:hAnsi="Arial"/>
                <w:sz w:val="14"/>
                <w:szCs w:val="14"/>
                <w:color w:val="auto"/>
              </w:rPr>
              <w:t>Net income (loss)</w:t>
            </w:r>
          </w:p>
        </w:tc>
        <w:tc>
          <w:tcPr>
            <w:tcW w:w="30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6,829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(9,415)</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(138,983)</w:t>
            </w:r>
          </w:p>
        </w:tc>
      </w:tr>
      <w:tr>
        <w:trPr>
          <w:trHeight w:val="255"/>
        </w:trPr>
        <w:tc>
          <w:tcPr>
            <w:tcW w:w="4240" w:type="dxa"/>
            <w:vAlign w:val="bottom"/>
          </w:tcPr>
          <w:p>
            <w:pPr>
              <w:ind w:left="120"/>
              <w:spacing w:after="0"/>
              <w:rPr>
                <w:sz w:val="20"/>
                <w:szCs w:val="20"/>
                <w:color w:val="auto"/>
              </w:rPr>
            </w:pPr>
            <w:r>
              <w:rPr>
                <w:rFonts w:ascii="Arial" w:cs="Arial" w:eastAsia="Arial" w:hAnsi="Arial"/>
                <w:sz w:val="14"/>
                <w:szCs w:val="14"/>
                <w:color w:val="auto"/>
              </w:rPr>
              <w:t>Less: Net income attributable to noncontrolling interest</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222</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56</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480</w:t>
            </w:r>
          </w:p>
        </w:tc>
      </w:tr>
      <w:tr>
        <w:trPr>
          <w:trHeight w:val="238"/>
        </w:trPr>
        <w:tc>
          <w:tcPr>
            <w:tcW w:w="4240" w:type="dxa"/>
            <w:vAlign w:val="bottom"/>
          </w:tcPr>
          <w:p>
            <w:pPr>
              <w:spacing w:after="0"/>
              <w:rPr>
                <w:sz w:val="20"/>
                <w:szCs w:val="20"/>
                <w:color w:val="auto"/>
              </w:rPr>
            </w:pPr>
            <w:r>
              <w:rPr>
                <w:rFonts w:ascii="Arial" w:cs="Arial" w:eastAsia="Arial" w:hAnsi="Arial"/>
                <w:sz w:val="14"/>
                <w:szCs w:val="14"/>
                <w:color w:val="auto"/>
              </w:rPr>
              <w:t>Net income (loss) attributable to Civeo Corporation</w:t>
            </w:r>
          </w:p>
        </w:tc>
        <w:tc>
          <w:tcPr>
            <w:tcW w:w="300" w:type="dxa"/>
            <w:vAlign w:val="bottom"/>
          </w:tcPr>
          <w:p>
            <w:pPr>
              <w:spacing w:after="0"/>
              <w:rPr>
                <w:sz w:val="20"/>
                <w:szCs w:val="20"/>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6,607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(9,471)</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(139,463)</w:t>
            </w:r>
          </w:p>
        </w:tc>
      </w:tr>
      <w:tr>
        <w:trPr>
          <w:trHeight w:val="255"/>
        </w:trPr>
        <w:tc>
          <w:tcPr>
            <w:tcW w:w="4240" w:type="dxa"/>
            <w:vAlign w:val="bottom"/>
          </w:tcPr>
          <w:p>
            <w:pPr>
              <w:ind w:left="120"/>
              <w:spacing w:after="0"/>
              <w:rPr>
                <w:sz w:val="20"/>
                <w:szCs w:val="20"/>
                <w:color w:val="auto"/>
              </w:rPr>
            </w:pPr>
            <w:r>
              <w:rPr>
                <w:rFonts w:ascii="Arial" w:cs="Arial" w:eastAsia="Arial" w:hAnsi="Arial"/>
                <w:sz w:val="14"/>
                <w:szCs w:val="14"/>
                <w:color w:val="auto"/>
              </w:rPr>
              <w:t>Less: Dividends attributable to Class A preferred shares</w:t>
            </w:r>
          </w:p>
        </w:tc>
        <w:tc>
          <w:tcPr>
            <w:tcW w:w="3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480</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471</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958</w:t>
            </w:r>
          </w:p>
        </w:tc>
        <w:tc>
          <w:tcPr>
            <w:tcW w:w="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939</w:t>
            </w:r>
          </w:p>
        </w:tc>
      </w:tr>
      <w:tr>
        <w:trPr>
          <w:trHeight w:val="210"/>
        </w:trPr>
        <w:tc>
          <w:tcPr>
            <w:tcW w:w="4240" w:type="dxa"/>
            <w:vAlign w:val="bottom"/>
          </w:tcPr>
          <w:p>
            <w:pPr>
              <w:spacing w:after="0"/>
              <w:rPr>
                <w:sz w:val="20"/>
                <w:szCs w:val="20"/>
                <w:color w:val="auto"/>
              </w:rPr>
            </w:pPr>
            <w:r>
              <w:rPr>
                <w:rFonts w:ascii="Arial" w:cs="Arial" w:eastAsia="Arial" w:hAnsi="Arial"/>
                <w:sz w:val="14"/>
                <w:szCs w:val="14"/>
                <w:color w:val="auto"/>
              </w:rPr>
              <w:t>Net (loss) income attributable to Civeo common shareholders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6,136</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(10,429)</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(140,402)</w:t>
            </w:r>
          </w:p>
        </w:tc>
      </w:tr>
      <w:tr>
        <w:trPr>
          <w:trHeight w:val="20"/>
        </w:trPr>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76"/>
        </w:trPr>
        <w:tc>
          <w:tcPr>
            <w:tcW w:w="4540" w:type="dxa"/>
            <w:vAlign w:val="bottom"/>
            <w:gridSpan w:val="2"/>
          </w:tcPr>
          <w:p>
            <w:pPr>
              <w:spacing w:after="0"/>
              <w:rPr>
                <w:sz w:val="20"/>
                <w:szCs w:val="20"/>
                <w:color w:val="auto"/>
              </w:rPr>
            </w:pPr>
            <w:r>
              <w:rPr>
                <w:rFonts w:ascii="Arial" w:cs="Arial" w:eastAsia="Arial" w:hAnsi="Arial"/>
                <w:sz w:val="14"/>
                <w:szCs w:val="14"/>
                <w:color w:val="auto"/>
              </w:rPr>
              <w:t>Net (loss) income per share attributable to Civeo Corporation common</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240" w:type="dxa"/>
            <w:vAlign w:val="bottom"/>
          </w:tcPr>
          <w:p>
            <w:pPr>
              <w:spacing w:after="0"/>
              <w:rPr>
                <w:sz w:val="20"/>
                <w:szCs w:val="20"/>
                <w:color w:val="auto"/>
              </w:rPr>
            </w:pPr>
            <w:r>
              <w:rPr>
                <w:rFonts w:ascii="Arial" w:cs="Arial" w:eastAsia="Arial" w:hAnsi="Arial"/>
                <w:sz w:val="14"/>
                <w:szCs w:val="14"/>
                <w:color w:val="auto"/>
              </w:rPr>
              <w:t>shareholders:</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57"/>
        </w:trPr>
        <w:tc>
          <w:tcPr>
            <w:tcW w:w="4240" w:type="dxa"/>
            <w:vAlign w:val="bottom"/>
          </w:tcPr>
          <w:p>
            <w:pPr>
              <w:ind w:left="120"/>
              <w:spacing w:after="0"/>
              <w:rPr>
                <w:sz w:val="20"/>
                <w:szCs w:val="20"/>
                <w:color w:val="auto"/>
              </w:rPr>
            </w:pPr>
            <w:r>
              <w:rPr>
                <w:rFonts w:ascii="Arial" w:cs="Arial" w:eastAsia="Arial" w:hAnsi="Arial"/>
                <w:sz w:val="14"/>
                <w:szCs w:val="14"/>
                <w:color w:val="auto"/>
              </w:rPr>
              <w:t>Basic</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(0.03)</w:t>
            </w:r>
          </w:p>
        </w:tc>
        <w:tc>
          <w:tcPr>
            <w:tcW w:w="18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0.37</w:t>
            </w:r>
          </w:p>
        </w:tc>
        <w:tc>
          <w:tcPr>
            <w:tcW w:w="2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(0.73)</w:t>
            </w:r>
          </w:p>
        </w:tc>
        <w:tc>
          <w:tcPr>
            <w:tcW w:w="18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(9.96)</w:t>
            </w:r>
          </w:p>
        </w:tc>
      </w:tr>
      <w:tr>
        <w:trPr>
          <w:trHeight w:val="257"/>
        </w:trPr>
        <w:tc>
          <w:tcPr>
            <w:tcW w:w="4240" w:type="dxa"/>
            <w:vAlign w:val="bottom"/>
          </w:tcPr>
          <w:p>
            <w:pPr>
              <w:ind w:left="120"/>
              <w:spacing w:after="0"/>
              <w:rPr>
                <w:sz w:val="20"/>
                <w:szCs w:val="20"/>
                <w:color w:val="auto"/>
              </w:rPr>
            </w:pPr>
            <w:r>
              <w:rPr>
                <w:rFonts w:ascii="Arial" w:cs="Arial" w:eastAsia="Arial" w:hAnsi="Arial"/>
                <w:sz w:val="14"/>
                <w:szCs w:val="14"/>
                <w:color w:val="auto"/>
              </w:rPr>
              <w:t>Diluted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(0.03)</w:t>
            </w:r>
          </w:p>
        </w:tc>
        <w:tc>
          <w:tcPr>
            <w:tcW w:w="18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0.37</w:t>
            </w:r>
          </w:p>
        </w:tc>
        <w:tc>
          <w:tcPr>
            <w:tcW w:w="2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(0.73)</w:t>
            </w:r>
          </w:p>
        </w:tc>
        <w:tc>
          <w:tcPr>
            <w:tcW w:w="18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(9.96)</w:t>
            </w:r>
          </w:p>
        </w:tc>
      </w:tr>
      <w:tr>
        <w:trPr>
          <w:trHeight w:val="513"/>
        </w:trPr>
        <w:tc>
          <w:tcPr>
            <w:tcW w:w="4240" w:type="dxa"/>
            <w:vAlign w:val="bottom"/>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6"/>
        </w:trPr>
        <w:tc>
          <w:tcPr>
            <w:tcW w:w="4240" w:type="dxa"/>
            <w:vAlign w:val="bottom"/>
          </w:tcPr>
          <w:p>
            <w:pPr>
              <w:ind w:left="120"/>
              <w:spacing w:after="0"/>
              <w:rPr>
                <w:sz w:val="20"/>
                <w:szCs w:val="20"/>
                <w:color w:val="auto"/>
              </w:rPr>
            </w:pPr>
            <w:r>
              <w:rPr>
                <w:rFonts w:ascii="Arial" w:cs="Arial" w:eastAsia="Arial" w:hAnsi="Arial"/>
                <w:sz w:val="14"/>
                <w:szCs w:val="14"/>
                <w:color w:val="auto"/>
              </w:rPr>
              <w:t>Basic</w:t>
            </w: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14,278</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14,151</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14,244</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14,097</w:t>
            </w:r>
          </w:p>
        </w:tc>
      </w:tr>
      <w:tr>
        <w:trPr>
          <w:trHeight w:val="257"/>
        </w:trPr>
        <w:tc>
          <w:tcPr>
            <w:tcW w:w="4240" w:type="dxa"/>
            <w:vAlign w:val="bottom"/>
          </w:tcPr>
          <w:p>
            <w:pPr>
              <w:ind w:left="120"/>
              <w:spacing w:after="0"/>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22"/>
                <w:szCs w:val="22"/>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14,278</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14,166</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14,244</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14,097</w:t>
            </w:r>
          </w:p>
        </w:tc>
      </w:tr>
    </w:tbl>
    <w:p>
      <w:pPr>
        <w:sectPr>
          <w:pgSz w:w="11900" w:h="16838" w:orient="portrait"/>
          <w:cols w:equalWidth="0" w:num="1">
            <w:col w:w="9180"/>
          </w:cols>
          <w:pgMar w:left="1360" w:top="886" w:right="1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88" w:lineRule="exact"/>
        <w:rPr>
          <w:sz w:val="20"/>
          <w:szCs w:val="20"/>
          <w:color w:val="auto"/>
        </w:rPr>
      </w:pPr>
    </w:p>
    <w:tbl>
      <w:tblPr>
        <w:tblLayout w:type="fixed"/>
        <w:tblInd w:w="1020" w:type="dxa"/>
        <w:tblCellMar>
          <w:top w:w="0" w:type="dxa"/>
          <w:left w:w="0" w:type="dxa"/>
          <w:bottom w:w="0" w:type="dxa"/>
          <w:right w:w="0" w:type="dxa"/>
        </w:tblCellMar>
      </w:tblPr>
      <w:tr>
        <w:trPr>
          <w:trHeight w:val="218"/>
        </w:trPr>
        <w:tc>
          <w:tcPr>
            <w:tcW w:w="3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18"/>
                <w:szCs w:val="18"/>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December 31, 2020</w:t>
            </w:r>
          </w:p>
        </w:tc>
        <w:tc>
          <w:tcPr>
            <w:tcW w:w="0" w:type="dxa"/>
            <w:vAlign w:val="bottom"/>
          </w:tcPr>
          <w:p>
            <w:pPr>
              <w:spacing w:after="0"/>
              <w:rPr>
                <w:sz w:val="1"/>
                <w:szCs w:val="1"/>
                <w:color w:val="auto"/>
              </w:rPr>
            </w:pPr>
          </w:p>
        </w:tc>
      </w:tr>
      <w:tr>
        <w:trPr>
          <w:trHeight w:val="200"/>
        </w:trPr>
        <w:tc>
          <w:tcPr>
            <w:tcW w:w="3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(UNAUDITED)</w:t>
            </w: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4,414</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6,155</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114,187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89,782</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6,958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6,181</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Assets held for sale</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2,205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3,910</w:t>
            </w:r>
          </w:p>
        </w:tc>
        <w:tc>
          <w:tcPr>
            <w:tcW w:w="0" w:type="dxa"/>
            <w:vAlign w:val="bottom"/>
          </w:tcPr>
          <w:p>
            <w:pPr>
              <w:spacing w:after="0"/>
              <w:rPr>
                <w:sz w:val="1"/>
                <w:szCs w:val="1"/>
                <w:color w:val="auto"/>
              </w:rPr>
            </w:pPr>
          </w:p>
        </w:tc>
      </w:tr>
      <w:tr>
        <w:trPr>
          <w:trHeight w:val="219"/>
        </w:trPr>
        <w:tc>
          <w:tcPr>
            <w:tcW w:w="372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15,513</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13,185</w:t>
            </w:r>
          </w:p>
        </w:tc>
        <w:tc>
          <w:tcPr>
            <w:tcW w:w="0" w:type="dxa"/>
            <w:vAlign w:val="bottom"/>
          </w:tcPr>
          <w:p>
            <w:pPr>
              <w:spacing w:after="0"/>
              <w:rPr>
                <w:sz w:val="1"/>
                <w:szCs w:val="1"/>
                <w:color w:val="auto"/>
              </w:rPr>
            </w:pPr>
          </w:p>
        </w:tc>
      </w:tr>
      <w:tr>
        <w:trPr>
          <w:trHeight w:val="207"/>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143,277</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119,213</w:t>
            </w:r>
          </w:p>
        </w:tc>
        <w:tc>
          <w:tcPr>
            <w:tcW w:w="0" w:type="dxa"/>
            <w:vAlign w:val="bottom"/>
          </w:tcPr>
          <w:p>
            <w:pPr>
              <w:spacing w:after="0"/>
              <w:rPr>
                <w:sz w:val="1"/>
                <w:szCs w:val="1"/>
                <w:color w:val="auto"/>
              </w:rPr>
            </w:pPr>
          </w:p>
        </w:tc>
      </w:tr>
      <w:tr>
        <w:trPr>
          <w:trHeight w:val="432"/>
        </w:trPr>
        <w:tc>
          <w:tcPr>
            <w:tcW w:w="37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442,819</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486,930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Goodwill, net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8,474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8,729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98,967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99,749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21,445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22,606</w:t>
            </w:r>
          </w:p>
        </w:tc>
        <w:tc>
          <w:tcPr>
            <w:tcW w:w="0" w:type="dxa"/>
            <w:vAlign w:val="bottom"/>
          </w:tcPr>
          <w:p>
            <w:pPr>
              <w:spacing w:after="0"/>
              <w:rPr>
                <w:sz w:val="1"/>
                <w:szCs w:val="1"/>
                <w:color w:val="auto"/>
              </w:rPr>
            </w:pPr>
          </w:p>
        </w:tc>
      </w:tr>
      <w:tr>
        <w:trPr>
          <w:trHeight w:val="219"/>
        </w:trPr>
        <w:tc>
          <w:tcPr>
            <w:tcW w:w="37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2,705</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3,626</w:t>
            </w:r>
          </w:p>
        </w:tc>
        <w:tc>
          <w:tcPr>
            <w:tcW w:w="0" w:type="dxa"/>
            <w:vAlign w:val="bottom"/>
          </w:tcPr>
          <w:p>
            <w:pPr>
              <w:spacing w:after="0"/>
              <w:rPr>
                <w:sz w:val="1"/>
                <w:szCs w:val="1"/>
                <w:color w:val="auto"/>
              </w:rPr>
            </w:pPr>
          </w:p>
        </w:tc>
      </w:tr>
      <w:tr>
        <w:trPr>
          <w:trHeight w:val="212"/>
        </w:trPr>
        <w:tc>
          <w:tcPr>
            <w:tcW w:w="3720" w:type="dxa"/>
            <w:vAlign w:val="bottom"/>
          </w:tcPr>
          <w:p>
            <w:pPr>
              <w:ind w:left="20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717,687</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740,853</w:t>
            </w:r>
          </w:p>
        </w:tc>
        <w:tc>
          <w:tcPr>
            <w:tcW w:w="0" w:type="dxa"/>
            <w:vAlign w:val="bottom"/>
          </w:tcPr>
          <w:p>
            <w:pPr>
              <w:spacing w:after="0"/>
              <w:rPr>
                <w:sz w:val="1"/>
                <w:szCs w:val="1"/>
                <w:color w:val="auto"/>
              </w:rPr>
            </w:pPr>
          </w:p>
        </w:tc>
      </w:tr>
      <w:tr>
        <w:trPr>
          <w:trHeight w:val="21"/>
        </w:trPr>
        <w:tc>
          <w:tcPr>
            <w:tcW w:w="372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3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43,956</w:t>
            </w:r>
          </w:p>
        </w:tc>
        <w:tc>
          <w:tcPr>
            <w:tcW w:w="2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42,056</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23,983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27,349</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Income taxes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35,593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34,585</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21,486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6,812</w:t>
            </w:r>
          </w:p>
        </w:tc>
        <w:tc>
          <w:tcPr>
            <w:tcW w:w="0" w:type="dxa"/>
            <w:vAlign w:val="bottom"/>
          </w:tcPr>
          <w:p>
            <w:pPr>
              <w:spacing w:after="0"/>
              <w:rPr>
                <w:sz w:val="1"/>
                <w:szCs w:val="1"/>
                <w:color w:val="auto"/>
              </w:rPr>
            </w:pPr>
          </w:p>
        </w:tc>
      </w:tr>
      <w:tr>
        <w:trPr>
          <w:trHeight w:val="219"/>
        </w:trPr>
        <w:tc>
          <w:tcPr>
            <w:tcW w:w="372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5,997</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5,760</w:t>
            </w:r>
          </w:p>
        </w:tc>
        <w:tc>
          <w:tcPr>
            <w:tcW w:w="0" w:type="dxa"/>
            <w:vAlign w:val="bottom"/>
          </w:tcPr>
          <w:p>
            <w:pPr>
              <w:spacing w:after="0"/>
              <w:rPr>
                <w:sz w:val="1"/>
                <w:szCs w:val="1"/>
                <w:color w:val="auto"/>
              </w:rPr>
            </w:pPr>
          </w:p>
        </w:tc>
      </w:tr>
      <w:tr>
        <w:trPr>
          <w:trHeight w:val="206"/>
        </w:trPr>
        <w:tc>
          <w:tcPr>
            <w:tcW w:w="372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131,240</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116,765</w:t>
            </w:r>
          </w:p>
        </w:tc>
        <w:tc>
          <w:tcPr>
            <w:tcW w:w="0" w:type="dxa"/>
            <w:vAlign w:val="bottom"/>
          </w:tcPr>
          <w:p>
            <w:pPr>
              <w:spacing w:after="0"/>
              <w:rPr>
                <w:sz w:val="1"/>
                <w:szCs w:val="1"/>
                <w:color w:val="auto"/>
              </w:rPr>
            </w:pPr>
          </w:p>
        </w:tc>
      </w:tr>
      <w:tr>
        <w:trPr>
          <w:trHeight w:val="432"/>
        </w:trPr>
        <w:tc>
          <w:tcPr>
            <w:tcW w:w="3720" w:type="dxa"/>
            <w:vAlign w:val="bottom"/>
          </w:tcPr>
          <w:p>
            <w:pPr>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189,228</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214,000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17,997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19,834</w:t>
            </w:r>
          </w:p>
        </w:tc>
        <w:tc>
          <w:tcPr>
            <w:tcW w:w="0" w:type="dxa"/>
            <w:vAlign w:val="bottom"/>
          </w:tcPr>
          <w:p>
            <w:pPr>
              <w:spacing w:after="0"/>
              <w:rPr>
                <w:sz w:val="1"/>
                <w:szCs w:val="1"/>
                <w:color w:val="auto"/>
              </w:rPr>
            </w:pPr>
          </w:p>
        </w:tc>
      </w:tr>
      <w:tr>
        <w:trPr>
          <w:trHeight w:val="219"/>
        </w:trPr>
        <w:tc>
          <w:tcPr>
            <w:tcW w:w="37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15,817</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14,897</w:t>
            </w:r>
          </w:p>
        </w:tc>
        <w:tc>
          <w:tcPr>
            <w:tcW w:w="0" w:type="dxa"/>
            <w:vAlign w:val="bottom"/>
          </w:tcPr>
          <w:p>
            <w:pPr>
              <w:spacing w:after="0"/>
              <w:rPr>
                <w:sz w:val="1"/>
                <w:szCs w:val="1"/>
                <w:color w:val="auto"/>
              </w:rPr>
            </w:pPr>
          </w:p>
        </w:tc>
      </w:tr>
      <w:tr>
        <w:trPr>
          <w:trHeight w:val="207"/>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354,282</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365,496</w:t>
            </w:r>
          </w:p>
        </w:tc>
        <w:tc>
          <w:tcPr>
            <w:tcW w:w="0" w:type="dxa"/>
            <w:vAlign w:val="bottom"/>
          </w:tcPr>
          <w:p>
            <w:pPr>
              <w:spacing w:after="0"/>
              <w:rPr>
                <w:sz w:val="1"/>
                <w:szCs w:val="1"/>
                <w:color w:val="auto"/>
              </w:rPr>
            </w:pPr>
          </w:p>
        </w:tc>
      </w:tr>
      <w:tr>
        <w:trPr>
          <w:trHeight w:val="432"/>
        </w:trPr>
        <w:tc>
          <w:tcPr>
            <w:tcW w:w="3720" w:type="dxa"/>
            <w:vAlign w:val="bottom"/>
          </w:tcPr>
          <w:p>
            <w:pPr>
              <w:spacing w:after="0"/>
              <w:rPr>
                <w:sz w:val="20"/>
                <w:szCs w:val="20"/>
                <w:color w:val="auto"/>
              </w:rPr>
            </w:pPr>
            <w:r>
              <w:rPr>
                <w:rFonts w:ascii="Arial" w:cs="Arial" w:eastAsia="Arial" w:hAnsi="Arial"/>
                <w:sz w:val="16"/>
                <w:szCs w:val="16"/>
                <w:color w:val="auto"/>
              </w:rPr>
              <w:t>Shareholders' equity:</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Preferred shares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60,974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60,016</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Common shares</w:t>
            </w:r>
          </w:p>
        </w:tc>
        <w:tc>
          <w:tcPr>
            <w:tcW w:w="180" w:type="dxa"/>
            <w:vAlign w:val="bottom"/>
          </w:tcPr>
          <w:p>
            <w:pPr>
              <w:spacing w:after="0"/>
              <w:rPr>
                <w:sz w:val="18"/>
                <w:szCs w:val="18"/>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1,580,213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1,578,315</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(918,156)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(907,727)</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6"/>
                <w:szCs w:val="16"/>
                <w:color w:val="auto"/>
              </w:rPr>
              <w:t>Treasury stock</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(8,050)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(6,930)</w:t>
            </w:r>
          </w:p>
        </w:tc>
        <w:tc>
          <w:tcPr>
            <w:tcW w:w="0" w:type="dxa"/>
            <w:vAlign w:val="bottom"/>
          </w:tcPr>
          <w:p>
            <w:pPr>
              <w:spacing w:after="0"/>
              <w:rPr>
                <w:sz w:val="1"/>
                <w:szCs w:val="1"/>
                <w:color w:val="auto"/>
              </w:rPr>
            </w:pPr>
          </w:p>
        </w:tc>
      </w:tr>
      <w:tr>
        <w:trPr>
          <w:trHeight w:val="219"/>
        </w:trPr>
        <w:tc>
          <w:tcPr>
            <w:tcW w:w="372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(352,171)</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(348,989)</w:t>
            </w:r>
          </w:p>
        </w:tc>
        <w:tc>
          <w:tcPr>
            <w:tcW w:w="0" w:type="dxa"/>
            <w:vAlign w:val="bottom"/>
          </w:tcPr>
          <w:p>
            <w:pPr>
              <w:spacing w:after="0"/>
              <w:rPr>
                <w:sz w:val="1"/>
                <w:szCs w:val="1"/>
                <w:color w:val="auto"/>
              </w:rPr>
            </w:pPr>
          </w:p>
        </w:tc>
      </w:tr>
      <w:tr>
        <w:trPr>
          <w:trHeight w:val="210"/>
        </w:trPr>
        <w:tc>
          <w:tcPr>
            <w:tcW w:w="3720" w:type="dxa"/>
            <w:vAlign w:val="bottom"/>
          </w:tcPr>
          <w:p>
            <w:pPr>
              <w:ind w:left="200"/>
              <w:spacing w:after="0"/>
              <w:rPr>
                <w:sz w:val="20"/>
                <w:szCs w:val="20"/>
                <w:color w:val="auto"/>
              </w:rPr>
            </w:pPr>
            <w:r>
              <w:rPr>
                <w:rFonts w:ascii="Arial" w:cs="Arial" w:eastAsia="Arial" w:hAnsi="Arial"/>
                <w:sz w:val="16"/>
                <w:szCs w:val="16"/>
                <w:color w:val="auto"/>
              </w:rPr>
              <w:t>Total Civeo Corporation shareholders' equity</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362,810</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374,685</w:t>
            </w:r>
          </w:p>
        </w:tc>
        <w:tc>
          <w:tcPr>
            <w:tcW w:w="0" w:type="dxa"/>
            <w:vAlign w:val="bottom"/>
          </w:tcPr>
          <w:p>
            <w:pPr>
              <w:spacing w:after="0"/>
              <w:rPr>
                <w:sz w:val="1"/>
                <w:szCs w:val="1"/>
                <w:color w:val="auto"/>
              </w:rPr>
            </w:pPr>
          </w:p>
        </w:tc>
      </w:tr>
      <w:tr>
        <w:trPr>
          <w:trHeight w:val="209"/>
        </w:trPr>
        <w:tc>
          <w:tcPr>
            <w:tcW w:w="37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10"/>
        </w:trPr>
        <w:tc>
          <w:tcPr>
            <w:tcW w:w="3720" w:type="dxa"/>
            <w:vAlign w:val="bottom"/>
          </w:tcPr>
          <w:p>
            <w:pPr>
              <w:ind w:left="120"/>
              <w:spacing w:after="0"/>
              <w:rPr>
                <w:sz w:val="20"/>
                <w:szCs w:val="20"/>
                <w:color w:val="auto"/>
              </w:rPr>
            </w:pPr>
            <w:r>
              <w:rPr>
                <w:rFonts w:ascii="Arial" w:cs="Arial" w:eastAsia="Arial" w:hAnsi="Arial"/>
                <w:sz w:val="16"/>
                <w:szCs w:val="16"/>
                <w:color w:val="auto"/>
              </w:rPr>
              <w:t>Total shareholders' equity</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363,405</w:t>
            </w:r>
          </w:p>
        </w:tc>
        <w:tc>
          <w:tcPr>
            <w:tcW w:w="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375,357</w:t>
            </w:r>
          </w:p>
        </w:tc>
        <w:tc>
          <w:tcPr>
            <w:tcW w:w="0" w:type="dxa"/>
            <w:vAlign w:val="bottom"/>
          </w:tcPr>
          <w:p>
            <w:pPr>
              <w:spacing w:after="0"/>
              <w:rPr>
                <w:sz w:val="1"/>
                <w:szCs w:val="1"/>
                <w:color w:val="auto"/>
              </w:rPr>
            </w:pPr>
          </w:p>
        </w:tc>
      </w:tr>
      <w:tr>
        <w:trPr>
          <w:trHeight w:val="213"/>
        </w:trPr>
        <w:tc>
          <w:tcPr>
            <w:tcW w:w="3720" w:type="dxa"/>
            <w:vAlign w:val="bottom"/>
          </w:tcPr>
          <w:p>
            <w:pPr>
              <w:ind w:left="200"/>
              <w:spacing w:after="0"/>
              <w:rPr>
                <w:sz w:val="20"/>
                <w:szCs w:val="20"/>
                <w:color w:val="auto"/>
              </w:rPr>
            </w:pPr>
            <w:r>
              <w:rPr>
                <w:rFonts w:ascii="Arial" w:cs="Arial" w:eastAsia="Arial" w:hAnsi="Arial"/>
                <w:sz w:val="16"/>
                <w:szCs w:val="16"/>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717,687</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740,853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91" w:right="1440"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72"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Six Months Ended</w:t>
      </w:r>
    </w:p>
    <w:p>
      <w:pPr>
        <w:jc w:val="center"/>
        <w:ind w:left="5800"/>
        <w:spacing w:after="0"/>
        <w:rPr>
          <w:sz w:val="20"/>
          <w:szCs w:val="20"/>
          <w:color w:val="auto"/>
        </w:rPr>
      </w:pPr>
      <w:r>
        <w:rPr>
          <w:rFonts w:ascii="Arial" w:cs="Arial" w:eastAsia="Arial" w:hAnsi="Arial"/>
          <w:sz w:val="16"/>
          <w:szCs w:val="16"/>
          <w:b w:val="1"/>
          <w:bCs w:val="1"/>
          <w:color w:val="auto"/>
        </w:rPr>
        <w:t>June 30,</w:t>
      </w:r>
    </w:p>
    <w:p>
      <w:pPr>
        <w:spacing w:after="0" w:line="66"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8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493"/>
        </w:trPr>
        <w:tc>
          <w:tcPr>
            <w:tcW w:w="580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(9,415)</w:t>
            </w:r>
          </w:p>
        </w:tc>
        <w:tc>
          <w:tcPr>
            <w:tcW w:w="18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(138,983)</w:t>
            </w:r>
          </w:p>
        </w:tc>
      </w:tr>
      <w:tr>
        <w:trPr>
          <w:trHeight w:val="257"/>
        </w:trPr>
        <w:tc>
          <w:tcPr>
            <w:tcW w:w="5800" w:type="dxa"/>
            <w:vAlign w:val="bottom"/>
          </w:tcPr>
          <w:p>
            <w:pPr>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42,646</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47,707</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Impairment charges</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7,935</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144,120</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Deferred income tax expense (benefit)</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416</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(8,941)</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Non-cash compensation charge</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1,898</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3,539</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Gains on disposals of assets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(1,941)</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(1,819)</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Provision for credit losses, net of recoveries</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147</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1,483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(3,240)</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(24,617)</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10,231</w:t>
            </w:r>
          </w:p>
        </w:tc>
      </w:tr>
      <w:tr>
        <w:trPr>
          <w:trHeight w:val="256"/>
        </w:trPr>
        <w:tc>
          <w:tcPr>
            <w:tcW w:w="580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(1,895)</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(563)</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(4,583)</w:t>
            </w:r>
          </w:p>
        </w:tc>
      </w:tr>
      <w:tr>
        <w:trPr>
          <w:trHeight w:val="257"/>
        </w:trPr>
        <w:tc>
          <w:tcPr>
            <w:tcW w:w="5800" w:type="dxa"/>
            <w:vAlign w:val="bottom"/>
          </w:tcPr>
          <w:p>
            <w:pPr>
              <w:ind w:left="200"/>
              <w:spacing w:after="0"/>
              <w:rPr>
                <w:sz w:val="20"/>
                <w:szCs w:val="20"/>
                <w:color w:val="auto"/>
              </w:rPr>
            </w:pPr>
            <w:r>
              <w:rPr>
                <w:rFonts w:ascii="Arial" w:cs="Arial" w:eastAsia="Arial" w:hAnsi="Arial"/>
                <w:sz w:val="16"/>
                <w:szCs w:val="16"/>
                <w:color w:val="auto"/>
              </w:rPr>
              <w:t>Taxes payable</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259"/>
        </w:trPr>
        <w:tc>
          <w:tcPr>
            <w:tcW w:w="5800" w:type="dxa"/>
            <w:vAlign w:val="bottom"/>
          </w:tcPr>
          <w:p>
            <w:pPr>
              <w:ind w:left="200"/>
              <w:spacing w:after="0"/>
              <w:rPr>
                <w:sz w:val="20"/>
                <w:szCs w:val="20"/>
                <w:color w:val="auto"/>
              </w:rPr>
            </w:pPr>
            <w:r>
              <w:rPr>
                <w:rFonts w:ascii="Arial" w:cs="Arial" w:eastAsia="Arial" w:hAnsi="Arial"/>
                <w:sz w:val="16"/>
                <w:szCs w:val="16"/>
                <w:color w:val="auto"/>
              </w:rPr>
              <w:t>Other current assets and liabilities, net</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12,170</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(1,094)</w:t>
            </w:r>
          </w:p>
        </w:tc>
      </w:tr>
      <w:tr>
        <w:trPr>
          <w:trHeight w:val="233"/>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provided by operating activities</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29,350</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45,318</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(6,530)</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(3,847)</w:t>
            </w: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Proceeds from disposition of property, plant and equipment</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7,012</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1,897</w:t>
            </w:r>
          </w:p>
        </w:tc>
      </w:tr>
      <w:tr>
        <w:trPr>
          <w:trHeight w:val="260"/>
        </w:trPr>
        <w:tc>
          <w:tcPr>
            <w:tcW w:w="58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40" w:type="dxa"/>
            <w:vAlign w:val="bottom"/>
          </w:tcPr>
          <w:p>
            <w:pPr>
              <w:spacing w:after="0"/>
              <w:rPr>
                <w:sz w:val="22"/>
                <w:szCs w:val="22"/>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4,619</w:t>
            </w:r>
          </w:p>
        </w:tc>
      </w:tr>
      <w:tr>
        <w:trPr>
          <w:trHeight w:val="233"/>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provided by investing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482</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2,669</w:t>
            </w:r>
          </w:p>
        </w:tc>
      </w:tr>
      <w:tr>
        <w:trPr>
          <w:trHeight w:val="513"/>
        </w:trPr>
        <w:tc>
          <w:tcPr>
            <w:tcW w:w="58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6"/>
        </w:trPr>
        <w:tc>
          <w:tcPr>
            <w:tcW w:w="5800" w:type="dxa"/>
            <w:vAlign w:val="bottom"/>
          </w:tcPr>
          <w:p>
            <w:pPr>
              <w:ind w:left="120"/>
              <w:spacing w:after="0"/>
              <w:rPr>
                <w:sz w:val="20"/>
                <w:szCs w:val="20"/>
                <w:color w:val="auto"/>
              </w:rPr>
            </w:pPr>
            <w:r>
              <w:rPr>
                <w:rFonts w:ascii="Arial" w:cs="Arial" w:eastAsia="Arial" w:hAnsi="Arial"/>
                <w:sz w:val="16"/>
                <w:szCs w:val="16"/>
                <w:color w:val="auto"/>
              </w:rPr>
              <w:t>Term loan repayments</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(17,874)</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(16,551)</w:t>
            </w:r>
          </w:p>
        </w:tc>
      </w:tr>
      <w:tr>
        <w:trPr>
          <w:trHeight w:val="257"/>
        </w:trPr>
        <w:tc>
          <w:tcPr>
            <w:tcW w:w="5800" w:type="dxa"/>
            <w:vAlign w:val="bottom"/>
          </w:tcPr>
          <w:p>
            <w:pPr>
              <w:ind w:left="120"/>
              <w:spacing w:after="0"/>
              <w:rPr>
                <w:sz w:val="20"/>
                <w:szCs w:val="20"/>
                <w:color w:val="auto"/>
              </w:rPr>
            </w:pPr>
            <w:r>
              <w:rPr>
                <w:rFonts w:ascii="Arial" w:cs="Arial" w:eastAsia="Arial" w:hAnsi="Arial"/>
                <w:sz w:val="16"/>
                <w:szCs w:val="16"/>
                <w:color w:val="auto"/>
              </w:rPr>
              <w:t>Revolving credit borrowings (repayments), net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(12,104)</w:t>
            </w: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(25,630)</w:t>
            </w:r>
          </w:p>
        </w:tc>
      </w:tr>
      <w:tr>
        <w:trPr>
          <w:trHeight w:val="259"/>
        </w:trPr>
        <w:tc>
          <w:tcPr>
            <w:tcW w:w="5800" w:type="dxa"/>
            <w:vAlign w:val="bottom"/>
          </w:tcPr>
          <w:p>
            <w:pPr>
              <w:ind w:left="120"/>
              <w:spacing w:after="0"/>
              <w:rPr>
                <w:sz w:val="20"/>
                <w:szCs w:val="20"/>
                <w:color w:val="auto"/>
              </w:rPr>
            </w:pPr>
            <w:r>
              <w:rPr>
                <w:rFonts w:ascii="Arial" w:cs="Arial" w:eastAsia="Arial" w:hAnsi="Arial"/>
                <w:sz w:val="16"/>
                <w:szCs w:val="16"/>
                <w:color w:val="auto"/>
              </w:rPr>
              <w:t>Taxes paid on vested shares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w:t>
            </w:r>
          </w:p>
        </w:tc>
        <w:tc>
          <w:tcPr>
            <w:tcW w:w="1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(1,458)</w:t>
            </w:r>
          </w:p>
        </w:tc>
      </w:tr>
      <w:tr>
        <w:trPr>
          <w:trHeight w:val="234"/>
        </w:trPr>
        <w:tc>
          <w:tcPr>
            <w:tcW w:w="5800" w:type="dxa"/>
            <w:vAlign w:val="bottom"/>
          </w:tcPr>
          <w:p>
            <w:pPr>
              <w:ind w:left="340"/>
              <w:spacing w:after="0"/>
              <w:rPr>
                <w:sz w:val="20"/>
                <w:szCs w:val="20"/>
                <w:color w:val="auto"/>
              </w:rPr>
            </w:pPr>
            <w:r>
              <w:rPr>
                <w:rFonts w:ascii="Arial" w:cs="Arial" w:eastAsia="Arial" w:hAnsi="Arial"/>
                <w:sz w:val="16"/>
                <w:szCs w:val="16"/>
                <w:color w:val="auto"/>
              </w:rPr>
              <w:t>Net cash flows used in financing activities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(31,098)</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(43,639)</w:t>
            </w:r>
          </w:p>
        </w:tc>
      </w:tr>
      <w:tr>
        <w:trPr>
          <w:trHeight w:val="516"/>
        </w:trPr>
        <w:tc>
          <w:tcPr>
            <w:tcW w:w="580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w:t>
            </w:r>
          </w:p>
        </w:tc>
      </w:tr>
      <w:tr>
        <w:trPr>
          <w:trHeight w:val="233"/>
        </w:trPr>
        <w:tc>
          <w:tcPr>
            <w:tcW w:w="580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(1,741)</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3,980</w:t>
            </w:r>
          </w:p>
        </w:tc>
      </w:tr>
      <w:tr>
        <w:trPr>
          <w:trHeight w:val="516"/>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6,155</w:t>
            </w:r>
          </w:p>
        </w:tc>
        <w:tc>
          <w:tcPr>
            <w:tcW w:w="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3,331</w:t>
            </w:r>
          </w:p>
        </w:tc>
      </w:tr>
      <w:tr>
        <w:trPr>
          <w:trHeight w:val="226"/>
        </w:trPr>
        <w:tc>
          <w:tcPr>
            <w:tcW w:w="580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4,414</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7,311</w:t>
            </w:r>
          </w:p>
        </w:tc>
      </w:tr>
      <w:tr>
        <w:trPr>
          <w:trHeight w:val="20"/>
        </w:trPr>
        <w:tc>
          <w:tcPr>
            <w:tcW w:w="5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891" w:right="1440"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SEGMENT DATA</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54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5"/>
        </w:trPr>
        <w:tc>
          <w:tcPr>
            <w:tcW w:w="3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36"/>
        </w:trPr>
        <w:tc>
          <w:tcPr>
            <w:tcW w:w="3360" w:type="dxa"/>
            <w:vAlign w:val="bottom"/>
          </w:tcPr>
          <w:p>
            <w:pPr>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83,281</w:t>
            </w:r>
          </w:p>
        </w:tc>
        <w:tc>
          <w:tcPr>
            <w:tcW w:w="16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52,986</w:t>
            </w:r>
          </w:p>
        </w:tc>
        <w:tc>
          <w:tcPr>
            <w:tcW w:w="18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145,166</w:t>
            </w:r>
          </w:p>
        </w:tc>
        <w:tc>
          <w:tcPr>
            <w:tcW w:w="200" w:type="dxa"/>
            <w:vAlign w:val="bottom"/>
          </w:tcPr>
          <w:p>
            <w:pPr>
              <w:spacing w:after="0"/>
              <w:rPr>
                <w:sz w:val="22"/>
                <w:szCs w:val="22"/>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132,334</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64,019</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57,071</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123,656</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106,184</w:t>
            </w:r>
          </w:p>
        </w:tc>
        <w:tc>
          <w:tcPr>
            <w:tcW w:w="0" w:type="dxa"/>
            <w:vAlign w:val="bottom"/>
          </w:tcPr>
          <w:p>
            <w:pPr>
              <w:spacing w:after="0"/>
              <w:rPr>
                <w:sz w:val="1"/>
                <w:szCs w:val="1"/>
                <w:color w:val="auto"/>
              </w:rPr>
            </w:pPr>
          </w:p>
        </w:tc>
      </w:tr>
      <w:tr>
        <w:trPr>
          <w:trHeight w:val="259"/>
        </w:trPr>
        <w:tc>
          <w:tcPr>
            <w:tcW w:w="336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6,876</w:t>
            </w: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4,645</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10,784</w:t>
            </w:r>
          </w:p>
        </w:tc>
        <w:tc>
          <w:tcPr>
            <w:tcW w:w="2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14,976</w:t>
            </w:r>
          </w:p>
        </w:tc>
        <w:tc>
          <w:tcPr>
            <w:tcW w:w="0" w:type="dxa"/>
            <w:vAlign w:val="bottom"/>
          </w:tcPr>
          <w:p>
            <w:pPr>
              <w:spacing w:after="0"/>
              <w:rPr>
                <w:sz w:val="1"/>
                <w:szCs w:val="1"/>
                <w:color w:val="auto"/>
              </w:rPr>
            </w:pPr>
          </w:p>
        </w:tc>
      </w:tr>
      <w:tr>
        <w:trPr>
          <w:trHeight w:val="213"/>
        </w:trPr>
        <w:tc>
          <w:tcPr>
            <w:tcW w:w="3360" w:type="dxa"/>
            <w:vAlign w:val="bottom"/>
          </w:tcPr>
          <w:p>
            <w:pPr>
              <w:ind w:left="44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154,176</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114,702</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279,606</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253,494</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4"/>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22,604</w:t>
            </w:r>
          </w:p>
        </w:tc>
        <w:tc>
          <w:tcPr>
            <w:tcW w:w="16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19,991</w:t>
            </w:r>
          </w:p>
        </w:tc>
        <w:tc>
          <w:tcPr>
            <w:tcW w:w="18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33,400</w:t>
            </w:r>
          </w:p>
        </w:tc>
        <w:tc>
          <w:tcPr>
            <w:tcW w:w="200" w:type="dxa"/>
            <w:vAlign w:val="bottom"/>
          </w:tcPr>
          <w:p>
            <w:pPr>
              <w:spacing w:after="0"/>
              <w:rPr>
                <w:sz w:val="22"/>
                <w:szCs w:val="22"/>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(100,265)</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7,513</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18,798</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20,322</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34,959</w:t>
            </w:r>
          </w:p>
        </w:tc>
        <w:tc>
          <w:tcPr>
            <w:tcW w:w="0" w:type="dxa"/>
            <w:vAlign w:val="bottom"/>
          </w:tcPr>
          <w:p>
            <w:pPr>
              <w:spacing w:after="0"/>
              <w:rPr>
                <w:sz w:val="1"/>
                <w:szCs w:val="1"/>
                <w:color w:val="auto"/>
              </w:rPr>
            </w:pPr>
          </w:p>
        </w:tc>
      </w:tr>
      <w:tr>
        <w:trPr>
          <w:trHeight w:val="256"/>
        </w:trPr>
        <w:tc>
          <w:tcPr>
            <w:tcW w:w="336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297</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(1,389)</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(924)</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(13,442)</w:t>
            </w:r>
          </w:p>
        </w:tc>
        <w:tc>
          <w:tcPr>
            <w:tcW w:w="0" w:type="dxa"/>
            <w:vAlign w:val="bottom"/>
          </w:tcPr>
          <w:p>
            <w:pPr>
              <w:spacing w:after="0"/>
              <w:rPr>
                <w:sz w:val="1"/>
                <w:szCs w:val="1"/>
                <w:color w:val="auto"/>
              </w:rPr>
            </w:pPr>
          </w:p>
        </w:tc>
      </w:tr>
      <w:tr>
        <w:trPr>
          <w:trHeight w:val="259"/>
        </w:trPr>
        <w:tc>
          <w:tcPr>
            <w:tcW w:w="3360" w:type="dxa"/>
            <w:vAlign w:val="bottom"/>
          </w:tcPr>
          <w:p>
            <w:pPr>
              <w:ind w:left="20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(6,117)</w:t>
            </w: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(4,616)</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(12,278)</w:t>
            </w:r>
          </w:p>
        </w:tc>
        <w:tc>
          <w:tcPr>
            <w:tcW w:w="2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(12,268)</w:t>
            </w:r>
          </w:p>
        </w:tc>
        <w:tc>
          <w:tcPr>
            <w:tcW w:w="0" w:type="dxa"/>
            <w:vAlign w:val="bottom"/>
          </w:tcPr>
          <w:p>
            <w:pPr>
              <w:spacing w:after="0"/>
              <w:rPr>
                <w:sz w:val="1"/>
                <w:szCs w:val="1"/>
                <w:color w:val="auto"/>
              </w:rPr>
            </w:pPr>
          </w:p>
        </w:tc>
      </w:tr>
      <w:tr>
        <w:trPr>
          <w:trHeight w:val="213"/>
        </w:trPr>
        <w:tc>
          <w:tcPr>
            <w:tcW w:w="3360" w:type="dxa"/>
            <w:vAlign w:val="bottom"/>
          </w:tcPr>
          <w:p>
            <w:pPr>
              <w:ind w:left="440"/>
              <w:spacing w:after="0"/>
              <w:rPr>
                <w:sz w:val="20"/>
                <w:szCs w:val="20"/>
                <w:color w:val="auto"/>
              </w:rPr>
            </w:pPr>
            <w:r>
              <w:rPr>
                <w:rFonts w:ascii="Arial" w:cs="Arial" w:eastAsia="Arial" w:hAnsi="Arial"/>
                <w:sz w:val="16"/>
                <w:szCs w:val="16"/>
                <w:color w:val="auto"/>
              </w:rPr>
              <w:t>Total 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24,297</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32,784</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40,520</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(91,016)</w:t>
            </w:r>
          </w:p>
        </w:tc>
        <w:tc>
          <w:tcPr>
            <w:tcW w:w="0" w:type="dxa"/>
            <w:vAlign w:val="bottom"/>
          </w:tcPr>
          <w:p>
            <w:pPr>
              <w:spacing w:after="0"/>
              <w:rPr>
                <w:sz w:val="1"/>
                <w:szCs w:val="1"/>
                <w:color w:val="auto"/>
              </w:rPr>
            </w:pPr>
          </w:p>
        </w:tc>
      </w:tr>
      <w:tr>
        <w:trPr>
          <w:trHeight w:val="21"/>
        </w:trPr>
        <w:tc>
          <w:tcPr>
            <w:tcW w:w="336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3"/>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22,604</w:t>
            </w:r>
          </w:p>
        </w:tc>
        <w:tc>
          <w:tcPr>
            <w:tcW w:w="16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15,301</w:t>
            </w:r>
          </w:p>
        </w:tc>
        <w:tc>
          <w:tcPr>
            <w:tcW w:w="18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33,400</w:t>
            </w:r>
          </w:p>
        </w:tc>
        <w:tc>
          <w:tcPr>
            <w:tcW w:w="200" w:type="dxa"/>
            <w:vAlign w:val="bottom"/>
          </w:tcPr>
          <w:p>
            <w:pPr>
              <w:spacing w:after="0"/>
              <w:rPr>
                <w:sz w:val="22"/>
                <w:szCs w:val="22"/>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26,726</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15,448</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18,798</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28,257</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34,959</w:t>
            </w:r>
          </w:p>
        </w:tc>
        <w:tc>
          <w:tcPr>
            <w:tcW w:w="0" w:type="dxa"/>
            <w:vAlign w:val="bottom"/>
          </w:tcPr>
          <w:p>
            <w:pPr>
              <w:spacing w:after="0"/>
              <w:rPr>
                <w:sz w:val="1"/>
                <w:szCs w:val="1"/>
                <w:color w:val="auto"/>
              </w:rPr>
            </w:pPr>
          </w:p>
        </w:tc>
      </w:tr>
      <w:tr>
        <w:trPr>
          <w:trHeight w:val="256"/>
        </w:trPr>
        <w:tc>
          <w:tcPr>
            <w:tcW w:w="336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297</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(1,389)</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(924)</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(1,003)</w:t>
            </w:r>
          </w:p>
        </w:tc>
        <w:tc>
          <w:tcPr>
            <w:tcW w:w="0" w:type="dxa"/>
            <w:vAlign w:val="bottom"/>
          </w:tcPr>
          <w:p>
            <w:pPr>
              <w:spacing w:after="0"/>
              <w:rPr>
                <w:sz w:val="1"/>
                <w:szCs w:val="1"/>
                <w:color w:val="auto"/>
              </w:rPr>
            </w:pPr>
          </w:p>
        </w:tc>
      </w:tr>
      <w:tr>
        <w:trPr>
          <w:trHeight w:val="260"/>
        </w:trPr>
        <w:tc>
          <w:tcPr>
            <w:tcW w:w="3360" w:type="dxa"/>
            <w:vAlign w:val="bottom"/>
          </w:tcPr>
          <w:p>
            <w:pPr>
              <w:ind w:left="20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(6,117)</w:t>
            </w: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(4,616)</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(12,278)</w:t>
            </w:r>
          </w:p>
        </w:tc>
        <w:tc>
          <w:tcPr>
            <w:tcW w:w="2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(12,268)</w:t>
            </w:r>
          </w:p>
        </w:tc>
        <w:tc>
          <w:tcPr>
            <w:tcW w:w="0" w:type="dxa"/>
            <w:vAlign w:val="bottom"/>
          </w:tcPr>
          <w:p>
            <w:pPr>
              <w:spacing w:after="0"/>
              <w:rPr>
                <w:sz w:val="1"/>
                <w:szCs w:val="1"/>
                <w:color w:val="auto"/>
              </w:rPr>
            </w:pPr>
          </w:p>
        </w:tc>
      </w:tr>
      <w:tr>
        <w:trPr>
          <w:trHeight w:val="212"/>
        </w:trPr>
        <w:tc>
          <w:tcPr>
            <w:tcW w:w="3360" w:type="dxa"/>
            <w:vAlign w:val="bottom"/>
          </w:tcPr>
          <w:p>
            <w:pPr>
              <w:ind w:left="440"/>
              <w:spacing w:after="0"/>
              <w:rPr>
                <w:sz w:val="20"/>
                <w:szCs w:val="20"/>
                <w:color w:val="auto"/>
              </w:rPr>
            </w:pPr>
            <w:r>
              <w:rPr>
                <w:rFonts w:ascii="Arial" w:cs="Arial" w:eastAsia="Arial" w:hAnsi="Arial"/>
                <w:sz w:val="16"/>
                <w:szCs w:val="16"/>
                <w:color w:val="auto"/>
              </w:rPr>
              <w:t>Total adjusted 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32,232</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28,094</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48,455</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48,414</w:t>
            </w:r>
          </w:p>
        </w:tc>
        <w:tc>
          <w:tcPr>
            <w:tcW w:w="0" w:type="dxa"/>
            <w:vAlign w:val="bottom"/>
          </w:tcPr>
          <w:p>
            <w:pPr>
              <w:spacing w:after="0"/>
              <w:rPr>
                <w:sz w:val="1"/>
                <w:szCs w:val="1"/>
                <w:color w:val="auto"/>
              </w:rPr>
            </w:pPr>
          </w:p>
        </w:tc>
      </w:tr>
      <w:tr>
        <w:trPr>
          <w:trHeight w:val="21"/>
        </w:trPr>
        <w:tc>
          <w:tcPr>
            <w:tcW w:w="336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3"/>
        </w:trPr>
        <w:tc>
          <w:tcPr>
            <w:tcW w:w="3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360" w:type="dxa"/>
            <w:vAlign w:val="bottom"/>
          </w:tcPr>
          <w:p>
            <w:pPr>
              <w:ind w:left="20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7,452</w:t>
            </w:r>
          </w:p>
        </w:tc>
        <w:tc>
          <w:tcPr>
            <w:tcW w:w="16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(6,719)</w:t>
            </w:r>
          </w:p>
        </w:tc>
        <w:tc>
          <w:tcPr>
            <w:tcW w:w="180" w:type="dxa"/>
            <w:vAlign w:val="bottom"/>
          </w:tcPr>
          <w:p>
            <w:pPr>
              <w:spacing w:after="0"/>
              <w:rPr>
                <w:sz w:val="22"/>
                <w:szCs w:val="22"/>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(207)</w:t>
            </w:r>
          </w:p>
        </w:tc>
        <w:tc>
          <w:tcPr>
            <w:tcW w:w="200" w:type="dxa"/>
            <w:vAlign w:val="bottom"/>
          </w:tcPr>
          <w:p>
            <w:pPr>
              <w:spacing w:after="0"/>
              <w:rPr>
                <w:sz w:val="22"/>
                <w:szCs w:val="22"/>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(143,350)</w:t>
            </w:r>
          </w:p>
        </w:tc>
        <w:tc>
          <w:tcPr>
            <w:tcW w:w="0" w:type="dxa"/>
            <w:vAlign w:val="bottom"/>
          </w:tcPr>
          <w:p>
            <w:pPr>
              <w:spacing w:after="0"/>
              <w:rPr>
                <w:sz w:val="1"/>
                <w:szCs w:val="1"/>
                <w:color w:val="auto"/>
              </w:rPr>
            </w:pPr>
          </w:p>
        </w:tc>
      </w:tr>
      <w:tr>
        <w:trPr>
          <w:trHeight w:val="257"/>
        </w:trPr>
        <w:tc>
          <w:tcPr>
            <w:tcW w:w="3360" w:type="dxa"/>
            <w:vAlign w:val="bottom"/>
          </w:tcPr>
          <w:p>
            <w:pPr>
              <w:ind w:left="20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(2,656)</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8,191</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651</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14,355</w:t>
            </w:r>
          </w:p>
        </w:tc>
        <w:tc>
          <w:tcPr>
            <w:tcW w:w="0" w:type="dxa"/>
            <w:vAlign w:val="bottom"/>
          </w:tcPr>
          <w:p>
            <w:pPr>
              <w:spacing w:after="0"/>
              <w:rPr>
                <w:sz w:val="1"/>
                <w:szCs w:val="1"/>
                <w:color w:val="auto"/>
              </w:rPr>
            </w:pPr>
          </w:p>
        </w:tc>
      </w:tr>
      <w:tr>
        <w:trPr>
          <w:trHeight w:val="256"/>
        </w:trPr>
        <w:tc>
          <w:tcPr>
            <w:tcW w:w="336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(1,109)</w:t>
            </w: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(2,623)</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(3,707)</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(16,757)</w:t>
            </w:r>
          </w:p>
        </w:tc>
        <w:tc>
          <w:tcPr>
            <w:tcW w:w="0" w:type="dxa"/>
            <w:vAlign w:val="bottom"/>
          </w:tcPr>
          <w:p>
            <w:pPr>
              <w:spacing w:after="0"/>
              <w:rPr>
                <w:sz w:val="1"/>
                <w:szCs w:val="1"/>
                <w:color w:val="auto"/>
              </w:rPr>
            </w:pPr>
          </w:p>
        </w:tc>
      </w:tr>
      <w:tr>
        <w:trPr>
          <w:trHeight w:val="260"/>
        </w:trPr>
        <w:tc>
          <w:tcPr>
            <w:tcW w:w="3360" w:type="dxa"/>
            <w:vAlign w:val="bottom"/>
          </w:tcPr>
          <w:p>
            <w:pPr>
              <w:ind w:left="20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(1,558)</w:t>
            </w:r>
          </w:p>
        </w:tc>
        <w:tc>
          <w:tcPr>
            <w:tcW w:w="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(4,509)</w:t>
            </w:r>
          </w:p>
        </w:tc>
        <w:tc>
          <w:tcPr>
            <w:tcW w:w="2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(5,158)</w:t>
            </w:r>
          </w:p>
        </w:tc>
        <w:tc>
          <w:tcPr>
            <w:tcW w:w="0" w:type="dxa"/>
            <w:vAlign w:val="bottom"/>
          </w:tcPr>
          <w:p>
            <w:pPr>
              <w:spacing w:after="0"/>
              <w:rPr>
                <w:sz w:val="1"/>
                <w:szCs w:val="1"/>
                <w:color w:val="auto"/>
              </w:rPr>
            </w:pPr>
          </w:p>
        </w:tc>
      </w:tr>
      <w:tr>
        <w:trPr>
          <w:trHeight w:val="213"/>
        </w:trPr>
        <w:tc>
          <w:tcPr>
            <w:tcW w:w="3360" w:type="dxa"/>
            <w:vAlign w:val="bottom"/>
          </w:tcPr>
          <w:p>
            <w:pPr>
              <w:ind w:left="440"/>
              <w:spacing w:after="0"/>
              <w:rPr>
                <w:sz w:val="20"/>
                <w:szCs w:val="20"/>
                <w:color w:val="auto"/>
              </w:rPr>
            </w:pPr>
            <w:r>
              <w:rPr>
                <w:rFonts w:ascii="Arial" w:cs="Arial" w:eastAsia="Arial" w:hAnsi="Arial"/>
                <w:sz w:val="16"/>
                <w:szCs w:val="16"/>
                <w:color w:val="auto"/>
              </w:rPr>
              <w:t>Total operating income (loss)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2,129</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(1,841)</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(7,772)</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(150,910)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(1) Please see Non-GAAP Reconciliation Schedule.</w:t>
      </w:r>
    </w:p>
    <w:p>
      <w:pPr>
        <w:sectPr>
          <w:pgSz w:w="11900" w:h="16838" w:orient="portrait"/>
          <w:cols w:equalWidth="0" w:num="1">
            <w:col w:w="9160"/>
          </w:cols>
          <w:pgMar w:left="1380" w:top="891" w:right="1359" w:bottom="1440" w:gutter="0" w:footer="0" w:header="0"/>
        </w:sectPr>
      </w:pPr>
    </w:p>
    <w:bookmarkStart w:id="11" w:name="page12"/>
    <w:bookmarkEnd w:id="11"/>
    <w:p>
      <w:pPr>
        <w:jc w:val="center"/>
        <w:ind w:right="-3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NON-GAAP RECONCILIATIONS</w:t>
      </w:r>
    </w:p>
    <w:p>
      <w:pPr>
        <w:spacing w:after="0" w:line="5"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(unaudited)</w:t>
      </w:r>
    </w:p>
    <w:p>
      <w:pPr>
        <w:spacing w:after="0" w:line="251" w:lineRule="exact"/>
        <w:rPr>
          <w:sz w:val="20"/>
          <w:szCs w:val="20"/>
          <w:color w:val="auto"/>
        </w:rPr>
      </w:pPr>
    </w:p>
    <w:tbl>
      <w:tblPr>
        <w:tblLayout w:type="fixed"/>
        <w:tblInd w:w="2392"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10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8"/>
                <w:szCs w:val="18"/>
                <w:color w:val="auto"/>
              </w:rPr>
            </w:pPr>
          </w:p>
        </w:tc>
      </w:tr>
      <w:tr>
        <w:trPr>
          <w:trHeight w:val="268"/>
        </w:trPr>
        <w:tc>
          <w:tcPr>
            <w:tcW w:w="16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r>
      <w:tr>
        <w:trPr>
          <w:trHeight w:val="517"/>
        </w:trPr>
        <w:tc>
          <w:tcPr>
            <w:tcW w:w="1680" w:type="dxa"/>
            <w:vAlign w:val="bottom"/>
          </w:tcPr>
          <w:p>
            <w:pPr>
              <w:spacing w:after="0"/>
              <w:rPr>
                <w:sz w:val="20"/>
                <w:szCs w:val="20"/>
                <w:color w:val="auto"/>
              </w:rPr>
            </w:pPr>
            <w:r>
              <w:rPr>
                <w:rFonts w:ascii="Arial" w:cs="Arial" w:eastAsia="Arial" w:hAnsi="Arial"/>
                <w:sz w:val="16"/>
                <w:szCs w:val="16"/>
                <w:color w:val="auto"/>
              </w:rPr>
              <w:t>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24,297</w:t>
            </w:r>
          </w:p>
        </w:tc>
        <w:tc>
          <w:tcPr>
            <w:tcW w:w="18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32,784</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40,520</w:t>
            </w:r>
          </w:p>
        </w:tc>
        <w:tc>
          <w:tcPr>
            <w:tcW w:w="18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center"/>
              <w:ind w:left="19"/>
              <w:spacing w:after="0"/>
              <w:rPr>
                <w:sz w:val="20"/>
                <w:szCs w:val="20"/>
                <w:color w:val="auto"/>
              </w:rPr>
            </w:pPr>
            <w:r>
              <w:rPr>
                <w:rFonts w:ascii="Arial" w:cs="Arial" w:eastAsia="Arial" w:hAnsi="Arial"/>
                <w:sz w:val="16"/>
                <w:szCs w:val="16"/>
                <w:color w:val="auto"/>
              </w:rPr>
              <w:t>(91,016)</w:t>
            </w:r>
          </w:p>
        </w:tc>
      </w:tr>
      <w:tr>
        <w:trPr>
          <w:trHeight w:val="270"/>
        </w:trPr>
        <w:tc>
          <w:tcPr>
            <w:tcW w:w="1680" w:type="dxa"/>
            <w:vAlign w:val="bottom"/>
          </w:tcPr>
          <w:p>
            <w:pPr>
              <w:spacing w:after="0"/>
              <w:rPr>
                <w:sz w:val="20"/>
                <w:szCs w:val="20"/>
                <w:color w:val="auto"/>
              </w:rPr>
            </w:pPr>
            <w:r>
              <w:rPr>
                <w:rFonts w:ascii="Arial" w:cs="Arial" w:eastAsia="Arial" w:hAnsi="Arial"/>
                <w:sz w:val="16"/>
                <w:szCs w:val="16"/>
                <w:color w:val="auto"/>
              </w:rPr>
              <w:t>Adjusted 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32,232</w:t>
            </w:r>
          </w:p>
        </w:tc>
        <w:tc>
          <w:tcPr>
            <w:tcW w:w="18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28,094</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48,455</w:t>
            </w:r>
          </w:p>
        </w:tc>
        <w:tc>
          <w:tcPr>
            <w:tcW w:w="18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center"/>
              <w:ind w:left="39"/>
              <w:spacing w:after="0"/>
              <w:rPr>
                <w:sz w:val="20"/>
                <w:szCs w:val="20"/>
                <w:color w:val="auto"/>
              </w:rPr>
            </w:pPr>
            <w:r>
              <w:rPr>
                <w:rFonts w:ascii="Arial" w:cs="Arial" w:eastAsia="Arial" w:hAnsi="Arial"/>
                <w:sz w:val="16"/>
                <w:szCs w:val="16"/>
                <w:color w:val="auto"/>
              </w:rPr>
              <w:t>48,414</w:t>
            </w:r>
          </w:p>
        </w:tc>
      </w:tr>
      <w:tr>
        <w:trPr>
          <w:trHeight w:val="270"/>
        </w:trPr>
        <w:tc>
          <w:tcPr>
            <w:tcW w:w="1680" w:type="dxa"/>
            <w:vAlign w:val="bottom"/>
          </w:tcPr>
          <w:p>
            <w:pPr>
              <w:spacing w:after="0"/>
              <w:rPr>
                <w:sz w:val="20"/>
                <w:szCs w:val="20"/>
                <w:color w:val="auto"/>
              </w:rPr>
            </w:pPr>
            <w:r>
              <w:rPr>
                <w:rFonts w:ascii="Arial" w:cs="Arial" w:eastAsia="Arial" w:hAnsi="Arial"/>
                <w:sz w:val="16"/>
                <w:szCs w:val="16"/>
                <w:color w:val="auto"/>
              </w:rPr>
              <w:t>Free Cash Flow (2)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13,736</w:t>
            </w:r>
          </w:p>
        </w:tc>
        <w:tc>
          <w:tcPr>
            <w:tcW w:w="18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25,110</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29,832</w:t>
            </w:r>
          </w:p>
        </w:tc>
        <w:tc>
          <w:tcPr>
            <w:tcW w:w="18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center"/>
              <w:ind w:left="39"/>
              <w:spacing w:after="0"/>
              <w:rPr>
                <w:sz w:val="20"/>
                <w:szCs w:val="20"/>
                <w:color w:val="auto"/>
              </w:rPr>
            </w:pPr>
            <w:r>
              <w:rPr>
                <w:rFonts w:ascii="Arial" w:cs="Arial" w:eastAsia="Arial" w:hAnsi="Arial"/>
                <w:sz w:val="16"/>
                <w:szCs w:val="16"/>
                <w:color w:val="auto"/>
              </w:rPr>
              <w:t>43,368</w:t>
            </w:r>
          </w:p>
        </w:tc>
      </w:tr>
    </w:tbl>
    <w:p>
      <w:pPr>
        <w:spacing w:after="0" w:line="332" w:lineRule="exact"/>
        <w:rPr>
          <w:sz w:val="20"/>
          <w:szCs w:val="20"/>
          <w:color w:val="auto"/>
        </w:rPr>
      </w:pPr>
    </w:p>
    <w:p>
      <w:pPr>
        <w:ind w:left="332" w:right="60" w:hanging="332"/>
        <w:spacing w:after="0" w:line="231" w:lineRule="auto"/>
        <w:tabs>
          <w:tab w:leader="none" w:pos="32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term EBITDA is defined as net income (loss) attributable to Civeo Corporation plus interest, taxes, depreciation and amortization. The term Adjusted EBITDA is defined as EBITDA adjusted to exclude impairment charges and proceeds from the settlement of a representation and warranties claim related to a prior acquisition.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40" w:lineRule="exact"/>
        <w:rPr>
          <w:rFonts w:ascii="Arial" w:cs="Arial" w:eastAsia="Arial" w:hAnsi="Arial"/>
          <w:sz w:val="16"/>
          <w:szCs w:val="16"/>
          <w:color w:val="auto"/>
        </w:rPr>
      </w:pPr>
    </w:p>
    <w:p>
      <w:pPr>
        <w:ind w:left="332" w:right="100"/>
        <w:spacing w:after="0" w:line="260"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EBITDA and Adjusted EBITDA to net income (loss) attributable to Civeo Corporation, which is the most directly comparable measure of financial performance calculated under generally accepted accounting principles (in thousands) (unaudited):</w:t>
      </w:r>
    </w:p>
    <w:p>
      <w:pPr>
        <w:spacing w:after="0" w:line="266" w:lineRule="exact"/>
        <w:rPr>
          <w:sz w:val="20"/>
          <w:szCs w:val="20"/>
          <w:color w:val="auto"/>
        </w:rPr>
      </w:pPr>
    </w:p>
    <w:tbl>
      <w:tblPr>
        <w:tblLayout w:type="fixed"/>
        <w:tblInd w:w="1432"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14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r>
      <w:tr>
        <w:trPr>
          <w:trHeight w:val="265"/>
        </w:trPr>
        <w:tc>
          <w:tcPr>
            <w:tcW w:w="34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r>
      <w:tr>
        <w:trPr>
          <w:trHeight w:val="433"/>
        </w:trPr>
        <w:tc>
          <w:tcPr>
            <w:tcW w:w="3460" w:type="dxa"/>
            <w:vAlign w:val="bottom"/>
          </w:tcPr>
          <w:p>
            <w:pPr>
              <w:spacing w:after="0"/>
              <w:rPr>
                <w:sz w:val="20"/>
                <w:szCs w:val="20"/>
                <w:color w:val="auto"/>
              </w:rPr>
            </w:pPr>
            <w:r>
              <w:rPr>
                <w:rFonts w:ascii="Arial" w:cs="Arial" w:eastAsia="Arial" w:hAnsi="Arial"/>
                <w:sz w:val="16"/>
                <w:szCs w:val="16"/>
                <w:color w:val="auto"/>
              </w:rPr>
              <w:t>Net income (loss) attributable to Civeo</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5"/>
        </w:trPr>
        <w:tc>
          <w:tcPr>
            <w:tcW w:w="3460" w:type="dxa"/>
            <w:vAlign w:val="bottom"/>
          </w:tcPr>
          <w:p>
            <w:pPr>
              <w:spacing w:after="0"/>
              <w:rPr>
                <w:sz w:val="20"/>
                <w:szCs w:val="20"/>
                <w:color w:val="auto"/>
              </w:rPr>
            </w:pPr>
            <w:r>
              <w:rPr>
                <w:rFonts w:ascii="Arial" w:cs="Arial" w:eastAsia="Arial" w:hAnsi="Arial"/>
                <w:sz w:val="16"/>
                <w:szCs w:val="16"/>
                <w:color w:val="auto"/>
              </w:rPr>
              <w:t>Corporation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6"/>
                <w:szCs w:val="16"/>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6,607</w:t>
            </w:r>
          </w:p>
        </w:tc>
        <w:tc>
          <w:tcPr>
            <w:tcW w:w="18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(9,471)</w:t>
            </w:r>
          </w:p>
        </w:tc>
        <w:tc>
          <w:tcPr>
            <w:tcW w:w="180" w:type="dxa"/>
            <w:vAlign w:val="bottom"/>
          </w:tcPr>
          <w:p>
            <w:pPr>
              <w:spacing w:after="0"/>
              <w:rPr>
                <w:sz w:val="16"/>
                <w:szCs w:val="16"/>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(139,463)</w:t>
            </w:r>
          </w:p>
        </w:tc>
      </w:tr>
      <w:tr>
        <w:trPr>
          <w:trHeight w:val="270"/>
        </w:trPr>
        <w:tc>
          <w:tcPr>
            <w:tcW w:w="346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(492)</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122</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584</w:t>
            </w: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(8,689)</w:t>
            </w:r>
          </w:p>
        </w:tc>
      </w:tr>
      <w:tr>
        <w:trPr>
          <w:trHeight w:val="270"/>
        </w:trPr>
        <w:tc>
          <w:tcPr>
            <w:tcW w:w="346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21,377</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22,205</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42,646</w:t>
            </w: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47,707</w:t>
            </w:r>
          </w:p>
        </w:tc>
      </w:tr>
      <w:tr>
        <w:trPr>
          <w:trHeight w:val="270"/>
        </w:trPr>
        <w:tc>
          <w:tcPr>
            <w:tcW w:w="3460" w:type="dxa"/>
            <w:vAlign w:val="bottom"/>
          </w:tcPr>
          <w:p>
            <w:pPr>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3"/>
        </w:trPr>
        <w:tc>
          <w:tcPr>
            <w:tcW w:w="346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3,401</w:t>
            </w:r>
          </w:p>
        </w:tc>
        <w:tc>
          <w:tcPr>
            <w:tcW w:w="1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3,854</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6,763</w:t>
            </w:r>
          </w:p>
        </w:tc>
        <w:tc>
          <w:tcPr>
            <w:tcW w:w="1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9,449</w:t>
            </w:r>
          </w:p>
        </w:tc>
      </w:tr>
      <w:tr>
        <w:trPr>
          <w:trHeight w:val="247"/>
        </w:trPr>
        <w:tc>
          <w:tcPr>
            <w:tcW w:w="3460" w:type="dxa"/>
            <w:vAlign w:val="bottom"/>
          </w:tcPr>
          <w:p>
            <w:pPr>
              <w:spacing w:after="0"/>
              <w:rPr>
                <w:sz w:val="20"/>
                <w:szCs w:val="20"/>
                <w:color w:val="auto"/>
              </w:rPr>
            </w:pPr>
            <w:r>
              <w:rPr>
                <w:rFonts w:ascii="Arial" w:cs="Arial" w:eastAsia="Arial" w:hAnsi="Arial"/>
                <w:sz w:val="16"/>
                <w:szCs w:val="16"/>
                <w:color w:val="auto"/>
              </w:rPr>
              <w:t>EBITDA</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24,297</w:t>
            </w:r>
          </w:p>
        </w:tc>
        <w:tc>
          <w:tcPr>
            <w:tcW w:w="18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32,784</w:t>
            </w:r>
          </w:p>
        </w:tc>
        <w:tc>
          <w:tcPr>
            <w:tcW w:w="18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40,520</w:t>
            </w:r>
          </w:p>
        </w:tc>
        <w:tc>
          <w:tcPr>
            <w:tcW w:w="18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(91,016)</w:t>
            </w:r>
          </w:p>
        </w:tc>
      </w:tr>
      <w:tr>
        <w:trPr>
          <w:trHeight w:val="250"/>
        </w:trPr>
        <w:tc>
          <w:tcPr>
            <w:tcW w:w="3460" w:type="dxa"/>
            <w:vAlign w:val="bottom"/>
          </w:tcPr>
          <w:p>
            <w:pPr>
              <w:spacing w:after="0"/>
              <w:rPr>
                <w:sz w:val="20"/>
                <w:szCs w:val="20"/>
                <w:color w:val="auto"/>
              </w:rPr>
            </w:pPr>
            <w:r>
              <w:rPr>
                <w:rFonts w:ascii="Arial" w:cs="Arial" w:eastAsia="Arial" w:hAnsi="Arial"/>
                <w:sz w:val="16"/>
                <w:szCs w:val="16"/>
                <w:color w:val="auto"/>
              </w:rPr>
              <w:t>Adjustments to EBITDA</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3460" w:type="dxa"/>
            <w:vAlign w:val="bottom"/>
          </w:tcPr>
          <w:p>
            <w:pPr>
              <w:ind w:left="140"/>
              <w:spacing w:after="0"/>
              <w:rPr>
                <w:sz w:val="20"/>
                <w:szCs w:val="20"/>
                <w:color w:val="auto"/>
              </w:rPr>
            </w:pPr>
            <w:r>
              <w:rPr>
                <w:rFonts w:ascii="Arial" w:cs="Arial" w:eastAsia="Arial" w:hAnsi="Arial"/>
                <w:sz w:val="16"/>
                <w:szCs w:val="16"/>
                <w:color w:val="auto"/>
              </w:rPr>
              <w:t>Impairment of long-lived assets (a)</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7,935</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7,935</w:t>
            </w: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50,514</w:t>
            </w:r>
          </w:p>
        </w:tc>
      </w:tr>
      <w:tr>
        <w:trPr>
          <w:trHeight w:val="270"/>
        </w:trPr>
        <w:tc>
          <w:tcPr>
            <w:tcW w:w="3460" w:type="dxa"/>
            <w:vAlign w:val="bottom"/>
          </w:tcPr>
          <w:p>
            <w:pPr>
              <w:ind w:left="140"/>
              <w:spacing w:after="0"/>
              <w:rPr>
                <w:sz w:val="20"/>
                <w:szCs w:val="20"/>
                <w:color w:val="auto"/>
              </w:rPr>
            </w:pPr>
            <w:r>
              <w:rPr>
                <w:rFonts w:ascii="Arial" w:cs="Arial" w:eastAsia="Arial" w:hAnsi="Arial"/>
                <w:sz w:val="16"/>
                <w:szCs w:val="16"/>
                <w:color w:val="auto"/>
              </w:rPr>
              <w:t>Impairment of goodwill (b)</w:t>
            </w:r>
          </w:p>
        </w:tc>
        <w:tc>
          <w:tcPr>
            <w:tcW w:w="24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93,606</w:t>
            </w:r>
          </w:p>
        </w:tc>
      </w:tr>
      <w:tr>
        <w:trPr>
          <w:trHeight w:val="183"/>
        </w:trPr>
        <w:tc>
          <w:tcPr>
            <w:tcW w:w="3460" w:type="dxa"/>
            <w:vAlign w:val="bottom"/>
          </w:tcPr>
          <w:p>
            <w:pPr>
              <w:ind w:left="140"/>
              <w:spacing w:after="0"/>
              <w:rPr>
                <w:sz w:val="20"/>
                <w:szCs w:val="20"/>
                <w:color w:val="auto"/>
              </w:rPr>
            </w:pPr>
            <w:r>
              <w:rPr>
                <w:rFonts w:ascii="Arial" w:cs="Arial" w:eastAsia="Arial" w:hAnsi="Arial"/>
                <w:sz w:val="16"/>
                <w:szCs w:val="16"/>
                <w:color w:val="auto"/>
              </w:rPr>
              <w:t>Representations and warranties settlement</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8"/>
        </w:trPr>
        <w:tc>
          <w:tcPr>
            <w:tcW w:w="3460" w:type="dxa"/>
            <w:vAlign w:val="bottom"/>
          </w:tcPr>
          <w:p>
            <w:pPr>
              <w:spacing w:after="0"/>
              <w:rPr>
                <w:sz w:val="20"/>
                <w:szCs w:val="20"/>
                <w:color w:val="auto"/>
              </w:rPr>
            </w:pPr>
            <w:r>
              <w:rPr>
                <w:rFonts w:ascii="Arial" w:cs="Arial" w:eastAsia="Arial" w:hAnsi="Arial"/>
                <w:sz w:val="16"/>
                <w:szCs w:val="16"/>
                <w:color w:val="auto"/>
              </w:rPr>
              <w:t>(c)</w:t>
            </w:r>
          </w:p>
        </w:tc>
        <w:tc>
          <w:tcPr>
            <w:tcW w:w="24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(4,690)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(4,690)</w:t>
            </w:r>
          </w:p>
        </w:tc>
      </w:tr>
      <w:tr>
        <w:trPr>
          <w:trHeight w:val="226"/>
        </w:trPr>
        <w:tc>
          <w:tcPr>
            <w:tcW w:w="3460" w:type="dxa"/>
            <w:vAlign w:val="bottom"/>
          </w:tcPr>
          <w:p>
            <w:pPr>
              <w:spacing w:after="0"/>
              <w:rPr>
                <w:sz w:val="20"/>
                <w:szCs w:val="20"/>
                <w:color w:val="auto"/>
              </w:rPr>
            </w:pPr>
            <w:r>
              <w:rPr>
                <w:rFonts w:ascii="Arial" w:cs="Arial" w:eastAsia="Arial" w:hAnsi="Arial"/>
                <w:sz w:val="16"/>
                <w:szCs w:val="16"/>
                <w:color w:val="auto"/>
              </w:rPr>
              <w:t>Adjusted EBITDA</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32,232</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28,094</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48,455</w:t>
            </w: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48,414</w:t>
            </w:r>
          </w:p>
        </w:tc>
      </w:tr>
      <w:tr>
        <w:trPr>
          <w:trHeight w:val="20"/>
        </w:trPr>
        <w:tc>
          <w:tcPr>
            <w:tcW w:w="3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ind w:left="652" w:right="80" w:hanging="328"/>
        <w:spacing w:after="0" w:line="253" w:lineRule="auto"/>
        <w:tabs>
          <w:tab w:leader="none" w:pos="647" w:val="left"/>
        </w:tabs>
        <w:numPr>
          <w:ilvl w:val="0"/>
          <w:numId w:val="5"/>
        </w:numPr>
        <w:rPr>
          <w:rFonts w:ascii="Arial" w:cs="Arial" w:eastAsia="Arial" w:hAnsi="Arial"/>
          <w:sz w:val="16"/>
          <w:szCs w:val="16"/>
          <w:color w:val="auto"/>
        </w:rPr>
      </w:pPr>
      <w:r>
        <w:rPr>
          <w:rFonts w:ascii="Arial" w:cs="Arial" w:eastAsia="Arial" w:hAnsi="Arial"/>
          <w:sz w:val="16"/>
          <w:szCs w:val="16"/>
          <w:color w:val="auto"/>
        </w:rPr>
        <w:t>Relates to asset impairments in the second quarter of 2021 and the first quarter of 2020. In the second quarter of 2021, we recorded a pre-tax loss related to the impairment of long-lived assets in our Australian segment of $7.9 million, which is included in Impairment expense on the unaudited statements of operations.</w:t>
      </w:r>
    </w:p>
    <w:p>
      <w:pPr>
        <w:spacing w:after="0" w:line="228" w:lineRule="exact"/>
        <w:rPr>
          <w:rFonts w:ascii="Arial" w:cs="Arial" w:eastAsia="Arial" w:hAnsi="Arial"/>
          <w:sz w:val="16"/>
          <w:szCs w:val="16"/>
          <w:color w:val="auto"/>
        </w:rPr>
      </w:pPr>
    </w:p>
    <w:p>
      <w:pPr>
        <w:ind w:left="652"/>
        <w:spacing w:after="0" w:line="253" w:lineRule="auto"/>
        <w:rPr>
          <w:rFonts w:ascii="Arial" w:cs="Arial" w:eastAsia="Arial" w:hAnsi="Arial"/>
          <w:sz w:val="16"/>
          <w:szCs w:val="16"/>
          <w:color w:val="auto"/>
        </w:rPr>
      </w:pPr>
      <w:r>
        <w:rPr>
          <w:rFonts w:ascii="Arial" w:cs="Arial" w:eastAsia="Arial" w:hAnsi="Arial"/>
          <w:sz w:val="16"/>
          <w:szCs w:val="16"/>
          <w:color w:val="auto"/>
        </w:rPr>
        <w:t>In the first quarter of 2020, we recorded a pre-tax loss related to the impairment of long-lived assets in our Canadian segment of $38.1 million and a pre-tax loss related to the impairment of long-lived assets in our U.S. segment of $12.4 million, which is included in Impairment expense on the unaudited statements of operations.</w:t>
      </w:r>
    </w:p>
    <w:p>
      <w:pPr>
        <w:sectPr>
          <w:pgSz w:w="11900" w:h="16838" w:orient="portrait"/>
          <w:cols w:equalWidth="0" w:num="1">
            <w:col w:w="11212"/>
          </w:cols>
          <w:pgMar w:left="328" w:top="891" w:right="359" w:bottom="1440" w:gutter="0" w:footer="0" w:header="0"/>
        </w:sectPr>
      </w:pPr>
    </w:p>
    <w:bookmarkStart w:id="12" w:name="page13"/>
    <w:bookmarkEnd w:id="12"/>
    <w:p>
      <w:pPr>
        <w:ind w:left="652" w:right="620" w:hanging="328"/>
        <w:spacing w:after="0" w:line="260" w:lineRule="auto"/>
        <w:tabs>
          <w:tab w:leader="none" w:pos="647" w:val="left"/>
        </w:tabs>
        <w:numPr>
          <w:ilvl w:val="1"/>
          <w:numId w:val="6"/>
        </w:numPr>
        <w:rPr>
          <w:rFonts w:ascii="Arial" w:cs="Arial" w:eastAsia="Arial" w:hAnsi="Arial"/>
          <w:sz w:val="16"/>
          <w:szCs w:val="16"/>
          <w:color w:val="auto"/>
        </w:rPr>
      </w:pPr>
      <w:r>
        <w:rPr>
          <w:rFonts w:ascii="Arial" w:cs="Arial" w:eastAsia="Arial" w:hAnsi="Arial"/>
          <w:sz w:val="16"/>
          <w:szCs w:val="16"/>
          <w:color w:val="auto"/>
        </w:rPr>
        <w:t>Relates to the impairment of goodwill in the first quarter of 2020. The $93.6 million impairment is related to our Canada reporting unit and is included in Impairment expense on the statements of operations.</w:t>
      </w:r>
    </w:p>
    <w:p>
      <w:pPr>
        <w:spacing w:after="0" w:line="222" w:lineRule="exact"/>
        <w:rPr>
          <w:rFonts w:ascii="Arial" w:cs="Arial" w:eastAsia="Arial" w:hAnsi="Arial"/>
          <w:sz w:val="16"/>
          <w:szCs w:val="16"/>
          <w:color w:val="auto"/>
        </w:rPr>
      </w:pPr>
    </w:p>
    <w:p>
      <w:pPr>
        <w:ind w:left="652" w:right="100" w:hanging="328"/>
        <w:spacing w:after="0" w:line="260" w:lineRule="auto"/>
        <w:tabs>
          <w:tab w:leader="none" w:pos="652" w:val="left"/>
        </w:tabs>
        <w:numPr>
          <w:ilvl w:val="1"/>
          <w:numId w:val="6"/>
        </w:numPr>
        <w:rPr>
          <w:rFonts w:ascii="Arial" w:cs="Arial" w:eastAsia="Arial" w:hAnsi="Arial"/>
          <w:sz w:val="16"/>
          <w:szCs w:val="16"/>
          <w:color w:val="auto"/>
        </w:rPr>
      </w:pPr>
      <w:r>
        <w:rPr>
          <w:rFonts w:ascii="Arial" w:cs="Arial" w:eastAsia="Arial" w:hAnsi="Arial"/>
          <w:sz w:val="16"/>
          <w:szCs w:val="16"/>
          <w:color w:val="auto"/>
        </w:rPr>
        <w:t>In the second quarter of 2020, we recorded $4.7 million of income associated with the settlement of a representations and warranties claim related to the Noralta acquisition, which is included in Other income on the unaudited statements of operations.</w:t>
      </w:r>
    </w:p>
    <w:p>
      <w:pPr>
        <w:spacing w:after="0" w:line="222" w:lineRule="exact"/>
        <w:rPr>
          <w:rFonts w:ascii="Arial" w:cs="Arial" w:eastAsia="Arial" w:hAnsi="Arial"/>
          <w:sz w:val="16"/>
          <w:szCs w:val="16"/>
          <w:color w:val="auto"/>
        </w:rPr>
      </w:pPr>
    </w:p>
    <w:p>
      <w:pPr>
        <w:ind w:left="332" w:hanging="332"/>
        <w:spacing w:after="0" w:line="248" w:lineRule="auto"/>
        <w:tabs>
          <w:tab w:leader="none" w:pos="32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term Free Cash Flow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 It is also used as a benchmark for the award of incentive compensation under its annual incentive compensation plan.</w:t>
      </w:r>
    </w:p>
    <w:p>
      <w:pPr>
        <w:spacing w:after="0" w:line="234" w:lineRule="exact"/>
        <w:rPr>
          <w:rFonts w:ascii="Arial" w:cs="Arial" w:eastAsia="Arial" w:hAnsi="Arial"/>
          <w:sz w:val="16"/>
          <w:szCs w:val="16"/>
          <w:color w:val="auto"/>
        </w:rPr>
      </w:pPr>
    </w:p>
    <w:p>
      <w:pPr>
        <w:ind w:left="332" w:right="740"/>
        <w:spacing w:after="0" w:line="260"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266" w:lineRule="exact"/>
        <w:rPr>
          <w:sz w:val="20"/>
          <w:szCs w:val="20"/>
          <w:color w:val="auto"/>
        </w:rPr>
      </w:pPr>
    </w:p>
    <w:tbl>
      <w:tblPr>
        <w:tblLayout w:type="fixed"/>
        <w:tblInd w:w="1032" w:type="dxa"/>
        <w:tblCellMar>
          <w:top w:w="0" w:type="dxa"/>
          <w:left w:w="0" w:type="dxa"/>
          <w:bottom w:w="0" w:type="dxa"/>
          <w:right w:w="0" w:type="dxa"/>
        </w:tblCellMar>
      </w:tblPr>
      <w:tr>
        <w:trPr>
          <w:trHeight w:val="184"/>
        </w:trPr>
        <w:tc>
          <w:tcPr>
            <w:tcW w:w="4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10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8"/>
                <w:szCs w:val="18"/>
                <w:color w:val="auto"/>
              </w:rPr>
            </w:pPr>
          </w:p>
        </w:tc>
      </w:tr>
      <w:tr>
        <w:trPr>
          <w:trHeight w:val="268"/>
        </w:trPr>
        <w:tc>
          <w:tcPr>
            <w:tcW w:w="43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r>
      <w:tr>
        <w:trPr>
          <w:trHeight w:val="517"/>
        </w:trPr>
        <w:tc>
          <w:tcPr>
            <w:tcW w:w="434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16,533</w:t>
            </w:r>
          </w:p>
        </w:tc>
        <w:tc>
          <w:tcPr>
            <w:tcW w:w="20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24,481</w:t>
            </w:r>
          </w:p>
        </w:tc>
        <w:tc>
          <w:tcPr>
            <w:tcW w:w="2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29,350</w:t>
            </w:r>
          </w:p>
        </w:tc>
        <w:tc>
          <w:tcPr>
            <w:tcW w:w="18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45,318</w:t>
            </w:r>
          </w:p>
        </w:tc>
      </w:tr>
      <w:tr>
        <w:trPr>
          <w:trHeight w:val="270"/>
        </w:trPr>
        <w:tc>
          <w:tcPr>
            <w:tcW w:w="434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(3,158)</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(1,196)</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(6,530)</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(3,847)</w:t>
            </w:r>
          </w:p>
        </w:tc>
      </w:tr>
      <w:tr>
        <w:trPr>
          <w:trHeight w:val="183"/>
        </w:trPr>
        <w:tc>
          <w:tcPr>
            <w:tcW w:w="4340" w:type="dxa"/>
            <w:vAlign w:val="bottom"/>
          </w:tcPr>
          <w:p>
            <w:pPr>
              <w:ind w:left="120"/>
              <w:spacing w:after="0"/>
              <w:rPr>
                <w:sz w:val="20"/>
                <w:szCs w:val="20"/>
                <w:color w:val="auto"/>
              </w:rPr>
            </w:pPr>
            <w:r>
              <w:rPr>
                <w:rFonts w:ascii="Arial" w:cs="Arial" w:eastAsia="Arial" w:hAnsi="Arial"/>
                <w:sz w:val="16"/>
                <w:szCs w:val="16"/>
                <w:color w:val="auto"/>
              </w:rPr>
              <w:t>Proceeds from disposition of property, plant and</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8"/>
        </w:trPr>
        <w:tc>
          <w:tcPr>
            <w:tcW w:w="4340" w:type="dxa"/>
            <w:vAlign w:val="bottom"/>
          </w:tcPr>
          <w:p>
            <w:pPr>
              <w:ind w:left="120"/>
              <w:spacing w:after="0"/>
              <w:rPr>
                <w:sz w:val="20"/>
                <w:szCs w:val="20"/>
                <w:color w:val="auto"/>
              </w:rPr>
            </w:pPr>
            <w:r>
              <w:rPr>
                <w:rFonts w:ascii="Arial" w:cs="Arial" w:eastAsia="Arial" w:hAnsi="Arial"/>
                <w:sz w:val="16"/>
                <w:szCs w:val="16"/>
                <w:color w:val="auto"/>
              </w:rPr>
              <w:t>equipment</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7,012</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1,897</w:t>
            </w:r>
          </w:p>
        </w:tc>
      </w:tr>
      <w:tr>
        <w:trPr>
          <w:trHeight w:val="226"/>
        </w:trPr>
        <w:tc>
          <w:tcPr>
            <w:tcW w:w="4340" w:type="dxa"/>
            <w:vAlign w:val="bottom"/>
          </w:tcPr>
          <w:p>
            <w:pPr>
              <w:ind w:left="120"/>
              <w:spacing w:after="0"/>
              <w:rPr>
                <w:sz w:val="20"/>
                <w:szCs w:val="20"/>
                <w:color w:val="auto"/>
              </w:rPr>
            </w:pPr>
            <w:r>
              <w:rPr>
                <w:rFonts w:ascii="Arial" w:cs="Arial" w:eastAsia="Arial" w:hAnsi="Arial"/>
                <w:sz w:val="16"/>
                <w:szCs w:val="16"/>
                <w:color w:val="auto"/>
              </w:rPr>
              <w:t>Free Cash Flow</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13,736</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25,110</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29,832</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43,368</w:t>
            </w:r>
          </w:p>
        </w:tc>
      </w:tr>
      <w:tr>
        <w:trPr>
          <w:trHeight w:val="21"/>
        </w:trPr>
        <w:tc>
          <w:tcPr>
            <w:tcW w:w="4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12"/>
          </w:cols>
          <w:pgMar w:left="328" w:top="1154" w:right="359" w:bottom="1440" w:gutter="0" w:footer="0" w:header="0"/>
        </w:sectPr>
      </w:pPr>
    </w:p>
    <w:bookmarkStart w:id="13" w:name="page14"/>
    <w:bookmarkEnd w:id="13"/>
    <w:p>
      <w:pPr>
        <w:jc w:val="center"/>
        <w:ind w:right="-33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331"/>
        <w:spacing w:after="0"/>
        <w:rPr>
          <w:sz w:val="20"/>
          <w:szCs w:val="20"/>
          <w:color w:val="auto"/>
        </w:rPr>
      </w:pPr>
      <w:r>
        <w:rPr>
          <w:rFonts w:ascii="Arial" w:cs="Arial" w:eastAsia="Arial" w:hAnsi="Arial"/>
          <w:sz w:val="16"/>
          <w:szCs w:val="16"/>
          <w:b w:val="1"/>
          <w:bCs w:val="1"/>
          <w:color w:val="auto"/>
        </w:rPr>
        <w:t>NON-GAAP RECONCILIATIONS - GUIDANCE</w:t>
      </w:r>
    </w:p>
    <w:p>
      <w:pPr>
        <w:spacing w:after="0" w:line="5" w:lineRule="exact"/>
        <w:rPr>
          <w:sz w:val="20"/>
          <w:szCs w:val="20"/>
          <w:color w:val="auto"/>
        </w:rPr>
      </w:pPr>
    </w:p>
    <w:p>
      <w:pPr>
        <w:ind w:left="5152"/>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ind w:left="5172"/>
        <w:spacing w:after="0"/>
        <w:rPr>
          <w:sz w:val="20"/>
          <w:szCs w:val="20"/>
          <w:color w:val="auto"/>
        </w:rPr>
      </w:pPr>
      <w:r>
        <w:rPr>
          <w:rFonts w:ascii="Arial" w:cs="Arial" w:eastAsia="Arial" w:hAnsi="Arial"/>
          <w:sz w:val="16"/>
          <w:szCs w:val="16"/>
          <w:b w:val="1"/>
          <w:bCs w:val="1"/>
          <w:color w:val="auto"/>
        </w:rPr>
        <w:t>(unaudited)</w:t>
      </w:r>
    </w:p>
    <w:p>
      <w:pPr>
        <w:spacing w:after="0" w:line="269" w:lineRule="exact"/>
        <w:rPr>
          <w:sz w:val="20"/>
          <w:szCs w:val="20"/>
          <w:color w:val="auto"/>
        </w:rPr>
      </w:pPr>
    </w:p>
    <w:tbl>
      <w:tblPr>
        <w:tblLayout w:type="fixed"/>
        <w:tblInd w:w="2072" w:type="dxa"/>
        <w:tblCellMar>
          <w:top w:w="0" w:type="dxa"/>
          <w:left w:w="0" w:type="dxa"/>
          <w:bottom w:w="0" w:type="dxa"/>
          <w:right w:w="0" w:type="dxa"/>
        </w:tblCellMar>
      </w:tblPr>
      <w:tr>
        <w:trPr>
          <w:trHeight w:val="215"/>
        </w:trPr>
        <w:tc>
          <w:tcPr>
            <w:tcW w:w="3260" w:type="dxa"/>
            <w:vAlign w:val="bottom"/>
          </w:tcPr>
          <w:p>
            <w:pPr>
              <w:spacing w:after="0"/>
              <w:rPr>
                <w:sz w:val="18"/>
                <w:szCs w:val="18"/>
                <w:color w:val="auto"/>
              </w:rPr>
            </w:pPr>
          </w:p>
        </w:tc>
        <w:tc>
          <w:tcPr>
            <w:tcW w:w="378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Ending December 31, 2021</w:t>
            </w:r>
          </w:p>
        </w:tc>
      </w:tr>
      <w:tr>
        <w:trPr>
          <w:trHeight w:val="311"/>
        </w:trPr>
        <w:tc>
          <w:tcPr>
            <w:tcW w:w="3260" w:type="dxa"/>
            <w:vAlign w:val="bottom"/>
          </w:tcPr>
          <w:p>
            <w:pPr>
              <w:spacing w:after="0"/>
              <w:rPr>
                <w:sz w:val="20"/>
                <w:szCs w:val="20"/>
                <w:color w:val="auto"/>
              </w:rPr>
            </w:pPr>
            <w:r>
              <w:rPr>
                <w:rFonts w:ascii="Arial" w:cs="Arial" w:eastAsia="Arial" w:hAnsi="Arial"/>
                <w:sz w:val="16"/>
                <w:szCs w:val="16"/>
                <w:color w:val="auto"/>
              </w:rPr>
              <w:t>EBITDA Range (1)</w:t>
            </w:r>
          </w:p>
        </w:tc>
        <w:tc>
          <w:tcPr>
            <w:tcW w:w="16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82.1</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92.1</w:t>
            </w:r>
          </w:p>
        </w:tc>
      </w:tr>
      <w:tr>
        <w:trPr>
          <w:trHeight w:val="216"/>
        </w:trPr>
        <w:tc>
          <w:tcPr>
            <w:tcW w:w="3260" w:type="dxa"/>
            <w:vAlign w:val="bottom"/>
          </w:tcPr>
          <w:p>
            <w:pPr>
              <w:spacing w:after="0"/>
              <w:rPr>
                <w:sz w:val="20"/>
                <w:szCs w:val="20"/>
                <w:color w:val="auto"/>
              </w:rPr>
            </w:pPr>
            <w:r>
              <w:rPr>
                <w:rFonts w:ascii="Arial" w:cs="Arial" w:eastAsia="Arial" w:hAnsi="Arial"/>
                <w:sz w:val="16"/>
                <w:szCs w:val="16"/>
                <w:color w:val="auto"/>
              </w:rPr>
              <w:t>Adjusted EBITDA Range (1)</w:t>
            </w:r>
          </w:p>
        </w:tc>
        <w:tc>
          <w:tcPr>
            <w:tcW w:w="16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90.0</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100.0</w:t>
            </w:r>
          </w:p>
        </w:tc>
      </w:tr>
    </w:tbl>
    <w:p>
      <w:pPr>
        <w:spacing w:after="0" w:line="332" w:lineRule="exact"/>
        <w:rPr>
          <w:sz w:val="20"/>
          <w:szCs w:val="20"/>
          <w:color w:val="auto"/>
        </w:rPr>
      </w:pPr>
    </w:p>
    <w:p>
      <w:pPr>
        <w:ind w:left="332" w:hanging="332"/>
        <w:spacing w:after="0" w:line="242" w:lineRule="auto"/>
        <w:tabs>
          <w:tab w:leader="none" w:pos="32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table sets forth a reconciliation of estimated Adjusted EBITDA to estimated net loss, which is the most directly comparable measure of financial performance calculated under generally accepted accounting principles (in millions) (unaudited):</w:t>
      </w:r>
    </w:p>
    <w:p>
      <w:pPr>
        <w:spacing w:after="0" w:line="257" w:lineRule="exact"/>
        <w:rPr>
          <w:sz w:val="20"/>
          <w:szCs w:val="20"/>
          <w:color w:val="auto"/>
        </w:rPr>
      </w:pPr>
    </w:p>
    <w:tbl>
      <w:tblPr>
        <w:tblLayout w:type="fixed"/>
        <w:tblInd w:w="1872"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Year Ending December 31, 2021</w:t>
            </w:r>
          </w:p>
        </w:tc>
      </w:tr>
      <w:tr>
        <w:trPr>
          <w:trHeight w:val="216"/>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(estimated)</w:t>
            </w:r>
          </w:p>
        </w:tc>
        <w:tc>
          <w:tcPr>
            <w:tcW w:w="720" w:type="dxa"/>
            <w:vAlign w:val="bottom"/>
          </w:tcPr>
          <w:p>
            <w:pPr>
              <w:spacing w:after="0"/>
              <w:rPr>
                <w:sz w:val="18"/>
                <w:szCs w:val="18"/>
                <w:color w:val="auto"/>
              </w:rPr>
            </w:pPr>
          </w:p>
        </w:tc>
      </w:tr>
      <w:tr>
        <w:trPr>
          <w:trHeight w:val="324"/>
        </w:trPr>
        <w:tc>
          <w:tcPr>
            <w:tcW w:w="482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(18.4)</w:t>
            </w:r>
          </w:p>
        </w:tc>
        <w:tc>
          <w:tcPr>
            <w:tcW w:w="200" w:type="dxa"/>
            <w:vAlign w:val="bottom"/>
          </w:tcPr>
          <w:p>
            <w:pPr>
              <w:spacing w:after="0"/>
              <w:rPr>
                <w:sz w:val="24"/>
                <w:szCs w:val="24"/>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Income tax expense</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0.5</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6"/>
        </w:trPr>
        <w:tc>
          <w:tcPr>
            <w:tcW w:w="48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85.0</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85.0</w:t>
            </w:r>
          </w:p>
        </w:tc>
      </w:tr>
      <w:tr>
        <w:trPr>
          <w:trHeight w:val="219"/>
        </w:trPr>
        <w:tc>
          <w:tcPr>
            <w:tcW w:w="4820" w:type="dxa"/>
            <w:vAlign w:val="bottom"/>
          </w:tcPr>
          <w:p>
            <w:pPr>
              <w:spacing w:after="0"/>
              <w:rPr>
                <w:sz w:val="20"/>
                <w:szCs w:val="20"/>
                <w:color w:val="auto"/>
              </w:rPr>
            </w:pPr>
            <w:r>
              <w:rPr>
                <w:rFonts w:ascii="Arial" w:cs="Arial" w:eastAsia="Arial" w:hAnsi="Arial"/>
                <w:sz w:val="16"/>
                <w:szCs w:val="16"/>
                <w:color w:val="auto"/>
              </w:rPr>
              <w:t>Interest expense</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2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r>
      <w:tr>
        <w:trPr>
          <w:trHeight w:val="206"/>
        </w:trPr>
        <w:tc>
          <w:tcPr>
            <w:tcW w:w="4820" w:type="dxa"/>
            <w:vAlign w:val="bottom"/>
          </w:tcPr>
          <w:p>
            <w:pPr>
              <w:ind w:left="120"/>
              <w:spacing w:after="0"/>
              <w:rPr>
                <w:sz w:val="20"/>
                <w:szCs w:val="20"/>
                <w:color w:val="auto"/>
              </w:rPr>
            </w:pPr>
            <w:r>
              <w:rPr>
                <w:rFonts w:ascii="Arial" w:cs="Arial" w:eastAsia="Arial" w:hAnsi="Arial"/>
                <w:sz w:val="16"/>
                <w:szCs w:val="16"/>
                <w:color w:val="auto"/>
              </w:rPr>
              <w:t>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w:t>
            </w:r>
          </w:p>
        </w:tc>
        <w:tc>
          <w:tcPr>
            <w:tcW w:w="200" w:type="dxa"/>
            <w:vAlign w:val="bottom"/>
          </w:tcPr>
          <w:p>
            <w:pPr>
              <w:spacing w:after="0"/>
              <w:rPr>
                <w:sz w:val="17"/>
                <w:szCs w:val="17"/>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w:t>
            </w:r>
          </w:p>
        </w:tc>
      </w:tr>
      <w:tr>
        <w:trPr>
          <w:trHeight w:val="304"/>
        </w:trPr>
        <w:tc>
          <w:tcPr>
            <w:tcW w:w="4820" w:type="dxa"/>
            <w:vAlign w:val="bottom"/>
          </w:tcPr>
          <w:p>
            <w:pPr>
              <w:spacing w:after="0"/>
              <w:rPr>
                <w:sz w:val="20"/>
                <w:szCs w:val="20"/>
                <w:color w:val="auto"/>
              </w:rPr>
            </w:pPr>
            <w:r>
              <w:rPr>
                <w:rFonts w:ascii="Arial" w:cs="Arial" w:eastAsia="Arial" w:hAnsi="Arial"/>
                <w:sz w:val="16"/>
                <w:szCs w:val="16"/>
                <w:color w:val="auto"/>
              </w:rPr>
              <w:t>Adjustments to EBITDA</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9"/>
        </w:trPr>
        <w:tc>
          <w:tcPr>
            <w:tcW w:w="4820" w:type="dxa"/>
            <w:vAlign w:val="bottom"/>
          </w:tcPr>
          <w:p>
            <w:pPr>
              <w:ind w:left="120"/>
              <w:spacing w:after="0"/>
              <w:rPr>
                <w:sz w:val="20"/>
                <w:szCs w:val="20"/>
                <w:color w:val="auto"/>
              </w:rPr>
            </w:pPr>
            <w:r>
              <w:rPr>
                <w:rFonts w:ascii="Arial" w:cs="Arial" w:eastAsia="Arial" w:hAnsi="Arial"/>
                <w:sz w:val="16"/>
                <w:szCs w:val="16"/>
                <w:color w:val="auto"/>
              </w:rPr>
              <w:t>Impairment expense</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2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r>
      <w:tr>
        <w:trPr>
          <w:trHeight w:val="212"/>
        </w:trPr>
        <w:tc>
          <w:tcPr>
            <w:tcW w:w="4820" w:type="dxa"/>
            <w:vAlign w:val="bottom"/>
          </w:tcPr>
          <w:p>
            <w:pPr>
              <w:ind w:left="220"/>
              <w:spacing w:after="0"/>
              <w:rPr>
                <w:sz w:val="20"/>
                <w:szCs w:val="20"/>
                <w:color w:val="auto"/>
              </w:rPr>
            </w:pPr>
            <w:r>
              <w:rPr>
                <w:rFonts w:ascii="Arial" w:cs="Arial" w:eastAsia="Arial" w:hAnsi="Arial"/>
                <w:sz w:val="16"/>
                <w:szCs w:val="16"/>
                <w:color w:val="auto"/>
              </w:rPr>
              <w:t>Adjusted 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c>
          <w:tcPr>
            <w:tcW w:w="2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1"/>
        </w:trPr>
        <w:tc>
          <w:tcPr>
            <w:tcW w:w="4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912"/>
          </w:cols>
          <w:pgMar w:left="328" w:top="891" w:right="659" w:bottom="1440" w:gutter="0" w:footer="0" w:header="0"/>
        </w:sectPr>
      </w:pPr>
    </w:p>
    <w:bookmarkStart w:id="14" w:name="page15"/>
    <w:bookmarkEnd w:id="14"/>
    <w:p>
      <w:pPr>
        <w:jc w:val="center"/>
        <w:ind w:right="-17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(U.S. dollars in thousands, except for room counts and average daily rates)</w:t>
      </w:r>
    </w:p>
    <w:p>
      <w:pPr>
        <w:spacing w:after="0" w:line="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(unaudited)</w:t>
      </w:r>
    </w:p>
    <w:p>
      <w:pPr>
        <w:spacing w:after="0" w:line="62" w:lineRule="exact"/>
        <w:rPr>
          <w:sz w:val="20"/>
          <w:szCs w:val="20"/>
          <w:color w:val="auto"/>
        </w:rPr>
      </w:pPr>
    </w:p>
    <w:tbl>
      <w:tblPr>
        <w:tblLayout w:type="fixed"/>
        <w:tblInd w:w="1352"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6"/>
                <w:szCs w:val="16"/>
                <w:color w:val="auto"/>
              </w:rPr>
            </w:pPr>
          </w:p>
        </w:tc>
        <w:tc>
          <w:tcPr>
            <w:tcW w:w="222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3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40" w:type="dxa"/>
            <w:vAlign w:val="bottom"/>
          </w:tcPr>
          <w:p>
            <w:pPr>
              <w:spacing w:after="0"/>
              <w:rPr>
                <w:sz w:val="18"/>
                <w:szCs w:val="18"/>
                <w:color w:val="auto"/>
              </w:rPr>
            </w:pPr>
          </w:p>
        </w:tc>
      </w:tr>
      <w:tr>
        <w:trPr>
          <w:trHeight w:val="265"/>
        </w:trPr>
        <w:tc>
          <w:tcPr>
            <w:tcW w:w="35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r>
      <w:tr>
        <w:trPr>
          <w:trHeight w:val="256"/>
        </w:trPr>
        <w:tc>
          <w:tcPr>
            <w:tcW w:w="358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15"/>
        </w:trPr>
        <w:tc>
          <w:tcPr>
            <w:tcW w:w="358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65"/>
        </w:trPr>
        <w:tc>
          <w:tcPr>
            <w:tcW w:w="358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69,759</w:t>
            </w:r>
          </w:p>
        </w:tc>
        <w:tc>
          <w:tcPr>
            <w:tcW w:w="18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40,204</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116,289</w:t>
            </w:r>
          </w:p>
        </w:tc>
        <w:tc>
          <w:tcPr>
            <w:tcW w:w="200" w:type="dxa"/>
            <w:vAlign w:val="bottom"/>
          </w:tcPr>
          <w:p>
            <w:pPr>
              <w:spacing w:after="0"/>
              <w:rPr>
                <w:sz w:val="23"/>
                <w:szCs w:val="23"/>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106,270</w:t>
            </w:r>
          </w:p>
        </w:tc>
      </w:tr>
      <w:tr>
        <w:trPr>
          <w:trHeight w:val="270"/>
        </w:trPr>
        <w:tc>
          <w:tcPr>
            <w:tcW w:w="3580" w:type="dxa"/>
            <w:vAlign w:val="bottom"/>
          </w:tcPr>
          <w:p>
            <w:pPr>
              <w:ind w:left="460"/>
              <w:spacing w:after="0"/>
              <w:rPr>
                <w:sz w:val="20"/>
                <w:szCs w:val="20"/>
                <w:color w:val="auto"/>
              </w:rPr>
            </w:pPr>
            <w:r>
              <w:rPr>
                <w:rFonts w:ascii="Arial" w:cs="Arial" w:eastAsia="Arial" w:hAnsi="Arial"/>
                <w:sz w:val="16"/>
                <w:szCs w:val="16"/>
                <w:color w:val="auto"/>
              </w:rPr>
              <w:t>Mobile facility rental revenue (2)</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8,666</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6,072</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19,165</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8,580</w:t>
            </w:r>
          </w:p>
        </w:tc>
      </w:tr>
      <w:tr>
        <w:trPr>
          <w:trHeight w:val="273"/>
        </w:trPr>
        <w:tc>
          <w:tcPr>
            <w:tcW w:w="358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4,856</w:t>
            </w:r>
          </w:p>
        </w:tc>
        <w:tc>
          <w:tcPr>
            <w:tcW w:w="1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6,710</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9,712</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17,484</w:t>
            </w:r>
          </w:p>
        </w:tc>
      </w:tr>
      <w:tr>
        <w:trPr>
          <w:trHeight w:val="247"/>
        </w:trPr>
        <w:tc>
          <w:tcPr>
            <w:tcW w:w="3580" w:type="dxa"/>
            <w:vAlign w:val="bottom"/>
          </w:tcPr>
          <w:p>
            <w:pPr>
              <w:ind w:left="680"/>
              <w:spacing w:after="0"/>
              <w:rPr>
                <w:sz w:val="20"/>
                <w:szCs w:val="20"/>
                <w:color w:val="auto"/>
              </w:rPr>
            </w:pPr>
            <w:r>
              <w:rPr>
                <w:rFonts w:ascii="Arial" w:cs="Arial" w:eastAsia="Arial" w:hAnsi="Arial"/>
                <w:sz w:val="16"/>
                <w:szCs w:val="16"/>
                <w:color w:val="auto"/>
              </w:rPr>
              <w:t>Total Canadian revenues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83,281</w:t>
            </w:r>
          </w:p>
        </w:tc>
        <w:tc>
          <w:tcPr>
            <w:tcW w:w="18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52,986</w:t>
            </w:r>
          </w:p>
        </w:tc>
        <w:tc>
          <w:tcPr>
            <w:tcW w:w="18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145,166</w:t>
            </w:r>
          </w:p>
        </w:tc>
        <w:tc>
          <w:tcPr>
            <w:tcW w:w="20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132,334</w:t>
            </w:r>
          </w:p>
        </w:tc>
      </w:tr>
      <w:tr>
        <w:trPr>
          <w:trHeight w:val="378"/>
        </w:trPr>
        <w:tc>
          <w:tcPr>
            <w:tcW w:w="358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44,992</w:t>
            </w:r>
          </w:p>
        </w:tc>
        <w:tc>
          <w:tcPr>
            <w:tcW w:w="18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28,598</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83,328</w:t>
            </w:r>
          </w:p>
        </w:tc>
        <w:tc>
          <w:tcPr>
            <w:tcW w:w="200" w:type="dxa"/>
            <w:vAlign w:val="bottom"/>
          </w:tcPr>
          <w:p>
            <w:pPr>
              <w:spacing w:after="0"/>
              <w:rPr>
                <w:sz w:val="23"/>
                <w:szCs w:val="23"/>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76,653</w:t>
            </w: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Mobile facility rental cost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5,644</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5,285</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12,418</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8,542</w:t>
            </w: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4,455</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6,163</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8,576</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16,178</w:t>
            </w: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2,251</w:t>
            </w:r>
          </w:p>
        </w:tc>
        <w:tc>
          <w:tcPr>
            <w:tcW w:w="1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2,419</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4,905</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5,364</w:t>
            </w:r>
          </w:p>
        </w:tc>
      </w:tr>
      <w:tr>
        <w:trPr>
          <w:trHeight w:val="163"/>
        </w:trPr>
        <w:tc>
          <w:tcPr>
            <w:tcW w:w="3580" w:type="dxa"/>
            <w:vAlign w:val="bottom"/>
          </w:tcPr>
          <w:p>
            <w:pPr>
              <w:ind w:left="660"/>
              <w:spacing w:after="0" w:line="164" w:lineRule="exact"/>
              <w:rPr>
                <w:sz w:val="20"/>
                <w:szCs w:val="20"/>
                <w:color w:val="auto"/>
              </w:rPr>
            </w:pPr>
            <w:r>
              <w:rPr>
                <w:rFonts w:ascii="Arial" w:cs="Arial" w:eastAsia="Arial" w:hAnsi="Arial"/>
                <w:sz w:val="16"/>
                <w:szCs w:val="16"/>
                <w:color w:val="auto"/>
              </w:rPr>
              <w:t>Total Canadian cost of sales and</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95"/>
        </w:trPr>
        <w:tc>
          <w:tcPr>
            <w:tcW w:w="3580" w:type="dxa"/>
            <w:vAlign w:val="bottom"/>
          </w:tcPr>
          <w:p>
            <w:pPr>
              <w:ind w:left="660"/>
              <w:spacing w:after="0"/>
              <w:rPr>
                <w:sz w:val="20"/>
                <w:szCs w:val="20"/>
                <w:color w:val="auto"/>
              </w:rPr>
            </w:pPr>
            <w:r>
              <w:rPr>
                <w:rFonts w:ascii="Arial" w:cs="Arial" w:eastAsia="Arial" w:hAnsi="Arial"/>
                <w:sz w:val="16"/>
                <w:szCs w:val="16"/>
                <w:color w:val="auto"/>
              </w:rPr>
              <w:t>services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57,342</w:t>
            </w:r>
          </w:p>
        </w:tc>
        <w:tc>
          <w:tcPr>
            <w:tcW w:w="180" w:type="dxa"/>
            <w:vAlign w:val="bottom"/>
          </w:tcPr>
          <w:p>
            <w:pPr>
              <w:spacing w:after="0"/>
              <w:rPr>
                <w:sz w:val="16"/>
                <w:szCs w:val="16"/>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42,465</w:t>
            </w:r>
          </w:p>
        </w:tc>
        <w:tc>
          <w:tcPr>
            <w:tcW w:w="18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109,227</w:t>
            </w:r>
          </w:p>
        </w:tc>
        <w:tc>
          <w:tcPr>
            <w:tcW w:w="200" w:type="dxa"/>
            <w:vAlign w:val="bottom"/>
          </w:tcPr>
          <w:p>
            <w:pPr>
              <w:spacing w:after="0"/>
              <w:rPr>
                <w:sz w:val="16"/>
                <w:szCs w:val="16"/>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106,737</w:t>
            </w: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96</w:t>
            </w:r>
          </w:p>
        </w:tc>
        <w:tc>
          <w:tcPr>
            <w:tcW w:w="18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96</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97</w:t>
            </w:r>
          </w:p>
        </w:tc>
        <w:tc>
          <w:tcPr>
            <w:tcW w:w="2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723,324</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409,897</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1,203,390</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1,118,220</w:t>
            </w: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0.815</w:t>
            </w:r>
          </w:p>
        </w:tc>
        <w:tc>
          <w:tcPr>
            <w:tcW w:w="18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0.722</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0.802</w:t>
            </w:r>
          </w:p>
        </w:tc>
        <w:tc>
          <w:tcPr>
            <w:tcW w:w="2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0.733</w:t>
            </w:r>
          </w:p>
        </w:tc>
      </w:tr>
      <w:tr>
        <w:trPr>
          <w:trHeight w:val="438"/>
        </w:trPr>
        <w:tc>
          <w:tcPr>
            <w:tcW w:w="3580" w:type="dxa"/>
            <w:vAlign w:val="bottom"/>
          </w:tcPr>
          <w:p>
            <w:pPr>
              <w:spacing w:after="0"/>
              <w:rPr>
                <w:sz w:val="20"/>
                <w:szCs w:val="20"/>
                <w:color w:val="auto"/>
              </w:rPr>
            </w:pPr>
            <w:r>
              <w:rPr>
                <w:rFonts w:ascii="Arial" w:cs="Arial" w:eastAsia="Arial" w:hAnsi="Arial"/>
                <w:sz w:val="16"/>
                <w:szCs w:val="16"/>
                <w:b w:val="1"/>
                <w:bCs w:val="1"/>
                <w:color w:val="auto"/>
              </w:rPr>
              <w:t>Supplemental Operating Data - Australian</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5"/>
        </w:trPr>
        <w:tc>
          <w:tcPr>
            <w:tcW w:w="3580" w:type="dxa"/>
            <w:vAlign w:val="bottom"/>
          </w:tcPr>
          <w:p>
            <w:pPr>
              <w:spacing w:after="0"/>
              <w:rPr>
                <w:sz w:val="20"/>
                <w:szCs w:val="20"/>
                <w:color w:val="auto"/>
              </w:rPr>
            </w:pPr>
            <w:r>
              <w:rPr>
                <w:rFonts w:ascii="Arial" w:cs="Arial" w:eastAsia="Arial" w:hAnsi="Arial"/>
                <w:sz w:val="16"/>
                <w:szCs w:val="16"/>
                <w:b w:val="1"/>
                <w:bCs w:val="1"/>
                <w:color w:val="auto"/>
              </w:rPr>
              <w:t>Segment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65"/>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37,780</w:t>
            </w:r>
          </w:p>
        </w:tc>
        <w:tc>
          <w:tcPr>
            <w:tcW w:w="18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34,933</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71,455</w:t>
            </w:r>
          </w:p>
        </w:tc>
        <w:tc>
          <w:tcPr>
            <w:tcW w:w="200" w:type="dxa"/>
            <w:vAlign w:val="bottom"/>
          </w:tcPr>
          <w:p>
            <w:pPr>
              <w:spacing w:after="0"/>
              <w:rPr>
                <w:sz w:val="23"/>
                <w:szCs w:val="23"/>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67,518</w:t>
            </w:r>
          </w:p>
        </w:tc>
      </w:tr>
      <w:tr>
        <w:trPr>
          <w:trHeight w:val="273"/>
        </w:trPr>
        <w:tc>
          <w:tcPr>
            <w:tcW w:w="358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26,239</w:t>
            </w:r>
          </w:p>
        </w:tc>
        <w:tc>
          <w:tcPr>
            <w:tcW w:w="1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22,138</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52,201</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38,666</w:t>
            </w:r>
          </w:p>
        </w:tc>
      </w:tr>
      <w:tr>
        <w:trPr>
          <w:trHeight w:val="247"/>
        </w:trPr>
        <w:tc>
          <w:tcPr>
            <w:tcW w:w="3580" w:type="dxa"/>
            <w:vAlign w:val="bottom"/>
          </w:tcPr>
          <w:p>
            <w:pPr>
              <w:ind w:left="680"/>
              <w:spacing w:after="0"/>
              <w:rPr>
                <w:sz w:val="20"/>
                <w:szCs w:val="20"/>
                <w:color w:val="auto"/>
              </w:rPr>
            </w:pPr>
            <w:r>
              <w:rPr>
                <w:rFonts w:ascii="Arial" w:cs="Arial" w:eastAsia="Arial" w:hAnsi="Arial"/>
                <w:sz w:val="16"/>
                <w:szCs w:val="16"/>
                <w:color w:val="auto"/>
              </w:rPr>
              <w:t>Total Australian revenues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64,019</w:t>
            </w:r>
          </w:p>
        </w:tc>
        <w:tc>
          <w:tcPr>
            <w:tcW w:w="18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57,071</w:t>
            </w:r>
          </w:p>
        </w:tc>
        <w:tc>
          <w:tcPr>
            <w:tcW w:w="18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123,656</w:t>
            </w:r>
          </w:p>
        </w:tc>
        <w:tc>
          <w:tcPr>
            <w:tcW w:w="200" w:type="dxa"/>
            <w:vAlign w:val="bottom"/>
          </w:tcPr>
          <w:p>
            <w:pPr>
              <w:spacing w:after="0"/>
              <w:rPr>
                <w:sz w:val="21"/>
                <w:szCs w:val="21"/>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106,184</w:t>
            </w:r>
          </w:p>
        </w:tc>
      </w:tr>
      <w:tr>
        <w:trPr>
          <w:trHeight w:val="378"/>
        </w:trPr>
        <w:tc>
          <w:tcPr>
            <w:tcW w:w="3580" w:type="dxa"/>
            <w:vAlign w:val="bottom"/>
          </w:tcPr>
          <w:p>
            <w:pPr>
              <w:ind w:left="200"/>
              <w:spacing w:after="0"/>
              <w:rPr>
                <w:sz w:val="20"/>
                <w:szCs w:val="20"/>
                <w:color w:val="auto"/>
              </w:rPr>
            </w:pPr>
            <w:r>
              <w:rPr>
                <w:rFonts w:ascii="Arial" w:cs="Arial" w:eastAsia="Arial" w:hAnsi="Arial"/>
                <w:sz w:val="16"/>
                <w:szCs w:val="16"/>
                <w:color w:val="auto"/>
              </w:rPr>
              <w:t>Costs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Accommodation cost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18,082</w:t>
            </w:r>
          </w:p>
        </w:tc>
        <w:tc>
          <w:tcPr>
            <w:tcW w:w="18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15,269</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35,187</w:t>
            </w:r>
          </w:p>
        </w:tc>
        <w:tc>
          <w:tcPr>
            <w:tcW w:w="200" w:type="dxa"/>
            <w:vAlign w:val="bottom"/>
          </w:tcPr>
          <w:p>
            <w:pPr>
              <w:spacing w:after="0"/>
              <w:rPr>
                <w:sz w:val="23"/>
                <w:szCs w:val="23"/>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30,264</w:t>
            </w: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Food and other services cost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25,154</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18,759</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49,451</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32,466</w:t>
            </w:r>
          </w:p>
        </w:tc>
      </w:tr>
      <w:tr>
        <w:trPr>
          <w:trHeight w:val="270"/>
        </w:trPr>
        <w:tc>
          <w:tcPr>
            <w:tcW w:w="358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w:t>
            </w:r>
          </w:p>
        </w:tc>
        <w:tc>
          <w:tcPr>
            <w:tcW w:w="1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3,160</w:t>
            </w:r>
          </w:p>
        </w:tc>
        <w:tc>
          <w:tcPr>
            <w:tcW w:w="2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1,736</w:t>
            </w:r>
          </w:p>
        </w:tc>
      </w:tr>
      <w:tr>
        <w:trPr>
          <w:trHeight w:val="163"/>
        </w:trPr>
        <w:tc>
          <w:tcPr>
            <w:tcW w:w="3580" w:type="dxa"/>
            <w:vAlign w:val="bottom"/>
          </w:tcPr>
          <w:p>
            <w:pPr>
              <w:ind w:left="660"/>
              <w:spacing w:after="0" w:line="164" w:lineRule="exact"/>
              <w:rPr>
                <w:sz w:val="20"/>
                <w:szCs w:val="20"/>
                <w:color w:val="auto"/>
              </w:rPr>
            </w:pPr>
            <w:r>
              <w:rPr>
                <w:rFonts w:ascii="Arial" w:cs="Arial" w:eastAsia="Arial" w:hAnsi="Arial"/>
                <w:sz w:val="16"/>
                <w:szCs w:val="16"/>
                <w:color w:val="auto"/>
              </w:rPr>
              <w:t>Total Australian cost of sales and</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95"/>
        </w:trPr>
        <w:tc>
          <w:tcPr>
            <w:tcW w:w="3580" w:type="dxa"/>
            <w:vAlign w:val="bottom"/>
          </w:tcPr>
          <w:p>
            <w:pPr>
              <w:ind w:left="660"/>
              <w:spacing w:after="0"/>
              <w:rPr>
                <w:sz w:val="20"/>
                <w:szCs w:val="20"/>
                <w:color w:val="auto"/>
              </w:rPr>
            </w:pPr>
            <w:r>
              <w:rPr>
                <w:rFonts w:ascii="Arial" w:cs="Arial" w:eastAsia="Arial" w:hAnsi="Arial"/>
                <w:sz w:val="16"/>
                <w:szCs w:val="16"/>
                <w:color w:val="auto"/>
              </w:rPr>
              <w:t>services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44,895</w:t>
            </w:r>
          </w:p>
        </w:tc>
        <w:tc>
          <w:tcPr>
            <w:tcW w:w="180" w:type="dxa"/>
            <w:vAlign w:val="bottom"/>
          </w:tcPr>
          <w:p>
            <w:pPr>
              <w:spacing w:after="0"/>
              <w:rPr>
                <w:sz w:val="16"/>
                <w:szCs w:val="16"/>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34,913</w:t>
            </w:r>
          </w:p>
        </w:tc>
        <w:tc>
          <w:tcPr>
            <w:tcW w:w="18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87,798</w:t>
            </w:r>
          </w:p>
        </w:tc>
        <w:tc>
          <w:tcPr>
            <w:tcW w:w="200" w:type="dxa"/>
            <w:vAlign w:val="bottom"/>
          </w:tcPr>
          <w:p>
            <w:pPr>
              <w:spacing w:after="0"/>
              <w:rPr>
                <w:sz w:val="16"/>
                <w:szCs w:val="16"/>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64,466</w:t>
            </w: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81</w:t>
            </w:r>
          </w:p>
        </w:tc>
        <w:tc>
          <w:tcPr>
            <w:tcW w:w="18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70</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80</w:t>
            </w:r>
          </w:p>
        </w:tc>
        <w:tc>
          <w:tcPr>
            <w:tcW w:w="2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466,298</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502,392</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890,964</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974,232</w:t>
            </w:r>
          </w:p>
        </w:tc>
      </w:tr>
      <w:tr>
        <w:trPr>
          <w:trHeight w:val="378"/>
        </w:trPr>
        <w:tc>
          <w:tcPr>
            <w:tcW w:w="358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0.770</w:t>
            </w:r>
          </w:p>
        </w:tc>
        <w:tc>
          <w:tcPr>
            <w:tcW w:w="180" w:type="dxa"/>
            <w:vAlign w:val="bottom"/>
          </w:tcPr>
          <w:p>
            <w:pPr>
              <w:spacing w:after="0"/>
              <w:rPr>
                <w:sz w:val="24"/>
                <w:szCs w:val="24"/>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0.658</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0.772</w:t>
            </w:r>
          </w:p>
        </w:tc>
        <w:tc>
          <w:tcPr>
            <w:tcW w:w="200" w:type="dxa"/>
            <w:vAlign w:val="bottom"/>
          </w:tcPr>
          <w:p>
            <w:pPr>
              <w:spacing w:after="0"/>
              <w:rPr>
                <w:sz w:val="24"/>
                <w:szCs w:val="24"/>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0.658</w:t>
            </w: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revenues related to lodge and village rooms and hospitality services for owned rooms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revenues related to mobile camps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revenues related to food service, laundry and water and wastewater treatment services, and facilities management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Average daily rate is based on billed rooms and accommodation revenue.</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9"/>
        </w:numPr>
        <w:rPr>
          <w:rFonts w:ascii="Arial" w:cs="Arial" w:eastAsia="Arial" w:hAnsi="Arial"/>
          <w:sz w:val="16"/>
          <w:szCs w:val="16"/>
          <w:color w:val="auto"/>
        </w:rPr>
      </w:pPr>
      <w:r>
        <w:rPr>
          <w:rFonts w:ascii="Arial" w:cs="Arial" w:eastAsia="Arial" w:hAnsi="Arial"/>
          <w:sz w:val="16"/>
          <w:szCs w:val="16"/>
          <w:color w:val="auto"/>
        </w:rPr>
        <w:t>Billed rooms represents total billed days for the periods presented.</w:t>
      </w:r>
    </w:p>
    <w:p>
      <w:pPr>
        <w:sectPr>
          <w:pgSz w:w="11900" w:h="16838" w:orient="portrait"/>
          <w:cols w:equalWidth="0" w:num="1">
            <w:col w:w="11052"/>
          </w:cols>
          <w:pgMar w:left="328" w:top="1134" w:right="5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CONTACTS: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Carolyn J. Stone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&amp; 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sectPr>
      <w:pgSz w:w="11900" w:h="16838" w:orient="portrait"/>
      <w:cols w:equalWidth="0" w:num="1">
        <w:col w:w="10139"/>
      </w:cols>
      <w:pgMar w:left="320" w:top="8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2"/>
    </w:lvl>
  </w:abstractNum>
  <w:abstractNum w:abstractNumId="6">
    <w:nsid w:val="7545E146"/>
    <w:multiLevelType w:val="hybridMultilevel"/>
    <w:lvl w:ilvl="0">
      <w:lvlJc w:val="left"/>
      <w:lvlText w:val="(%1)"/>
      <w:numFmt w:val="decimal"/>
      <w:start w:val="2"/>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2021-07-30T08:16:11Z</dcterms:created>
  <dcterms:modified xsi:type="dcterms:W3CDTF">2021-07-30T08:16:11Z</dcterms:modified>
</cp:coreProperties>
</file>