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3591d8k.htm"/>
      <w:bookmarkStart w:id="1" w:name="ksd15359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Civeo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00" w:type="dxa"/>
        <w:jc w:val="left"/>
        <w:tblInd w:w="0" w:type="dxa"/>
        <w:tblLayout w:type="fixed"/>
        <w:tblCellMar>
          <w:top w:w="0" w:type="dxa"/>
          <w:left w:w="0" w:type="dxa"/>
          <w:bottom w:w="0" w:type="dxa"/>
          <w:right w:w="0" w:type="dxa"/>
        </w:tblCellMar>
      </w:tblPr>
      <w:tblGrid>
        <w:gridCol w:w="2720"/>
        <w:gridCol w:w="60"/>
        <w:gridCol w:w="980"/>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British Columbia, Canada</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1-36246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98-1253716</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Three Allen Center</w:t>
      </w:r>
    </w:p>
    <w:p>
      <w:pPr>
        <w:pStyle w:val="TextBody"/>
        <w:bidi w:val="0"/>
        <w:spacing w:before="0" w:after="0"/>
        <w:jc w:val="center"/>
        <w:rPr>
          <w:rFonts w:ascii="Times New Roman" w:hAnsi="Times New Roman"/>
          <w:b/>
          <w:sz w:val="20"/>
        </w:rPr>
      </w:pPr>
      <w:r>
        <w:rPr>
          <w:rFonts w:ascii="Times New Roman" w:hAnsi="Times New Roman"/>
          <w:b/>
          <w:sz w:val="20"/>
        </w:rPr>
        <w:t>333 Clay Street, Suite 4400</w:t>
      </w:r>
    </w:p>
    <w:p>
      <w:pPr>
        <w:pStyle w:val="TextBody"/>
        <w:bidi w:val="0"/>
        <w:spacing w:before="0" w:after="0"/>
        <w:jc w:val="center"/>
        <w:rPr>
          <w:rFonts w:ascii="Times New Roman" w:hAnsi="Times New Roman"/>
          <w:b/>
          <w:sz w:val="20"/>
        </w:rPr>
      </w:pPr>
      <w:r>
        <w:rPr>
          <w:rFonts w:ascii="Times New Roman" w:hAnsi="Times New Roman"/>
          <w:b/>
          <w:sz w:val="20"/>
        </w:rPr>
        <w:t>Houston, Texas 77002</w:t>
      </w:r>
    </w:p>
    <w:p>
      <w:pPr>
        <w:pStyle w:val="TextBody"/>
        <w:bidi w:val="0"/>
        <w:spacing w:before="0" w:after="0"/>
        <w:jc w:val="center"/>
        <w:rPr>
          <w:rFonts w:ascii="Times New Roman" w:hAnsi="Times New Roman"/>
          <w:b/>
          <w:sz w:val="16"/>
        </w:rPr>
      </w:pPr>
      <w:r>
        <w:rPr>
          <w:rFonts w:ascii="Times New Roman" w:hAnsi="Times New Roman"/>
          <w:b/>
          <w:sz w:val="16"/>
        </w:rPr>
        <w:t>(Address and zip code of principal executive offices)</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(713) 510-2400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420" w:type="dxa"/>
        <w:jc w:val="left"/>
        <w:tblInd w:w="0" w:type="dxa"/>
        <w:tblLayout w:type="fixed"/>
        <w:tblCellMar>
          <w:top w:w="0" w:type="dxa"/>
          <w:left w:w="0" w:type="dxa"/>
          <w:bottom w:w="0" w:type="dxa"/>
          <w:right w:w="0" w:type="dxa"/>
        </w:tblCellMar>
      </w:tblPr>
      <w:tblGrid>
        <w:gridCol w:w="2900"/>
        <w:gridCol w:w="60"/>
        <w:gridCol w:w="740"/>
        <w:gridCol w:w="60"/>
        <w:gridCol w:w="2660"/>
      </w:tblGrid>
      <w:tr>
        <w:trPr/>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9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900" w:type="dxa"/>
            <w:tcBorders/>
            <w:vAlign w:val="center"/>
          </w:tcPr>
          <w:p>
            <w:pPr>
              <w:pStyle w:val="TableContents"/>
              <w:bidi w:val="0"/>
              <w:spacing w:before="0" w:after="283"/>
              <w:jc w:val="center"/>
              <w:rPr/>
            </w:pPr>
            <w:r>
              <w:rPr/>
              <w:t>Common Shares, no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CVEO</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7, 2026, Civeo Corporation (the “Company”) completed its previously announced private unregistered offering of $100,000,000 aggregate principal amount of its 4.50% Convertible Senior Notes due 2031 (the “Notes”). As previously announced, the Company has granted the initial purchasers of the Notes an option to purchase, for settlement within a period of 13 days from, and including, the date the Notes are first issued, up to an additional $15,000,000 aggregate principal amount of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issued under an Indenture (the “Indenture”), dated as of July 7, 2026, by and between the Company and U.S. Bank Trust Company, National Association, as trustee (the “Trustee”). The Indenture provides, among other things, that the Notes will bear interest at a rate of 4.50% per annum, payable semi-annually in arrears on February 1 and August 1 of each year, beginning on February 1, 2027. The Notes will mature on August 1, 2031, unless earlier repurchased or redeemed by the Company or converted pursuant to their terms.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received net proceeds from the offering of the Notes of approximately $96.2 million, after deducting the initial purchasers’ discounts and after deducting offering expenses payable by the Company. The Company used approximately $22.3 million of the net proceeds from the offering to repurchase 660,297 of the Company’s common shares, no par value (“Common Shares”), concurrently with the pricing of the offering. The Company intends to use the remainder of the net proceeds from the offering to repay outstanding borrowings under its Amended and Restated Syndicated Facility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not redeem the Notes prior to August 1, 2029, except in the event of a tax redemption or a cleanup redemption as described below. The Notes will be redeemable, in whole or in part (subject to certain limitations described below), at the Company’s option at any time, and from time to time, on or after August 1, 2029 and on or before the 60th scheduled trading day immediately before the maturity date, at a cash redemption price equal to the principal amount of the Notes to be redeemed, plus accrued and unpaid interest, if any, to, but excluding, the redemption date, but only if (i) the Notes are freely tradable as of the date the Company sends the related redemption notice and all accrued and unpaid additional interest, if any, has been paid in full as of the first interest payment date occurring on or before the date the Company sends such notice; and (ii) the last reported sale price per Common Share exceeds 130% of the conversion price on (1) each of at least 20 trading days, whether or not consecutive, during the 30 consecutive trading days ending on, and including, the trading day immediately before the date the Company sends such redemption notice; and (2) the trading day immediately before the date the Company sends such notice (an “Optional Redemption”). However, the Company may not redeem less than all of the outstanding Notes unless at least $50.0 million aggregate principal amount of Notes are outstanding and not called for redemption as of the time the Company sends the related redemption notice. In addition, the Notes will be redeemable, in whole and not in part, at the Company’s option if (i) certain changes in tax law occur (a “Tax Redemption”); or (ii) the principal amount of the Notes outstanding is less than 10% of the aggregate principal amount of Notes initially issued (a “Cleanup Redemption”), in each case, subject to certain conditions. The redemption price for any Optional Redemption, Tax Redemption or Cleanup Redemption will be 100% of the principal amount of the Notes to be redeemed, plus accrued and unpaid interest, if any, to, but excluding, the relevant redemption date. No sinking fund is provided for the Notes.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close of business on the business day immediately preceding May 1, 2031, holders of the Notes may convert their Notes at their option only in the following circumstances: (i) during any calendar quarter commencing after the calendar quarter ending on September 30, 2026, if the last reported sale price per Common Share exceeds 130% of the conversion price for each of at least 20 trading days during the 30 consecutive trading days ending on, and including, the last trading day of the immediately preceding calendar quarter; (ii) during the five consecutive business days immediately after any 10 consecutive trading day period (the “measurement period”) in which the trading price (as defined in the Indenture) per $1,000 principal amount of the Notes for each trading day of the measurement period was less than 98% of the product of the last reported sale price per Common Share on such trading day and the conversion rate on such trading day; (iii) upon the occurrence of certain corporate events or distributions on our Common Shares; or (iv) if the Company calls the Notes for redemption. On or after May 1, 2031, until the close of business on the second scheduled trading day immediately before the maturity date, holders of the Notes may convert their Notes at any time, regardless of the foregoing circumstances. </w:t>
      </w:r>
    </w:p>
    <w:p>
      <w:pPr>
        <w:pStyle w:val="TextBody"/>
        <w:bidi w:val="0"/>
        <w:spacing w:before="240" w:after="0"/>
        <w:jc w:val="left"/>
        <w:rPr>
          <w:rFonts w:ascii="Times New Roman" w:hAnsi="Times New Roman"/>
          <w:sz w:val="20"/>
        </w:rPr>
      </w:pPr>
      <w:r>
        <w:rPr>
          <w:rFonts w:ascii="Times New Roman" w:hAnsi="Times New Roman"/>
          <w:sz w:val="20"/>
        </w:rPr>
        <w:t xml:space="preserve">Upon conversion, the Company will pay or deliver, as applicable, cash, Common Shares or a combination of cash and Common Shares, at the Company’s election, based on the applicable conversion rate(s). If the Company elects to deliver cash or a combination of cash and Common Shares, then the consideration due upon conversion will be determined over an observation period consisting of 60 “VWAP Trading Days” (as defined in the Indenture). The initial conversion rate is 24.6840 Common Shares per $1,000 principal amount of Notes, which represents an initial conversion price of approximately $40.51 per Common Share. The conversion rate is subject to adjustment upon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occurrence of certain specified events as set forth in the Indenture. In addition, following certain corporate events that occur prior to the maturity date or if the Company delivers a notice of redemption, the Company will increase, in certain circumstances, the conversion rate for a holder who elects to convert its Notes in connection with such corporate event or notice of redemption. The maximum number of Common Shares issuable in connection with the conversion of the Notes is 2,962,080 (or 3,406,392 if the initial purchasers fully exercise their option to purchase additional Notes), based on the initial maximum conversion rate of 29.6208 Common Shares per $1,000 principal amount of Notes, which amount is subject to adjustment in the same manner as, and at the same time and for the same events for which, the conversion rate is required to be adjusted.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fundamental change (as defined in the Indenture), subject to certain conditions, holders of the Notes may require the Company to repurchase all or a portion of the Notes for cash at a price equal to 100% of the principal amount of the Notes to be repurchased, plus accrued and unpaid interest, if any, to, but excluding, the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customary events of default, including for certain delisting events with respect to the Common Shares. In the event of certain events of bankruptcy, insolvency or reorganization involving the Company or any of its significant subsidiaries or certain delisting events with respect to the Common Shares that the Company fails to cure in accordance with the Indenture, 100% of the principal amount of the Notes plus accrued and unpaid interest, if any, may be declared immediately due and payable, subject to certain conditions in the Indenture. In the case of any other event of default, the Trustee or the holders of at least 25% in aggregate principal amount of the then-outstanding Notes may declare the Notes to be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The initial purchasers and their respective affiliates have in the past performed commercial banking, investment banking and advisory services for the Company from time to time for which they have received customary fees and reimbursement of expenses and may, from time to time, engage in transactions with and perform services for the Company in the ordinary course of their business for which they may receive customary fees and reimbursement of expenses.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Indenture and the Notes are qualified in their entirety by reference to the full text of the Indenture and the Form of Global 4.50% Convertible Senior Note due 2031, copies of which are filed as Exhibits 4.1 and 4.2, respectively, to this Current Report on Form 8-K (this “Current Report”)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disclosures set forth in Item 1.01 of this Current Report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3.02. Unregistered Sales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disclosures set forth in Item 1.01 of this Current Report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the Notes to the initial purchasers were made in reliance on the exemption from registration provided by Section 4(a)(2) of the Securities Act of 1933, as amended (the “Securities Act”), and for resale by the initial purchasers to persons reasonably believed to be qualified institutional buyers in accordance with Rule 144A under the Securities Act. The Company relied on these exemptions from registration based in part on representations made by the initial purchasers in the purchase agreement pursuant to which the Company sold the Notes to the initial purchasers. Any Common Shares issuable upon conversion of the Notes will be issued in transactions anticipated to be exempt from registration under the Securities Act pursuant to Section 3(a)(9) thereof.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exhibits are filed with this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90"/>
        <w:gridCol w:w="120"/>
        <w:gridCol w:w="889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95"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Number</w:t>
            </w:r>
          </w:p>
        </w:tc>
        <w:tc>
          <w:tcPr>
            <w:tcW w:w="120" w:type="dxa"/>
            <w:tcBorders/>
            <w:vAlign w:val="center"/>
          </w:tcPr>
          <w:p>
            <w:pPr>
              <w:pStyle w:val="TableContents"/>
              <w:bidi w:val="0"/>
              <w:spacing w:before="0" w:after="283"/>
              <w:jc w:val="left"/>
              <w:rPr/>
            </w:pPr>
            <w:r>
              <w:rPr/>
              <w:t>  </w:t>
            </w:r>
          </w:p>
        </w:tc>
        <w:tc>
          <w:tcPr>
            <w:tcW w:w="88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pPr>
            <w:hyperlink w:anchor="d153591dex41.htm">
              <w:r>
                <w:rPr>
                  <w:rStyle w:val="InternetLink"/>
                </w:rPr>
                <w:t>Indenture, dated as of July 7, 2026 between Civeo Corporation and U.S. Bank Trust Company, National Association, as trustee</w:t>
              </w:r>
            </w:hyperlink>
          </w:p>
        </w:tc>
      </w:tr>
      <w:tr>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pPr>
            <w:hyperlink w:anchor="d153591dex41.htm">
              <w:r>
                <w:rPr>
                  <w:rStyle w:val="InternetLink"/>
                </w:rPr>
                <w:t>Form of Global 4.50% Convertible Senior Note due 2031 (included in Exhibit 4.1)</w:t>
              </w:r>
            </w:hyperlink>
          </w:p>
        </w:tc>
      </w:tr>
      <w:tr>
        <w:trPr/>
        <w:tc>
          <w:tcPr>
            <w:tcW w:w="1190" w:type="dxa"/>
            <w:tcBorders/>
            <w:vAlign w:val="center"/>
          </w:tcPr>
          <w:p>
            <w:pPr>
              <w:pStyle w:val="TableContents"/>
              <w:bidi w:val="0"/>
              <w:spacing w:before="0" w:after="283"/>
              <w:jc w:val="left"/>
              <w:rPr>
                <w:sz w:val="4"/>
                <w:szCs w:val="4"/>
              </w:rPr>
            </w:pPr>
            <w:r>
              <w:rPr>
                <w:sz w:val="4"/>
                <w:szCs w:val="4"/>
              </w:rPr>
            </w:r>
          </w:p>
        </w:tc>
        <w:tc>
          <w:tcPr>
            <w:tcW w:w="901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393" w:type="dxa"/>
        <w:jc w:val="left"/>
        <w:tblInd w:w="0" w:type="dxa"/>
        <w:tblLayout w:type="fixed"/>
        <w:tblCellMar>
          <w:top w:w="0" w:type="dxa"/>
          <w:left w:w="0" w:type="dxa"/>
          <w:bottom w:w="0" w:type="dxa"/>
          <w:right w:w="0" w:type="dxa"/>
        </w:tblCellMar>
      </w:tblPr>
      <w:tblGrid>
        <w:gridCol w:w="1775"/>
        <w:gridCol w:w="60"/>
        <w:gridCol w:w="23"/>
        <w:gridCol w:w="60"/>
        <w:gridCol w:w="650"/>
        <w:gridCol w:w="60"/>
        <w:gridCol w:w="5765"/>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65"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b/>
              </w:rPr>
            </w:pPr>
            <w:r>
              <w:rPr>
                <w:b/>
              </w:rPr>
              <w:t>CIVEO CORPORATION</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82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 Collin Gerry</w:t>
            </w:r>
          </w:p>
        </w:tc>
      </w:tr>
      <w:tr>
        <w:trPr/>
        <w:tc>
          <w:tcPr>
            <w:tcW w:w="1775" w:type="dxa"/>
            <w:tcBorders/>
            <w:vAlign w:val="center"/>
          </w:tcPr>
          <w:p>
            <w:pPr>
              <w:pStyle w:val="TableContents"/>
              <w:bidi w:val="0"/>
              <w:spacing w:before="0" w:after="283"/>
              <w:jc w:val="left"/>
              <w:rPr/>
            </w:pPr>
            <w:r>
              <w:rPr/>
              <w:t>Date: July 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E. Collin Gerry</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Senior Vice President, Chief Financial Officer and Treasurer</w:t>
            </w:r>
          </w:p>
        </w:tc>
      </w:tr>
    </w:tbl>
    <w:p>
      <w:pPr>
        <w:pStyle w:val="TextBody"/>
        <w:bidi w:val="0"/>
        <w:spacing w:before="0" w:after="0"/>
        <w:jc w:val="right"/>
        <w:rPr>
          <w:rFonts w:ascii="Times New Roman" w:hAnsi="Times New Roman"/>
          <w:b/>
          <w:sz w:val="20"/>
        </w:rPr>
      </w:pPr>
      <w:bookmarkStart w:id="2" w:name="d153591dex41.htm"/>
      <w:bookmarkStart w:id="3" w:name="ksd153591dex41"/>
      <w:bookmarkEnd w:id="2"/>
      <w:bookmarkEnd w:id="3"/>
      <w:r>
        <w:rPr>
          <w:rFonts w:ascii="Times New Roman" w:hAnsi="Times New Roman"/>
          <w:b/>
          <w:sz w:val="20"/>
        </w:rPr>
        <w:t xml:space="preserve">Exhibit 4.1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CIVEO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7, 2026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4.50% Convertible Senior Notes due 2031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99"/>
        <w:gridCol w:w="125"/>
        <w:gridCol w:w="7320"/>
        <w:gridCol w:w="175"/>
        <w:gridCol w:w="96"/>
        <w:gridCol w:w="426"/>
        <w:gridCol w:w="64"/>
      </w:tblGrid>
      <w:tr>
        <w:trPr/>
        <w:tc>
          <w:tcPr>
            <w:tcW w:w="199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32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 Rules of Construction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Other 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Rules of Construction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The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Form, Dating and Denominations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Execution, Authentication and Delivery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Initial Notes and Additional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Method of Payment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Accrual of Interest; Defaulted Amounts; When Payment Date is Not a Business Day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Registrar, Paying Agent and Conversion Agent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Paying Agent and Conversion Agent to Hold Property in Trust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Holder Lists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Legends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Transfers and Exchanges; Certain Transfer Restrictions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Exchange and Cancellation of Notes to Be Converted or to Be Repurchased Pursuant to a Repurchase Upon Fundamental Change or Redemption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Removal of Transfer Restrictions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Replacement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Registered Holders; Certain Rights with Respect to Global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Cancellation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Notes Held by the Company or its Affiliates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Temporary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Outstanding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Repurchases by the Company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CUSIP and ISIN Numbers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Covenants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Payment on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Exchange Act Reports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Rule 144A Information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Additional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Additional Amounts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Compliance and Default Certificates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Stay, Extension and Usury Laws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Acquisition of Notes by the Company and its Affiliates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Repurchase and Redemption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44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5" w:type="dxa"/>
            <w:tcBorders/>
            <w:vAlign w:val="bottom"/>
          </w:tcPr>
          <w:p>
            <w:pPr>
              <w:pStyle w:val="TableContents"/>
              <w:bidi w:val="0"/>
              <w:spacing w:before="0" w:after="283"/>
              <w:jc w:val="left"/>
              <w:rPr/>
            </w:pPr>
            <w:r>
              <w:rPr/>
              <w:t> </w:t>
            </w:r>
          </w:p>
        </w:tc>
        <w:tc>
          <w:tcPr>
            <w:tcW w:w="7320" w:type="dxa"/>
            <w:tcBorders/>
            <w:vAlign w:val="bottom"/>
          </w:tcPr>
          <w:p>
            <w:pPr>
              <w:pStyle w:val="TableContents"/>
              <w:bidi w:val="0"/>
              <w:spacing w:before="0" w:after="283"/>
              <w:jc w:val="left"/>
              <w:rPr/>
            </w:pPr>
            <w:r>
              <w:rPr/>
              <w:t>No Sinking Fund</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51"/>
        <w:gridCol w:w="123"/>
        <w:gridCol w:w="7581"/>
        <w:gridCol w:w="165"/>
        <w:gridCol w:w="60"/>
        <w:gridCol w:w="262"/>
        <w:gridCol w:w="63"/>
      </w:tblGrid>
      <w:tr>
        <w:trPr/>
        <w:tc>
          <w:tcPr>
            <w:tcW w:w="195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581"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Offer to Repurchase Notes Upon a Fundamental Change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Right of the Company to Redeem the Notes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The Conversion of Notes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1951" w:type="dxa"/>
            <w:tcBorders/>
            <w:vAlign w:val="center"/>
          </w:tcPr>
          <w:p>
            <w:pPr>
              <w:pStyle w:val="TableContents"/>
              <w:bidi w:val="0"/>
              <w:spacing w:before="0" w:after="283"/>
              <w:jc w:val="left"/>
              <w:rPr>
                <w:sz w:val="4"/>
                <w:szCs w:val="4"/>
              </w:rPr>
            </w:pPr>
            <w:r>
              <w:rPr>
                <w:sz w:val="4"/>
                <w:szCs w:val="4"/>
              </w:rPr>
            </w:r>
          </w:p>
        </w:tc>
        <w:tc>
          <w:tcPr>
            <w:tcW w:w="7704"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Right to Convert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Conversion Procedures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Settlement Upon Conversion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Reserve and Status of Common Shares Issued Upon Conversion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Adjustments to the Conversion Rate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Voluntary Adjustments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Adjustments to the Conversion Rate in Connection with a Make-Whole Fundamental Change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Exchange in Lieu of Conversion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Effect of Common Share Change Event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Successors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120" w:hRule="atLeast"/>
        </w:trPr>
        <w:tc>
          <w:tcPr>
            <w:tcW w:w="1951" w:type="dxa"/>
            <w:tcBorders/>
            <w:vAlign w:val="center"/>
          </w:tcPr>
          <w:p>
            <w:pPr>
              <w:pStyle w:val="TableContents"/>
              <w:bidi w:val="0"/>
              <w:spacing w:before="0" w:after="283"/>
              <w:jc w:val="left"/>
              <w:rPr>
                <w:sz w:val="4"/>
                <w:szCs w:val="4"/>
              </w:rPr>
            </w:pPr>
            <w:r>
              <w:rPr>
                <w:sz w:val="4"/>
                <w:szCs w:val="4"/>
              </w:rPr>
            </w:r>
          </w:p>
        </w:tc>
        <w:tc>
          <w:tcPr>
            <w:tcW w:w="7704"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When the Company May Merge,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Successor Entity Substituted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Exclusion for Asset Transfers with Wholly Owned Subsidiaries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Defaults and Remedies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1951" w:type="dxa"/>
            <w:tcBorders/>
            <w:vAlign w:val="center"/>
          </w:tcPr>
          <w:p>
            <w:pPr>
              <w:pStyle w:val="TableContents"/>
              <w:bidi w:val="0"/>
              <w:spacing w:before="0" w:after="283"/>
              <w:jc w:val="left"/>
              <w:rPr>
                <w:sz w:val="4"/>
                <w:szCs w:val="4"/>
              </w:rPr>
            </w:pPr>
            <w:r>
              <w:rPr>
                <w:sz w:val="4"/>
                <w:szCs w:val="4"/>
              </w:rPr>
            </w:r>
          </w:p>
        </w:tc>
        <w:tc>
          <w:tcPr>
            <w:tcW w:w="7704"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Events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Acceleration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Repurchase Offer as Sole Remedy for Termination of Trading Event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Sole Remedy for a Failure to Report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Other Remedies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Waiver of Past Defaults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Cure of Defaults; Ability to Cure or Waive Before Event of Default Occurs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Control by Majority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Limitation on Suits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Absolute Right of Holders to Institute Suit for the Enforcement of the Right to Receive Payment and Conversion Consideration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Collection Suit by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Trustee May File Proofs of Claim</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Priorities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Undertaking for Costs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Amendments, Supplements and Waivers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120" w:hRule="atLeast"/>
        </w:trPr>
        <w:tc>
          <w:tcPr>
            <w:tcW w:w="1951" w:type="dxa"/>
            <w:tcBorders/>
            <w:vAlign w:val="center"/>
          </w:tcPr>
          <w:p>
            <w:pPr>
              <w:pStyle w:val="TableContents"/>
              <w:bidi w:val="0"/>
              <w:spacing w:before="0" w:after="283"/>
              <w:jc w:val="left"/>
              <w:rPr>
                <w:sz w:val="4"/>
                <w:szCs w:val="4"/>
              </w:rPr>
            </w:pPr>
            <w:r>
              <w:rPr>
                <w:sz w:val="4"/>
                <w:szCs w:val="4"/>
              </w:rPr>
            </w:r>
          </w:p>
        </w:tc>
        <w:tc>
          <w:tcPr>
            <w:tcW w:w="7704"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Without the Consent of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With the Consent of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Notice of Amendments, Supplements and Waivers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Revocation, Effect and Solicitation of Consents; Special Record Dates;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Notations and Exchanges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951"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123"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Trustee to Execute Supplemental Indentures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22"/>
        <w:gridCol w:w="123"/>
        <w:gridCol w:w="7506"/>
        <w:gridCol w:w="165"/>
        <w:gridCol w:w="60"/>
        <w:gridCol w:w="265"/>
        <w:gridCol w:w="64"/>
      </w:tblGrid>
      <w:tr>
        <w:trPr/>
        <w:tc>
          <w:tcPr>
            <w:tcW w:w="202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506"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Satisfaction and Discharge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rHeight w:val="120" w:hRule="atLeast"/>
        </w:trPr>
        <w:tc>
          <w:tcPr>
            <w:tcW w:w="2022" w:type="dxa"/>
            <w:tcBorders/>
            <w:vAlign w:val="center"/>
          </w:tcPr>
          <w:p>
            <w:pPr>
              <w:pStyle w:val="TableContents"/>
              <w:bidi w:val="0"/>
              <w:spacing w:before="0" w:after="283"/>
              <w:jc w:val="left"/>
              <w:rPr>
                <w:sz w:val="4"/>
                <w:szCs w:val="4"/>
              </w:rPr>
            </w:pPr>
            <w:r>
              <w:rPr>
                <w:sz w:val="4"/>
                <w:szCs w:val="4"/>
              </w:rPr>
            </w:r>
          </w:p>
        </w:tc>
        <w:tc>
          <w:tcPr>
            <w:tcW w:w="7629"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Termination of Company’s Obligations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Repayment to Company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Reinstatement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rHeight w:val="120" w:hRule="atLeast"/>
        </w:trPr>
        <w:tc>
          <w:tcPr>
            <w:tcW w:w="2022" w:type="dxa"/>
            <w:tcBorders/>
            <w:vAlign w:val="center"/>
          </w:tcPr>
          <w:p>
            <w:pPr>
              <w:pStyle w:val="TableContents"/>
              <w:bidi w:val="0"/>
              <w:spacing w:before="0" w:after="283"/>
              <w:jc w:val="left"/>
              <w:rPr>
                <w:sz w:val="4"/>
                <w:szCs w:val="4"/>
              </w:rPr>
            </w:pPr>
            <w:r>
              <w:rPr>
                <w:sz w:val="4"/>
                <w:szCs w:val="4"/>
              </w:rPr>
            </w:r>
          </w:p>
        </w:tc>
        <w:tc>
          <w:tcPr>
            <w:tcW w:w="7629"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Duties of the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Rights of the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Individual Rights of the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Trustee’s Disclaimer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Notice of Defaults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Compensation and Indemnity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Replacement of the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Successor Trustee by Merger,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Eligibility; Disqualification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Miscellaneous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2022" w:type="dxa"/>
            <w:tcBorders/>
            <w:vAlign w:val="center"/>
          </w:tcPr>
          <w:p>
            <w:pPr>
              <w:pStyle w:val="TableContents"/>
              <w:bidi w:val="0"/>
              <w:spacing w:before="0" w:after="283"/>
              <w:jc w:val="left"/>
              <w:rPr>
                <w:sz w:val="4"/>
                <w:szCs w:val="4"/>
              </w:rPr>
            </w:pPr>
            <w:r>
              <w:rPr>
                <w:sz w:val="4"/>
                <w:szCs w:val="4"/>
              </w:rPr>
            </w:r>
          </w:p>
        </w:tc>
        <w:tc>
          <w:tcPr>
            <w:tcW w:w="7629"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Notices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Delivery of Officer’s Certificate and Opinion of Counsel as to Conditions Precedent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Statements Required in Officer’s Certificate and Opinion of Counsel</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Rules by the Trustee, the Registrar, the Paying Agent and the Conversion Agent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No Personal Liability of Directors, Officers, Employees and Shareholders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Governing Law; Waiver of Jury Trial</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Submission to Jurisdiction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No Adverse Interpretation of Other Agreements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Successors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Force Majeure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U.S.A. PATRIOT Act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11.12.</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Calculations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11.13.</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Severability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11.14.</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Counterparts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11.15.</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Table of Contents, Headings,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11.16.</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Withholding Taxes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11.17.</w:t>
            </w:r>
          </w:p>
        </w:tc>
        <w:tc>
          <w:tcPr>
            <w:tcW w:w="123" w:type="dxa"/>
            <w:tcBorders/>
            <w:vAlign w:val="bottom"/>
          </w:tcPr>
          <w:p>
            <w:pPr>
              <w:pStyle w:val="TableContents"/>
              <w:bidi w:val="0"/>
              <w:spacing w:before="0" w:after="283"/>
              <w:jc w:val="left"/>
              <w:rPr/>
            </w:pPr>
            <w:r>
              <w:rPr/>
              <w:t> </w:t>
            </w:r>
          </w:p>
        </w:tc>
        <w:tc>
          <w:tcPr>
            <w:tcW w:w="7506" w:type="dxa"/>
            <w:tcBorders/>
            <w:vAlign w:val="bottom"/>
          </w:tcPr>
          <w:p>
            <w:pPr>
              <w:pStyle w:val="TableContents"/>
              <w:bidi w:val="0"/>
              <w:spacing w:before="0" w:after="283"/>
              <w:jc w:val="left"/>
              <w:rPr/>
            </w:pPr>
            <w:r>
              <w:rPr/>
              <w:t>Service of Process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36"/>
        <w:gridCol w:w="146"/>
        <w:gridCol w:w="60"/>
        <w:gridCol w:w="500"/>
        <w:gridCol w:w="63"/>
      </w:tblGrid>
      <w:tr>
        <w:trPr/>
        <w:tc>
          <w:tcPr>
            <w:tcW w:w="943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36" w:type="dxa"/>
            <w:tcBorders/>
          </w:tcPr>
          <w:p>
            <w:pPr>
              <w:pStyle w:val="TableContents"/>
              <w:bidi w:val="0"/>
              <w:spacing w:before="0" w:after="0"/>
              <w:jc w:val="left"/>
              <w:rPr>
                <w:rFonts w:ascii="Times New Roman" w:hAnsi="Times New Roman"/>
                <w:sz w:val="20"/>
              </w:rPr>
            </w:pPr>
            <w:r>
              <w:rPr>
                <w:rFonts w:ascii="Times New Roman" w:hAnsi="Times New Roman"/>
                <w:sz w:val="20"/>
              </w:rPr>
              <w:t>Exhibit A: Form of Note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rHeight w:val="120" w:hRule="atLeast"/>
        </w:trPr>
        <w:tc>
          <w:tcPr>
            <w:tcW w:w="9436" w:type="dxa"/>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tcBorders/>
          </w:tcPr>
          <w:p>
            <w:pPr>
              <w:pStyle w:val="TableContents"/>
              <w:bidi w:val="0"/>
              <w:spacing w:before="0" w:after="0"/>
              <w:jc w:val="left"/>
              <w:rPr>
                <w:rFonts w:ascii="Times New Roman" w:hAnsi="Times New Roman"/>
                <w:sz w:val="20"/>
              </w:rPr>
            </w:pPr>
            <w:r>
              <w:rPr>
                <w:rFonts w:ascii="Times New Roman" w:hAnsi="Times New Roman"/>
                <w:sz w:val="20"/>
              </w:rPr>
              <w:t>Exhibit B-1: Form of Restricted Note Legend</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B1-1</w:t>
            </w:r>
          </w:p>
        </w:tc>
        <w:tc>
          <w:tcPr>
            <w:tcW w:w="63" w:type="dxa"/>
            <w:tcBorders/>
            <w:vAlign w:val="bottom"/>
          </w:tcPr>
          <w:p>
            <w:pPr>
              <w:pStyle w:val="TableContents"/>
              <w:bidi w:val="0"/>
              <w:spacing w:before="0" w:after="283"/>
              <w:jc w:val="left"/>
              <w:rPr/>
            </w:pPr>
            <w:r>
              <w:rPr/>
              <w:t> </w:t>
            </w:r>
          </w:p>
        </w:tc>
      </w:tr>
      <w:tr>
        <w:trPr>
          <w:trHeight w:val="120" w:hRule="atLeast"/>
        </w:trPr>
        <w:tc>
          <w:tcPr>
            <w:tcW w:w="9436" w:type="dxa"/>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tcBorders/>
          </w:tcPr>
          <w:p>
            <w:pPr>
              <w:pStyle w:val="TableContents"/>
              <w:bidi w:val="0"/>
              <w:spacing w:before="0" w:after="0"/>
              <w:jc w:val="left"/>
              <w:rPr>
                <w:rFonts w:ascii="Times New Roman" w:hAnsi="Times New Roman"/>
                <w:sz w:val="20"/>
              </w:rPr>
            </w:pPr>
            <w:r>
              <w:rPr>
                <w:rFonts w:ascii="Times New Roman" w:hAnsi="Times New Roman"/>
                <w:sz w:val="20"/>
              </w:rPr>
              <w:t>Exhibit B-2: Form of Global Note Legend</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B2-1</w:t>
            </w:r>
          </w:p>
        </w:tc>
        <w:tc>
          <w:tcPr>
            <w:tcW w:w="63" w:type="dxa"/>
            <w:tcBorders/>
            <w:vAlign w:val="bottom"/>
          </w:tcPr>
          <w:p>
            <w:pPr>
              <w:pStyle w:val="TableContents"/>
              <w:bidi w:val="0"/>
              <w:spacing w:before="0" w:after="283"/>
              <w:jc w:val="left"/>
              <w:rPr/>
            </w:pPr>
            <w:r>
              <w:rPr/>
              <w:t> </w:t>
            </w:r>
          </w:p>
        </w:tc>
      </w:tr>
      <w:tr>
        <w:trPr>
          <w:trHeight w:val="120" w:hRule="atLeast"/>
        </w:trPr>
        <w:tc>
          <w:tcPr>
            <w:tcW w:w="9436" w:type="dxa"/>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tcBorders/>
          </w:tcPr>
          <w:p>
            <w:pPr>
              <w:pStyle w:val="TableContents"/>
              <w:bidi w:val="0"/>
              <w:spacing w:before="0" w:after="0"/>
              <w:jc w:val="left"/>
              <w:rPr>
                <w:rFonts w:ascii="Times New Roman" w:hAnsi="Times New Roman"/>
                <w:sz w:val="20"/>
              </w:rPr>
            </w:pPr>
            <w:r>
              <w:rPr>
                <w:rFonts w:ascii="Times New Roman" w:hAnsi="Times New Roman"/>
                <w:sz w:val="20"/>
              </w:rPr>
              <w:t>Exhibit B-3: Form of Non-Affiliate Legend</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iii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INDENTURE</w:t>
      </w:r>
      <w:r>
        <w:rPr>
          <w:rFonts w:ascii="Times New Roman" w:hAnsi="Times New Roman"/>
          <w:sz w:val="20"/>
        </w:rPr>
        <w:t>, dated as of July 7, 2026, between Civeo Corporation, a corporation incorporated under the laws of the Province of British Columbia, as issuer (the “</w:t>
      </w:r>
      <w:r>
        <w:rPr>
          <w:rFonts w:ascii="Times New Roman" w:hAnsi="Times New Roman"/>
          <w:b/>
          <w:sz w:val="20"/>
        </w:rPr>
        <w:t>Company</w:t>
      </w:r>
      <w:r>
        <w:rPr>
          <w:rFonts w:ascii="Times New Roman" w:hAnsi="Times New Roman"/>
          <w:sz w:val="20"/>
        </w:rPr>
        <w:t>”), and U.S. Bank Trust Company, National Association, as trustee (the “</w:t>
      </w:r>
      <w:r>
        <w:rPr>
          <w:rFonts w:ascii="Times New Roman" w:hAnsi="Times New Roman"/>
          <w:b/>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party to this Indenture (as defined below) agrees as follows for the benefit of the other party and for the equal and ratable benefit of the Holders (as defined below) of the Company’s 4.50% Convertible Senior Notes due 2031 (the “</w:t>
      </w:r>
      <w:r>
        <w:rPr>
          <w:rFonts w:ascii="Times New Roman" w:hAnsi="Times New Roman"/>
          <w:b/>
          <w:sz w:val="20"/>
        </w:rPr>
        <w:t>Notes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DEFINITIONS; RULES OF CONSTRUCTION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DEFINITIONS. </w:t>
      </w:r>
    </w:p>
    <w:p>
      <w:pPr>
        <w:pStyle w:val="TextBody"/>
        <w:bidi w:val="0"/>
        <w:spacing w:before="240" w:after="0"/>
        <w:jc w:val="left"/>
        <w:rPr/>
      </w:pPr>
      <w:r>
        <w:rPr/>
        <w:t>“</w:t>
      </w:r>
      <w:r>
        <w:rPr>
          <w:rFonts w:ascii="Times New Roman" w:hAnsi="Times New Roman"/>
          <w:b/>
          <w:sz w:val="20"/>
        </w:rPr>
        <w:t>Additional Interest</w:t>
      </w:r>
      <w:r>
        <w:rPr>
          <w:rFonts w:ascii="Times New Roman" w:hAnsi="Times New Roman"/>
          <w:sz w:val="20"/>
        </w:rPr>
        <w:t xml:space="preserve">” means any interest that accrues on any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has the meaning set forth in Rule 144 as in effect on the Issue Date. </w:t>
      </w:r>
    </w:p>
    <w:p>
      <w:pPr>
        <w:pStyle w:val="TextBody"/>
        <w:bidi w:val="0"/>
        <w:spacing w:before="240" w:after="0"/>
        <w:jc w:val="left"/>
        <w:rPr/>
      </w:pPr>
      <w:r>
        <w:rPr/>
        <w:t>“</w:t>
      </w:r>
      <w:r>
        <w:rPr>
          <w:rFonts w:ascii="Times New Roman" w:hAnsi="Times New Roman"/>
          <w:b/>
          <w:sz w:val="20"/>
        </w:rPr>
        <w:t>Authorized Denomination</w:t>
      </w:r>
      <w:r>
        <w:rPr>
          <w:rFonts w:ascii="Times New Roman" w:hAnsi="Times New Roman"/>
          <w:sz w:val="20"/>
        </w:rPr>
        <w:t xml:space="preserve">” means, with respect to a Note, a principal amount thereof equal to $1,000 or any integral multiple of $1,000 in excess thereof. </w:t>
      </w:r>
    </w:p>
    <w:p>
      <w:pPr>
        <w:pStyle w:val="TextBody"/>
        <w:bidi w:val="0"/>
        <w:spacing w:before="240" w:after="0"/>
        <w:jc w:val="left"/>
        <w:rPr/>
      </w:pPr>
      <w:r>
        <w:rPr/>
        <w:t>“</w:t>
      </w:r>
      <w:r>
        <w:rPr>
          <w:rFonts w:ascii="Times New Roman" w:hAnsi="Times New Roman"/>
          <w:b/>
          <w:sz w:val="20"/>
        </w:rPr>
        <w:t>Bankruptcy Law</w:t>
      </w:r>
      <w:r>
        <w:rPr>
          <w:rFonts w:ascii="Times New Roman" w:hAnsi="Times New Roman"/>
          <w:sz w:val="20"/>
        </w:rPr>
        <w:t xml:space="preserve">” means Title 11, United States Code, or any similar U.S. federal or state or non-U.S. law for the relief of debtors. </w:t>
      </w:r>
    </w:p>
    <w:p>
      <w:pPr>
        <w:pStyle w:val="TextBody"/>
        <w:bidi w:val="0"/>
        <w:spacing w:before="240" w:after="0"/>
        <w:jc w:val="left"/>
        <w:rPr/>
      </w:pPr>
      <w:r>
        <w:rPr/>
        <w:t>“</w:t>
      </w:r>
      <w:r>
        <w:rPr>
          <w:rFonts w:ascii="Times New Roman" w:hAnsi="Times New Roman"/>
          <w:b/>
          <w:sz w:val="20"/>
        </w:rPr>
        <w:t>Bid Solicitation Agent</w:t>
      </w:r>
      <w:r>
        <w:rPr>
          <w:rFonts w:ascii="Times New Roman" w:hAnsi="Times New Roman"/>
          <w:sz w:val="20"/>
        </w:rPr>
        <w:t xml:space="preserve">” means the Person who is required to obtain bids for the Trading Price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5.01(C)(i)(2)</w:t>
      </w:r>
      <w:r>
        <w:rPr>
          <w:rFonts w:ascii="Times New Roman" w:hAnsi="Times New Roman"/>
          <w:sz w:val="20"/>
        </w:rPr>
        <w:t xml:space="preserve"> and the definition of “Trading Price.” The initial Bid Solicitation Agent on the Issue Date will be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appoint any other Person (including any of the Company’s Subsidiaries) to be the Bid Solicitation Agent at any time after the Issue Date without prior notice.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or a committee of such board duly authorized to act on behalf of such board.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any day on which the Federal Reserve Bank of New York is authorized or required by law or executive order to close or be closed. </w:t>
      </w:r>
    </w:p>
    <w:p>
      <w:pPr>
        <w:pStyle w:val="TextBody"/>
        <w:bidi w:val="0"/>
        <w:spacing w:before="240" w:after="0"/>
        <w:jc w:val="left"/>
        <w:rPr/>
      </w:pPr>
      <w:r>
        <w:rPr/>
        <w:t>“</w:t>
      </w:r>
      <w:r>
        <w:rPr>
          <w:rFonts w:ascii="Times New Roman" w:hAnsi="Times New Roman"/>
          <w:b/>
          <w:sz w:val="20"/>
        </w:rPr>
        <w:t>Canadian Tax Act</w:t>
      </w:r>
      <w:r>
        <w:rPr>
          <w:rFonts w:ascii="Times New Roman" w:hAnsi="Times New Roman"/>
          <w:sz w:val="20"/>
        </w:rPr>
        <w:t xml:space="preserve">” means the </w:t>
      </w:r>
      <w:r>
        <w:rPr>
          <w:rFonts w:ascii="Times New Roman" w:hAnsi="Times New Roman"/>
          <w:i/>
          <w:sz w:val="20"/>
        </w:rPr>
        <w:t xml:space="preserve">Income Tax Act </w:t>
      </w:r>
      <w:r>
        <w:rPr>
          <w:rFonts w:ascii="Times New Roman" w:hAnsi="Times New Roman"/>
          <w:sz w:val="20"/>
        </w:rPr>
        <w:t xml:space="preserve">(Canada) and the regulations thereunder. </w:t>
      </w:r>
    </w:p>
    <w:p>
      <w:pPr>
        <w:pStyle w:val="TextBody"/>
        <w:bidi w:val="0"/>
        <w:spacing w:before="240" w:after="0"/>
        <w:jc w:val="left"/>
        <w:rPr/>
      </w:pPr>
      <w:r>
        <w:rPr/>
        <w:t>“</w:t>
      </w:r>
      <w:r>
        <w:rPr>
          <w:rFonts w:ascii="Times New Roman" w:hAnsi="Times New Roman"/>
          <w:b/>
          <w:sz w:val="20"/>
        </w:rPr>
        <w:t>Capital Shares</w:t>
      </w:r>
      <w:r>
        <w:rPr>
          <w:rFonts w:ascii="Times New Roman" w:hAnsi="Times New Roman"/>
          <w:sz w:val="20"/>
        </w:rPr>
        <w:t xml:space="preserve">” of any Person means any and all shares of, interests in, rights to purchase, warrants or options for, participations in, or other equivalents of, in each case however designated, the equity of such Person, but excluding any debt securities convertible into such equity. </w:t>
      </w:r>
    </w:p>
    <w:p>
      <w:pPr>
        <w:pStyle w:val="TextBody"/>
        <w:bidi w:val="0"/>
        <w:spacing w:before="240" w:after="0"/>
        <w:jc w:val="left"/>
        <w:rPr/>
      </w:pPr>
      <w:r>
        <w:rPr/>
        <w:t>“</w:t>
      </w:r>
      <w:r>
        <w:rPr>
          <w:rFonts w:ascii="Times New Roman" w:hAnsi="Times New Roman"/>
          <w:b/>
          <w:sz w:val="20"/>
        </w:rPr>
        <w:t>Change in Tax Law</w:t>
      </w:r>
      <w:r>
        <w:rPr>
          <w:rFonts w:ascii="Times New Roman" w:hAnsi="Times New Roman"/>
          <w:sz w:val="20"/>
        </w:rPr>
        <w:t xml:space="preserve">” means any change or amendment in the laws, rules or regulations of a Relevant Taxing Jurisdiction, or any change in an official written interpretation, administration or application of such laws, rules or regulations by any legislative body, court, governmental taxing authority or regulatory or administrative authority of such Relevant Taxing Jurisdiction (including the enactment of any legislation and the publication of any judicial decision or regulatory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interpretation or determination) affecting taxation, which change or amendment (A) had not been theretofore publicly announced; and (B) becomes effective on or after July 1, 2026 (or, if the Relevant Taxing Jurisdiction was not a Relevant Taxing Jurisdiction on such date, the date on which such Relevant Taxing Jurisdiction became a Relevant Taxing Jurisdiction). </w:t>
      </w:r>
    </w:p>
    <w:p>
      <w:pPr>
        <w:pStyle w:val="TextBody"/>
        <w:bidi w:val="0"/>
        <w:spacing w:before="240" w:after="0"/>
        <w:jc w:val="left"/>
        <w:rPr/>
      </w:pPr>
      <w:r>
        <w:rPr/>
        <w:t>“</w:t>
      </w:r>
      <w:r>
        <w:rPr>
          <w:rFonts w:ascii="Times New Roman" w:hAnsi="Times New Roman"/>
          <w:b/>
          <w:sz w:val="20"/>
        </w:rPr>
        <w:t>Cleanup Redemption</w:t>
      </w:r>
      <w:r>
        <w:rPr>
          <w:rFonts w:ascii="Times New Roman" w:hAnsi="Times New Roman"/>
          <w:sz w:val="20"/>
        </w:rPr>
        <w:t xml:space="preserve">” means the repurchase of any Note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Close of Business</w:t>
      </w:r>
      <w:r>
        <w:rPr>
          <w:rFonts w:ascii="Times New Roman" w:hAnsi="Times New Roman"/>
          <w:sz w:val="20"/>
        </w:rPr>
        <w:t xml:space="preserve">” means 5:00 p.m., New York City time. </w:t>
      </w:r>
    </w:p>
    <w:p>
      <w:pPr>
        <w:pStyle w:val="TextBody"/>
        <w:bidi w:val="0"/>
        <w:spacing w:before="240" w:after="0"/>
        <w:jc w:val="left"/>
        <w:rPr/>
      </w:pPr>
      <w:r>
        <w:rPr/>
        <w:t>“</w:t>
      </w:r>
      <w:r>
        <w:rPr>
          <w:rFonts w:ascii="Times New Roman" w:hAnsi="Times New Roman"/>
          <w:b/>
          <w:sz w:val="20"/>
        </w:rPr>
        <w:t>Common Shares</w:t>
      </w:r>
      <w:r>
        <w:rPr>
          <w:rFonts w:ascii="Times New Roman" w:hAnsi="Times New Roman"/>
          <w:sz w:val="20"/>
        </w:rPr>
        <w:t xml:space="preserve">” means the common shares, no par value, of the Company,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means the Person named as such in the first paragraph of this Indenture and, subject to </w:t>
      </w:r>
      <w:r>
        <w:rPr>
          <w:rFonts w:ascii="Times New Roman" w:hAnsi="Times New Roman"/>
          <w:b/>
          <w:sz w:val="20"/>
        </w:rPr>
        <w:t>Article 6</w:t>
      </w:r>
      <w:r>
        <w:rPr>
          <w:rFonts w:ascii="Times New Roman" w:hAnsi="Times New Roman"/>
          <w:sz w:val="20"/>
        </w:rPr>
        <w:t xml:space="preserve">, its successors and assigns. </w:t>
      </w:r>
    </w:p>
    <w:p>
      <w:pPr>
        <w:pStyle w:val="TextBody"/>
        <w:bidi w:val="0"/>
        <w:spacing w:before="240" w:after="0"/>
        <w:jc w:val="left"/>
        <w:rPr/>
      </w:pPr>
      <w:r>
        <w:rPr/>
        <w:t>“</w:t>
      </w:r>
      <w:r>
        <w:rPr>
          <w:rFonts w:ascii="Times New Roman" w:hAnsi="Times New Roman"/>
          <w:b/>
          <w:sz w:val="20"/>
        </w:rPr>
        <w:t>Company Order</w:t>
      </w:r>
      <w:r>
        <w:rPr>
          <w:rFonts w:ascii="Times New Roman" w:hAnsi="Times New Roman"/>
          <w:sz w:val="20"/>
        </w:rPr>
        <w:t xml:space="preserve">” means a written request or order signed on behalf of the Company by one (1) of its Officers and delivered to the Trustee. </w:t>
      </w:r>
    </w:p>
    <w:p>
      <w:pPr>
        <w:pStyle w:val="TextBody"/>
        <w:bidi w:val="0"/>
        <w:spacing w:before="240" w:after="0"/>
        <w:jc w:val="left"/>
        <w:rPr/>
      </w:pPr>
      <w:r>
        <w:rPr/>
        <w:t>“</w:t>
      </w:r>
      <w:r>
        <w:rPr>
          <w:rFonts w:ascii="Times New Roman" w:hAnsi="Times New Roman"/>
          <w:b/>
          <w:sz w:val="20"/>
        </w:rPr>
        <w:t>Conversion</w:t>
      </w:r>
      <w:r>
        <w:rPr>
          <w:rFonts w:ascii="Times New Roman" w:hAnsi="Times New Roman"/>
          <w:sz w:val="20"/>
        </w:rPr>
        <w:t xml:space="preserve">” means, with respect to any Note, the conversion of such note pursuant to </w:t>
      </w:r>
      <w:r>
        <w:rPr>
          <w:rFonts w:ascii="Times New Roman" w:hAnsi="Times New Roman"/>
          <w:b/>
          <w:sz w:val="20"/>
        </w:rPr>
        <w:t>Article 5</w:t>
      </w:r>
      <w:r>
        <w:rPr>
          <w:rFonts w:ascii="Times New Roman" w:hAnsi="Times New Roman"/>
          <w:sz w:val="20"/>
        </w:rPr>
        <w:t xml:space="preserve"> into Conversion Consideration. The terms “Convert,” “Converted,” “Convertible,” “Converting” and similar capitalized terms have meanings correlative to the foregoing. </w:t>
      </w:r>
    </w:p>
    <w:p>
      <w:pPr>
        <w:pStyle w:val="TextBody"/>
        <w:bidi w:val="0"/>
        <w:spacing w:before="240" w:after="0"/>
        <w:jc w:val="left"/>
        <w:rPr/>
      </w:pPr>
      <w:r>
        <w:rPr/>
        <w:t>“</w:t>
      </w:r>
      <w:r>
        <w:rPr>
          <w:rFonts w:ascii="Times New Roman" w:hAnsi="Times New Roman"/>
          <w:b/>
          <w:sz w:val="20"/>
        </w:rPr>
        <w:t>Conversion Date</w:t>
      </w:r>
      <w:r>
        <w:rPr>
          <w:rFonts w:ascii="Times New Roman" w:hAnsi="Times New Roman"/>
          <w:sz w:val="20"/>
        </w:rPr>
        <w:t xml:space="preserve">” means, with respect to a Note, the first Business Day on which the requirements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5.02(A)</w:t>
      </w:r>
      <w:r>
        <w:rPr>
          <w:rFonts w:ascii="Times New Roman" w:hAnsi="Times New Roman"/>
          <w:sz w:val="20"/>
        </w:rPr>
        <w:t xml:space="preserve"> to Convert such Note are satisfied,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Conversion Price</w:t>
      </w:r>
      <w:r>
        <w:rPr>
          <w:rFonts w:ascii="Times New Roman" w:hAnsi="Times New Roman"/>
          <w:sz w:val="20"/>
        </w:rPr>
        <w:t xml:space="preserve">” means, as of any time, an amount equal to (A) one thousand dollars ($1,000) </w:t>
      </w:r>
      <w:r>
        <w:rPr>
          <w:rFonts w:ascii="Times New Roman" w:hAnsi="Times New Roman"/>
          <w:i/>
          <w:sz w:val="20"/>
        </w:rPr>
        <w:t>divided by</w:t>
      </w:r>
      <w:r>
        <w:rPr>
          <w:rFonts w:ascii="Times New Roman" w:hAnsi="Times New Roman"/>
          <w:sz w:val="20"/>
        </w:rPr>
        <w:t xml:space="preserve"> (B) the Conversion Rate in effect at such time. </w:t>
      </w:r>
    </w:p>
    <w:p>
      <w:pPr>
        <w:pStyle w:val="TextBody"/>
        <w:bidi w:val="0"/>
        <w:spacing w:before="240" w:after="0"/>
        <w:jc w:val="left"/>
        <w:rPr/>
      </w:pPr>
      <w:r>
        <w:rPr/>
        <w:t>“</w:t>
      </w:r>
      <w:r>
        <w:rPr>
          <w:rFonts w:ascii="Times New Roman" w:hAnsi="Times New Roman"/>
          <w:b/>
          <w:sz w:val="20"/>
        </w:rPr>
        <w:t>Conversion Rate</w:t>
      </w:r>
      <w:r>
        <w:rPr>
          <w:rFonts w:ascii="Times New Roman" w:hAnsi="Times New Roman"/>
          <w:sz w:val="20"/>
        </w:rPr>
        <w:t xml:space="preserve">” initially means 24.6840 Common Shares per $1,000 principal amount of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Conversion Rate is subject to adjustment pursuant to </w:t>
      </w:r>
      <w:r>
        <w:rPr>
          <w:rFonts w:ascii="Times New Roman" w:hAnsi="Times New Roman"/>
          <w:b/>
          <w:sz w:val="20"/>
        </w:rPr>
        <w:t>Article 5</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whenever this Indenture refers to the Conversion Rate as of a particular date without setting forth a particular time on such date, such reference will be deemed to be to the Conversion Rate immediately after the Close of Business on such date. </w:t>
      </w:r>
    </w:p>
    <w:p>
      <w:pPr>
        <w:pStyle w:val="TextBody"/>
        <w:bidi w:val="0"/>
        <w:spacing w:before="240" w:after="0"/>
        <w:jc w:val="left"/>
        <w:rPr/>
      </w:pPr>
      <w:r>
        <w:rPr/>
        <w:t>“</w:t>
      </w:r>
      <w:r>
        <w:rPr>
          <w:rFonts w:ascii="Times New Roman" w:hAnsi="Times New Roman"/>
          <w:b/>
          <w:sz w:val="20"/>
        </w:rPr>
        <w:t>Conversion Share</w:t>
      </w:r>
      <w:r>
        <w:rPr>
          <w:rFonts w:ascii="Times New Roman" w:hAnsi="Times New Roman"/>
          <w:sz w:val="20"/>
        </w:rPr>
        <w:t xml:space="preserve">” means any Common Share issued or issuable upon Conversion of any Note. </w:t>
      </w:r>
    </w:p>
    <w:p>
      <w:pPr>
        <w:pStyle w:val="TextBody"/>
        <w:bidi w:val="0"/>
        <w:spacing w:before="240" w:after="0"/>
        <w:jc w:val="left"/>
        <w:rPr/>
      </w:pPr>
      <w:r>
        <w:rPr/>
        <w:t>“</w:t>
      </w:r>
      <w:r>
        <w:rPr>
          <w:rFonts w:ascii="Times New Roman" w:hAnsi="Times New Roman"/>
          <w:b/>
          <w:sz w:val="20"/>
        </w:rPr>
        <w:t>Daily Cash Amount</w:t>
      </w:r>
      <w:r>
        <w:rPr>
          <w:rFonts w:ascii="Times New Roman" w:hAnsi="Times New Roman"/>
          <w:sz w:val="20"/>
        </w:rPr>
        <w:t xml:space="preserve">” means, with respect to any VWAP Trading Day, the lesser of (A) the applicable Daily Maximum Cash Amount; and (B) the Daily Conversion Value for such VWAP Trading Day. </w:t>
      </w:r>
    </w:p>
    <w:p>
      <w:pPr>
        <w:pStyle w:val="TextBody"/>
        <w:bidi w:val="0"/>
        <w:spacing w:before="240" w:after="0"/>
        <w:jc w:val="left"/>
        <w:rPr/>
      </w:pPr>
      <w:r>
        <w:rPr/>
        <w:t>“</w:t>
      </w:r>
      <w:r>
        <w:rPr>
          <w:rFonts w:ascii="Times New Roman" w:hAnsi="Times New Roman"/>
          <w:b/>
          <w:sz w:val="20"/>
        </w:rPr>
        <w:t>Daily Conversion Value</w:t>
      </w:r>
      <w:r>
        <w:rPr>
          <w:rFonts w:ascii="Times New Roman" w:hAnsi="Times New Roman"/>
          <w:sz w:val="20"/>
        </w:rPr>
        <w:t xml:space="preserve">” means, with respect to any VWAP Trading Day, one-sixtieth (1/60th) of the product of (A) the Conversion Rate on such VWAP Trading Day; and (B) the Daily VWAP per Common Share on such VWAP Trading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Daily Maximum Cash Amount</w:t>
      </w:r>
      <w:r>
        <w:rPr>
          <w:rFonts w:ascii="Times New Roman" w:hAnsi="Times New Roman"/>
          <w:sz w:val="20"/>
        </w:rPr>
        <w:t xml:space="preserve">” means, with respect to the Conversion of any Note, the quotient obtained by dividing (A) the Specified Dollar Amount applicable to such Conversion by (B) sixty (60). </w:t>
      </w:r>
    </w:p>
    <w:p>
      <w:pPr>
        <w:pStyle w:val="TextBody"/>
        <w:bidi w:val="0"/>
        <w:spacing w:before="240" w:after="0"/>
        <w:jc w:val="left"/>
        <w:rPr/>
      </w:pPr>
      <w:r>
        <w:rPr/>
        <w:t>“</w:t>
      </w:r>
      <w:r>
        <w:rPr>
          <w:rFonts w:ascii="Times New Roman" w:hAnsi="Times New Roman"/>
          <w:b/>
          <w:sz w:val="20"/>
        </w:rPr>
        <w:t>Daily Share Amount</w:t>
      </w:r>
      <w:r>
        <w:rPr>
          <w:rFonts w:ascii="Times New Roman" w:hAnsi="Times New Roman"/>
          <w:sz w:val="20"/>
        </w:rPr>
        <w:t xml:space="preserve">”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 </w:t>
      </w:r>
    </w:p>
    <w:p>
      <w:pPr>
        <w:pStyle w:val="TextBody"/>
        <w:bidi w:val="0"/>
        <w:spacing w:before="240" w:after="0"/>
        <w:jc w:val="left"/>
        <w:rPr/>
      </w:pPr>
      <w:r>
        <w:rPr/>
        <w:t>“</w:t>
      </w:r>
      <w:r>
        <w:rPr>
          <w:rFonts w:ascii="Times New Roman" w:hAnsi="Times New Roman"/>
          <w:b/>
          <w:sz w:val="20"/>
        </w:rPr>
        <w:t>Daily VWAP</w:t>
      </w:r>
      <w:r>
        <w:rPr>
          <w:rFonts w:ascii="Times New Roman" w:hAnsi="Times New Roman"/>
          <w:sz w:val="20"/>
        </w:rPr>
        <w:t xml:space="preserve">” means, for any VWAP Trading Day, the per share volume-weighted average price of the Common Shares as displayed under the heading “Bloomberg VWAP” on Bloomberg page “CVEO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Common Share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 </w:t>
      </w:r>
    </w:p>
    <w:p>
      <w:pPr>
        <w:pStyle w:val="TextBody"/>
        <w:bidi w:val="0"/>
        <w:spacing w:before="240" w:after="0"/>
        <w:jc w:val="left"/>
        <w:rPr/>
      </w:pPr>
      <w:r>
        <w:rPr/>
        <w:t>“</w:t>
      </w:r>
      <w:r>
        <w:rPr>
          <w:rFonts w:ascii="Times New Roman" w:hAnsi="Times New Roman"/>
          <w:b/>
          <w:sz w:val="20"/>
        </w:rPr>
        <w:t>De-Legending Deadline Date</w:t>
      </w:r>
      <w:r>
        <w:rPr>
          <w:rFonts w:ascii="Times New Roman" w:hAnsi="Times New Roman"/>
          <w:sz w:val="20"/>
        </w:rPr>
        <w:t xml:space="preserve">” means, with respect to any Note, the fifteenth (15th) day after the Free Trade Date of such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De-Legending Deadline Date determined as aforesaid would be after a Regular Record Date and before the fifth (5th) Business Day immediately after the next Interest Payment Date, then the De-Legending Deadline Date for such Note will instead be the fifth (5th) Business Day immediately after such Interest Payment Date.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that is (or, after notice, passage of time or both, would be) an Event of Default. </w:t>
      </w:r>
    </w:p>
    <w:p>
      <w:pPr>
        <w:pStyle w:val="TextBody"/>
        <w:bidi w:val="0"/>
        <w:spacing w:before="240" w:after="0"/>
        <w:jc w:val="left"/>
        <w:rPr/>
      </w:pPr>
      <w:r>
        <w:rPr/>
        <w:t>“</w:t>
      </w:r>
      <w:r>
        <w:rPr>
          <w:rFonts w:ascii="Times New Roman" w:hAnsi="Times New Roman"/>
          <w:b/>
          <w:sz w:val="20"/>
        </w:rPr>
        <w:t>Default Settlement Method</w:t>
      </w:r>
      <w:r>
        <w:rPr>
          <w:rFonts w:ascii="Times New Roman" w:hAnsi="Times New Roman"/>
          <w:sz w:val="20"/>
        </w:rPr>
        <w:t xml:space="preserve">” means Physical Settlement;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5.03(A)(iii)</w:t>
      </w:r>
      <w:r>
        <w:rPr>
          <w:rFonts w:ascii="Times New Roman" w:hAnsi="Times New Roman"/>
          <w:sz w:val="20"/>
        </w:rPr>
        <w:t xml:space="preserve">, the Company may, from time to time, change the Default Settlement Method by sending notice of the new Default Settlement Method to the Holders, the Trustee and the Conversion Agent; and (y) the Default Settlement Method will be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5.03(A)(ii)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The Depository Trust Company or its successor. </w:t>
      </w:r>
    </w:p>
    <w:p>
      <w:pPr>
        <w:pStyle w:val="TextBody"/>
        <w:bidi w:val="0"/>
        <w:spacing w:before="240" w:after="0"/>
        <w:jc w:val="left"/>
        <w:rPr/>
      </w:pPr>
      <w:r>
        <w:rPr/>
        <w:t>“</w:t>
      </w:r>
      <w:r>
        <w:rPr>
          <w:rFonts w:ascii="Times New Roman" w:hAnsi="Times New Roman"/>
          <w:b/>
          <w:sz w:val="20"/>
        </w:rPr>
        <w:t>Depositary Participant</w:t>
      </w:r>
      <w:r>
        <w:rPr>
          <w:rFonts w:ascii="Times New Roman" w:hAnsi="Times New Roman"/>
          <w:sz w:val="20"/>
        </w:rPr>
        <w:t xml:space="preserve">” means any member of, or participant in, the Depositary. </w:t>
      </w:r>
    </w:p>
    <w:p>
      <w:pPr>
        <w:pStyle w:val="TextBody"/>
        <w:bidi w:val="0"/>
        <w:spacing w:before="240" w:after="0"/>
        <w:jc w:val="left"/>
        <w:rPr/>
      </w:pPr>
      <w:r>
        <w:rPr/>
        <w:t>“</w:t>
      </w:r>
      <w:r>
        <w:rPr>
          <w:rFonts w:ascii="Times New Roman" w:hAnsi="Times New Roman"/>
          <w:b/>
          <w:sz w:val="20"/>
        </w:rPr>
        <w:t>Depositary Procedures</w:t>
      </w:r>
      <w:r>
        <w:rPr>
          <w:rFonts w:ascii="Times New Roman" w:hAnsi="Times New Roman"/>
          <w:sz w:val="20"/>
        </w:rPr>
        <w:t xml:space="preserve">” means, with respect to any Conversion, transfer, exchange or other transaction involving a Global Note or any beneficial interest therein, the rules and procedures of the Depositary applicable to such Conversion, transfer, exchange or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Ex-Dividend Date</w:t>
      </w:r>
      <w:r>
        <w:rPr>
          <w:rFonts w:ascii="Times New Roman" w:hAnsi="Times New Roman"/>
          <w:sz w:val="20"/>
        </w:rPr>
        <w:t xml:space="preserve">” means, with respect to an issuance, dividend or distribution on the Common Shares, the first date on which Common Shares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Shares under a separate ticker symbol or CUSIP number will not be considered “regular way” for this purpose.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w:t>
      </w:r>
    </w:p>
    <w:p>
      <w:pPr>
        <w:pStyle w:val="TextBody"/>
        <w:bidi w:val="0"/>
        <w:spacing w:before="240" w:after="0"/>
        <w:jc w:val="left"/>
        <w:rPr/>
      </w:pPr>
      <w:r>
        <w:rPr/>
        <w:t>“</w:t>
      </w:r>
      <w:r>
        <w:rPr>
          <w:rFonts w:ascii="Times New Roman" w:hAnsi="Times New Roman"/>
          <w:b/>
          <w:sz w:val="20"/>
        </w:rPr>
        <w:t>Exempted Fundamental Change</w:t>
      </w:r>
      <w:r>
        <w:rPr>
          <w:rFonts w:ascii="Times New Roman" w:hAnsi="Times New Roman"/>
          <w:sz w:val="20"/>
        </w:rPr>
        <w:t xml:space="preserve">” means any Fundamental Change with respect to which,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4.02(I)</w:t>
      </w:r>
      <w:r>
        <w:rPr>
          <w:rFonts w:ascii="Times New Roman" w:hAnsi="Times New Roman"/>
          <w:sz w:val="20"/>
        </w:rPr>
        <w:t xml:space="preserve">, the Company does not offer to repurchase any Notes. </w:t>
      </w:r>
    </w:p>
    <w:p>
      <w:pPr>
        <w:pStyle w:val="TextBody"/>
        <w:bidi w:val="0"/>
        <w:spacing w:before="240" w:after="0"/>
        <w:jc w:val="left"/>
        <w:rPr/>
      </w:pPr>
      <w:r>
        <w:rPr/>
        <w:t>“</w:t>
      </w:r>
      <w:r>
        <w:rPr>
          <w:rFonts w:ascii="Times New Roman" w:hAnsi="Times New Roman"/>
          <w:b/>
          <w:sz w:val="20"/>
        </w:rPr>
        <w:t>Free Trade Date</w:t>
      </w:r>
      <w:r>
        <w:rPr>
          <w:rFonts w:ascii="Times New Roman" w:hAnsi="Times New Roman"/>
          <w:sz w:val="20"/>
        </w:rPr>
        <w:t xml:space="preserve">” means, with respect to any Note, the date that is one (1) year after the Last Original Issue Date of such Note. </w:t>
      </w:r>
    </w:p>
    <w:p>
      <w:pPr>
        <w:pStyle w:val="TextBody"/>
        <w:bidi w:val="0"/>
        <w:spacing w:before="240" w:after="0"/>
        <w:jc w:val="left"/>
        <w:rPr/>
      </w:pPr>
      <w:r>
        <w:rPr/>
        <w:t>“</w:t>
      </w:r>
      <w:r>
        <w:rPr>
          <w:rFonts w:ascii="Times New Roman" w:hAnsi="Times New Roman"/>
          <w:b/>
          <w:sz w:val="20"/>
        </w:rPr>
        <w:t>Freely Tradable</w:t>
      </w:r>
      <w:r>
        <w:rPr>
          <w:rFonts w:ascii="Times New Roman" w:hAnsi="Times New Roman"/>
          <w:sz w:val="20"/>
        </w:rPr>
        <w:t xml:space="preserve">” means, with respect to any Note, that such Note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from and after the De-Legending Deadline Date of such Note, such Note will not be “Freely Tradable” unless such Note (x) is not identified by a “restricted” CUSIP or ISIN number; and (y) is not represented by any certificate that bears the Restricted Note Legend. For the avoidance of doubt, whether a Note is deemed to be identified by a “restricted” CUSIP or ISIN number or to bear the Restricted Note Legend is subject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Fundamental Change</w:t>
      </w:r>
      <w:r>
        <w:rPr>
          <w:rFonts w:ascii="Times New Roman" w:hAnsi="Times New Roman"/>
          <w:sz w:val="20"/>
        </w:rPr>
        <w:t xml:space="preserve">” means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(A) a “person” or “group” (within the meaning of Section 13(d)(3) of the Exchange Act), other than the Company or its Wholly Owned Subsidiaries, or their respective employee benefit plans, files any report with the SEC indicating that such person or group has become the direct or indirect “beneficial owner” (as defined below) of Common Shares representing more than fifty percent (50%) of the voting power of all of the Common Shares; </w:t>
      </w:r>
    </w:p>
    <w:p>
      <w:pPr>
        <w:pStyle w:val="TextBody"/>
        <w:bidi w:val="0"/>
        <w:spacing w:before="120" w:after="0"/>
        <w:jc w:val="left"/>
        <w:rPr>
          <w:rFonts w:ascii="Times New Roman" w:hAnsi="Times New Roman"/>
          <w:sz w:val="20"/>
        </w:rPr>
      </w:pPr>
      <w:r>
        <w:rPr>
          <w:rFonts w:ascii="Times New Roman" w:hAnsi="Times New Roman"/>
          <w:sz w:val="20"/>
        </w:rPr>
        <w:t xml:space="preserve">(B) 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amalgamation, consolidation, arrangement, share exchange, combination, reclassification, recapitalization, acquisition, liquidation or otherwise) all of the Common Shares are exchanged for, converted into, acquired for, or constitute solely the right to receive, other securities, cash or other property;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merger, amalgamation, consolidation, arrangement, share exchange or combination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hAnsi="Times New Roman"/>
          <w:b/>
          <w:sz w:val="20"/>
        </w:rPr>
        <w:t>clause (B)</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(C) the Company’s shareholders approve any plan or proposal for the liquidation or dissolution of the Company;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transaction or event described in </w:t>
      </w:r>
      <w:r>
        <w:rPr>
          <w:rFonts w:ascii="Times New Roman" w:hAnsi="Times New Roman"/>
          <w:b/>
          <w:sz w:val="20"/>
        </w:rPr>
        <w:t>clause (A)</w:t>
      </w:r>
      <w:r>
        <w:rPr>
          <w:rFonts w:ascii="Times New Roman" w:hAnsi="Times New Roman"/>
          <w:sz w:val="20"/>
        </w:rPr>
        <w:t xml:space="preserve"> or </w:t>
      </w:r>
      <w:r>
        <w:rPr>
          <w:rFonts w:ascii="Times New Roman" w:hAnsi="Times New Roman"/>
          <w:b/>
          <w:sz w:val="20"/>
        </w:rPr>
        <w:t>(B)</w:t>
      </w:r>
      <w:r>
        <w:rPr>
          <w:rFonts w:ascii="Times New Roman" w:hAnsi="Times New Roman"/>
          <w:sz w:val="20"/>
        </w:rPr>
        <w:t xml:space="preserve"> above will not constitute a Fundamental Change if at least ninety percent (90%) of the consideration received or to be received by the holders of Common Shares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Share Change Event whose Reference Property consists of such consideration.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definition, (x) any transaction or event described in both </w:t>
      </w:r>
      <w:r>
        <w:rPr>
          <w:rFonts w:ascii="Times New Roman" w:hAnsi="Times New Roman"/>
          <w:b/>
          <w:sz w:val="20"/>
        </w:rPr>
        <w:t>clause (A)</w:t>
      </w:r>
      <w:r>
        <w:rPr>
          <w:rFonts w:ascii="Times New Roman" w:hAnsi="Times New Roman"/>
          <w:sz w:val="20"/>
        </w:rPr>
        <w:t xml:space="preserve"> and in </w:t>
      </w:r>
      <w:r>
        <w:rPr>
          <w:rFonts w:ascii="Times New Roman" w:hAnsi="Times New Roman"/>
          <w:b/>
          <w:sz w:val="20"/>
        </w:rPr>
        <w:t>clause (B)(i)</w:t>
      </w:r>
      <w:r>
        <w:rPr>
          <w:rFonts w:ascii="Times New Roman" w:hAnsi="Times New Roman"/>
          <w:sz w:val="20"/>
        </w:rPr>
        <w:t xml:space="preserve"> or </w:t>
      </w:r>
      <w:r>
        <w:rPr>
          <w:rFonts w:ascii="Times New Roman" w:hAnsi="Times New Roman"/>
          <w:b/>
          <w:sz w:val="20"/>
        </w:rPr>
        <w:t>(ii)</w:t>
      </w:r>
      <w:r>
        <w:rPr>
          <w:rFonts w:ascii="Times New Roman" w:hAnsi="Times New Roman"/>
          <w:sz w:val="20"/>
        </w:rPr>
        <w:t xml:space="preserve"> above (without regard to the proviso in </w:t>
      </w:r>
      <w:r>
        <w:rPr>
          <w:rFonts w:ascii="Times New Roman" w:hAnsi="Times New Roman"/>
          <w:b/>
          <w:sz w:val="20"/>
        </w:rPr>
        <w:t>clause (B)</w:t>
      </w:r>
      <w:r>
        <w:rPr>
          <w:rFonts w:ascii="Times New Roman" w:hAnsi="Times New Roman"/>
          <w:sz w:val="20"/>
        </w:rPr>
        <w:t xml:space="preserve">) will be deemed to occur solely pursuant to </w:t>
      </w:r>
      <w:r>
        <w:rPr>
          <w:rFonts w:ascii="Times New Roman" w:hAnsi="Times New Roman"/>
          <w:b/>
          <w:sz w:val="20"/>
        </w:rPr>
        <w:t>clause (B)</w:t>
      </w:r>
      <w:r>
        <w:rPr>
          <w:rFonts w:ascii="Times New Roman" w:hAnsi="Times New Roman"/>
          <w:sz w:val="20"/>
        </w:rPr>
        <w:t> above (subject to such proviso); and (y) whether a Person is a “</w:t>
      </w:r>
      <w:r>
        <w:rPr>
          <w:rFonts w:ascii="Times New Roman" w:hAnsi="Times New Roman"/>
          <w:b/>
          <w:sz w:val="20"/>
        </w:rPr>
        <w:t>beneficial owner</w:t>
      </w:r>
      <w:r>
        <w:rPr>
          <w:rFonts w:ascii="Times New Roman" w:hAnsi="Times New Roman"/>
          <w:sz w:val="20"/>
        </w:rPr>
        <w:t>,” whether shares are “</w:t>
      </w:r>
      <w:r>
        <w:rPr>
          <w:rFonts w:ascii="Times New Roman" w:hAnsi="Times New Roman"/>
          <w:b/>
          <w:sz w:val="20"/>
        </w:rPr>
        <w:t>beneficially owned</w:t>
      </w:r>
      <w:r>
        <w:rPr>
          <w:rFonts w:ascii="Times New Roman" w:hAnsi="Times New Roman"/>
          <w:sz w:val="20"/>
        </w:rPr>
        <w:t xml:space="preserve">,” and percentage beneficial ownership, will be determined in accordance with Rule 13d-3 under the Exchange Act. </w:t>
      </w:r>
    </w:p>
    <w:p>
      <w:pPr>
        <w:pStyle w:val="TextBody"/>
        <w:bidi w:val="0"/>
        <w:spacing w:before="240" w:after="0"/>
        <w:jc w:val="left"/>
        <w:rPr/>
      </w:pPr>
      <w:r>
        <w:rPr/>
        <w:t>“</w:t>
      </w:r>
      <w:r>
        <w:rPr>
          <w:rFonts w:ascii="Times New Roman" w:hAnsi="Times New Roman"/>
          <w:b/>
          <w:sz w:val="20"/>
        </w:rPr>
        <w:t>Fundamental Change Repurchase Date</w:t>
      </w:r>
      <w:r>
        <w:rPr>
          <w:rFonts w:ascii="Times New Roman" w:hAnsi="Times New Roman"/>
          <w:sz w:val="20"/>
        </w:rPr>
        <w:t xml:space="preserve">” means the date fixed for the repurchase of any Notes by the Company pursuant to a Repurchase Upon Fundamental Change. </w:t>
      </w:r>
    </w:p>
    <w:p>
      <w:pPr>
        <w:pStyle w:val="TextBody"/>
        <w:bidi w:val="0"/>
        <w:spacing w:before="240" w:after="0"/>
        <w:jc w:val="left"/>
        <w:rPr/>
      </w:pPr>
      <w:r>
        <w:rPr/>
        <w:t>“</w:t>
      </w:r>
      <w:r>
        <w:rPr>
          <w:rFonts w:ascii="Times New Roman" w:hAnsi="Times New Roman"/>
          <w:b/>
          <w:sz w:val="20"/>
        </w:rPr>
        <w:t>Fundamental Change Repurchase Notice</w:t>
      </w:r>
      <w:r>
        <w:rPr>
          <w:rFonts w:ascii="Times New Roman" w:hAnsi="Times New Roman"/>
          <w:sz w:val="20"/>
        </w:rPr>
        <w:t xml:space="preserve">” means a notice (including a notice substantially in the form of the “Fundamental Change Repurchase Notice” set forth in </w:t>
      </w:r>
      <w:r>
        <w:rPr>
          <w:rFonts w:ascii="Times New Roman" w:hAnsi="Times New Roman"/>
          <w:b/>
          <w:sz w:val="20"/>
        </w:rPr>
        <w:t>Exhibit A</w:t>
      </w:r>
      <w:r>
        <w:rPr>
          <w:rFonts w:ascii="Times New Roman" w:hAnsi="Times New Roman"/>
          <w:sz w:val="20"/>
        </w:rPr>
        <w:t xml:space="preserve">) containing the information, or otherwise complying with the requirements,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4.02(F)(i)</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4.02(F)(ii)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Fundamental Change Repurchase Price</w:t>
      </w:r>
      <w:r>
        <w:rPr>
          <w:rFonts w:ascii="Times New Roman" w:hAnsi="Times New Roman"/>
          <w:sz w:val="20"/>
        </w:rPr>
        <w:t xml:space="preserve">” means the cash price payable by the Company to repurchase any Note upon its Repurchase Upon Fundamental Change, calculated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Global Note</w:t>
      </w:r>
      <w:r>
        <w:rPr>
          <w:rFonts w:ascii="Times New Roman" w:hAnsi="Times New Roman"/>
          <w:sz w:val="20"/>
        </w:rPr>
        <w:t xml:space="preserve">” means a Note that is represented by a certificate substantially in the form set forth in </w:t>
      </w:r>
      <w:r>
        <w:rPr>
          <w:rFonts w:ascii="Times New Roman" w:hAnsi="Times New Roman"/>
          <w:b/>
          <w:sz w:val="20"/>
        </w:rPr>
        <w:t>Exhibit</w:t>
      </w:r>
      <w:r>
        <w:rPr>
          <w:rFonts w:ascii="Times New Roman" w:hAnsi="Times New Roman"/>
          <w:sz w:val="20"/>
        </w:rPr>
        <w:t xml:space="preserve"> </w:t>
      </w:r>
      <w:r>
        <w:rPr>
          <w:rFonts w:ascii="Times New Roman" w:hAnsi="Times New Roman"/>
          <w:b/>
          <w:sz w:val="20"/>
        </w:rPr>
        <w:t>A</w:t>
      </w:r>
      <w:r>
        <w:rPr>
          <w:rFonts w:ascii="Times New Roman" w:hAnsi="Times New Roman"/>
          <w:sz w:val="20"/>
        </w:rPr>
        <w:t xml:space="preserve">, registered in the name of the Depositary or its nominee, duly executed by the Company and authenticated by the Trustee, and deposited with the Trustee, as custodian for the Depositary. </w:t>
      </w:r>
    </w:p>
    <w:p>
      <w:pPr>
        <w:pStyle w:val="TextBody"/>
        <w:bidi w:val="0"/>
        <w:spacing w:before="240" w:after="0"/>
        <w:jc w:val="left"/>
        <w:rPr/>
      </w:pPr>
      <w:r>
        <w:rPr/>
        <w:t>“</w:t>
      </w:r>
      <w:r>
        <w:rPr>
          <w:rFonts w:ascii="Times New Roman" w:hAnsi="Times New Roman"/>
          <w:b/>
          <w:sz w:val="20"/>
        </w:rPr>
        <w:t>Global Note Legend</w:t>
      </w:r>
      <w:r>
        <w:rPr>
          <w:rFonts w:ascii="Times New Roman" w:hAnsi="Times New Roman"/>
          <w:sz w:val="20"/>
        </w:rPr>
        <w:t xml:space="preserve">” means a legend substantially in the form set forth in </w:t>
      </w:r>
      <w:r>
        <w:rPr>
          <w:rFonts w:ascii="Times New Roman" w:hAnsi="Times New Roman"/>
          <w:b/>
          <w:sz w:val="20"/>
        </w:rPr>
        <w:t>Exhibit B-2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Holder</w:t>
      </w:r>
      <w:r>
        <w:rPr>
          <w:rFonts w:ascii="Times New Roman" w:hAnsi="Times New Roman"/>
          <w:sz w:val="20"/>
        </w:rPr>
        <w:t xml:space="preserve">” means a person in whose name a Note is registered on the Registrar’s books.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Indenture, as amended or supplemented from time to time. </w:t>
      </w:r>
    </w:p>
    <w:p>
      <w:pPr>
        <w:pStyle w:val="TextBody"/>
        <w:bidi w:val="0"/>
        <w:spacing w:before="240" w:after="0"/>
        <w:jc w:val="left"/>
        <w:rPr/>
      </w:pPr>
      <w:r>
        <w:rPr/>
        <w:t>“</w:t>
      </w:r>
      <w:r>
        <w:rPr>
          <w:rFonts w:ascii="Times New Roman" w:hAnsi="Times New Roman"/>
          <w:b/>
          <w:sz w:val="20"/>
        </w:rPr>
        <w:t>Initial Purchasers</w:t>
      </w:r>
      <w:r>
        <w:rPr>
          <w:rFonts w:ascii="Times New Roman" w:hAnsi="Times New Roman"/>
          <w:sz w:val="20"/>
        </w:rPr>
        <w:t xml:space="preserve">” means the several initial Purchasers named in Schedule A to the Purchase Agreement.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means, with respect to a Note, each February 1 and August 1 of each year, commencing on February 1, 2027 (or commencing on such other date specified in the certificate representing such Note). For the avoidance of doubt, the Maturity Date is an Interest Payment Date. </w:t>
      </w:r>
    </w:p>
    <w:p>
      <w:pPr>
        <w:pStyle w:val="TextBody"/>
        <w:bidi w:val="0"/>
        <w:spacing w:before="240" w:after="0"/>
        <w:jc w:val="left"/>
        <w:rPr/>
      </w:pPr>
      <w:r>
        <w:rPr/>
        <w:t>“</w:t>
      </w:r>
      <w:r>
        <w:rPr>
          <w:rFonts w:ascii="Times New Roman" w:hAnsi="Times New Roman"/>
          <w:b/>
          <w:sz w:val="20"/>
        </w:rPr>
        <w:t>Internal Revenue Code</w:t>
      </w:r>
      <w:r>
        <w:rPr>
          <w:rFonts w:ascii="Times New Roman" w:hAnsi="Times New Roman"/>
          <w:sz w:val="20"/>
        </w:rPr>
        <w:t xml:space="preserve">” means the United States Internal Revenue Code of 1986, as amended. </w:t>
      </w:r>
    </w:p>
    <w:p>
      <w:pPr>
        <w:pStyle w:val="TextBody"/>
        <w:bidi w:val="0"/>
        <w:spacing w:before="240" w:after="0"/>
        <w:jc w:val="left"/>
        <w:rPr/>
      </w:pPr>
      <w:r>
        <w:rPr/>
        <w:t>“</w:t>
      </w:r>
      <w:r>
        <w:rPr>
          <w:rFonts w:ascii="Times New Roman" w:hAnsi="Times New Roman"/>
          <w:b/>
          <w:sz w:val="20"/>
        </w:rPr>
        <w:t>Issue Date</w:t>
      </w:r>
      <w:r>
        <w:rPr>
          <w:rFonts w:ascii="Times New Roman" w:hAnsi="Times New Roman"/>
          <w:sz w:val="20"/>
        </w:rPr>
        <w:t xml:space="preserve">” means July 7, 2026. </w:t>
      </w:r>
    </w:p>
    <w:p>
      <w:pPr>
        <w:pStyle w:val="TextBody"/>
        <w:bidi w:val="0"/>
        <w:spacing w:before="240" w:after="0"/>
        <w:jc w:val="left"/>
        <w:rPr/>
      </w:pPr>
      <w:r>
        <w:rPr/>
        <w:t>“</w:t>
      </w:r>
      <w:r>
        <w:rPr>
          <w:rFonts w:ascii="Times New Roman" w:hAnsi="Times New Roman"/>
          <w:b/>
          <w:sz w:val="20"/>
        </w:rPr>
        <w:t>Last Original Issue Date</w:t>
      </w:r>
      <w:r>
        <w:rPr>
          <w:rFonts w:ascii="Times New Roman" w:hAnsi="Times New Roman"/>
          <w:sz w:val="20"/>
        </w:rPr>
        <w:t xml:space="preserve">”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 </w:t>
      </w:r>
    </w:p>
    <w:p>
      <w:pPr>
        <w:pStyle w:val="TextBody"/>
        <w:bidi w:val="0"/>
        <w:spacing w:before="240" w:after="0"/>
        <w:jc w:val="left"/>
        <w:rPr/>
      </w:pPr>
      <w:r>
        <w:rPr/>
        <w:t>“</w:t>
      </w:r>
      <w:r>
        <w:rPr>
          <w:rFonts w:ascii="Times New Roman" w:hAnsi="Times New Roman"/>
          <w:b/>
          <w:sz w:val="20"/>
        </w:rPr>
        <w:t>Last Reported Sale Price</w:t>
      </w:r>
      <w:r>
        <w:rPr>
          <w:rFonts w:ascii="Times New Roman" w:hAnsi="Times New Roman"/>
          <w:sz w:val="20"/>
        </w:rPr>
        <w:t xml:space="preserve">” of the Common Shares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Shares on such Trading Day as reported in composite transactions for the principal U.S. national or regional securities exchange on which the Common Shares are then listed. If the Common Shares are not listed on a U.S. national or regional securities exchange on such Trading Day, then the Last Reported Sale Price will be the last quoted bid price per Common Share on such Trading Day in the over-the-counter market as reported by OTC Markets Group Inc. or a similar organization. If the Common Shares are not so quoted on such Trading Day, then the Last Reported Sale Price will be the average of the mid-point of the last bid price and the last ask price per Common Share on such Trading Day from a nationally recognized independent investment banking firm selected by the Company, which may be any of the Initial Purchasers. Neither the Trustee nor the Conversion Agent will have any duty to determine the Last Reported Sale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Make-Whole Fundamental Change</w:t>
      </w:r>
      <w:r>
        <w:rPr>
          <w:rFonts w:ascii="Times New Roman" w:hAnsi="Times New Roman"/>
          <w:sz w:val="20"/>
        </w:rPr>
        <w:t xml:space="preserve">” means (A) either (i) a Fundamental Change (determined after giving effect to the proviso immediately after </w:t>
      </w:r>
      <w:r>
        <w:rPr>
          <w:rFonts w:ascii="Times New Roman" w:hAnsi="Times New Roman"/>
          <w:b/>
          <w:sz w:val="20"/>
        </w:rPr>
        <w:t>clause (C)</w:t>
      </w:r>
      <w:r>
        <w:rPr>
          <w:rFonts w:ascii="Times New Roman" w:hAnsi="Times New Roman"/>
          <w:sz w:val="20"/>
        </w:rPr>
        <w:t xml:space="preserve"> of the definition thereof, but without regard to the proviso to </w:t>
      </w:r>
      <w:r>
        <w:rPr>
          <w:rFonts w:ascii="Times New Roman" w:hAnsi="Times New Roman"/>
          <w:b/>
          <w:sz w:val="20"/>
        </w:rPr>
        <w:t>clause (B)(ii)</w:t>
      </w:r>
      <w:r>
        <w:rPr>
          <w:rFonts w:ascii="Times New Roman" w:hAnsi="Times New Roman"/>
          <w:sz w:val="20"/>
        </w:rPr>
        <w:t xml:space="preserve"> of such definition); or (ii) a Termination of Trading; or (B) the sending of a Redemption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4.03(H)</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sending of a Redemption Notice for a Provisional Redemption will constitute a Make-Whole Fundamental Change only with respect to the Notes called (or deemed to be called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4.03(L)</w:t>
      </w:r>
      <w:r>
        <w:rPr>
          <w:rFonts w:ascii="Times New Roman" w:hAnsi="Times New Roman"/>
          <w:sz w:val="20"/>
        </w:rPr>
        <w:t xml:space="preserve">) for Provisional Redemption pursuant to such Redemption Notice and not with respect to any other Notes. </w:t>
      </w:r>
    </w:p>
    <w:p>
      <w:pPr>
        <w:pStyle w:val="TextBody"/>
        <w:bidi w:val="0"/>
        <w:spacing w:before="240" w:after="0"/>
        <w:jc w:val="left"/>
        <w:rPr/>
      </w:pPr>
      <w:r>
        <w:rPr/>
        <w:t>“</w:t>
      </w:r>
      <w:r>
        <w:rPr>
          <w:rFonts w:ascii="Times New Roman" w:hAnsi="Times New Roman"/>
          <w:b/>
          <w:sz w:val="20"/>
        </w:rPr>
        <w:t>Make-Whole Fundamental Change Conversion Period</w:t>
      </w:r>
      <w:r>
        <w:rPr>
          <w:rFonts w:ascii="Times New Roman" w:hAnsi="Times New Roman"/>
          <w:sz w:val="20"/>
        </w:rPr>
        <w:t xml:space="preserve">” has the following meaning: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 Make-Whole Fundamental Change pursuant to </w:t>
      </w:r>
      <w:r>
        <w:rPr>
          <w:rFonts w:ascii="Times New Roman" w:hAnsi="Times New Roman"/>
          <w:b/>
          <w:sz w:val="20"/>
        </w:rPr>
        <w:t>clause (A)</w:t>
      </w:r>
      <w:r>
        <w:rPr>
          <w:rFonts w:ascii="Times New Roman" w:hAnsi="Times New Roman"/>
          <w:sz w:val="20"/>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or if such Make-Whole Fundamental Change is a Termination of Trading in connection with which the Company has elected to offer to repurchase the Notes as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to, but excluding, the related Fundamental Change Repurchase Date (including a Fundamental Change Repurchase Date that the Company has specified in connection with such an election));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a Make-Whole Fundamental Change pursuant to </w:t>
      </w:r>
      <w:r>
        <w:rPr>
          <w:rFonts w:ascii="Times New Roman" w:hAnsi="Times New Roman"/>
          <w:b/>
          <w:sz w:val="20"/>
        </w:rPr>
        <w:t>clause (B)</w:t>
      </w:r>
      <w:r>
        <w:rPr>
          <w:rFonts w:ascii="Times New Roman" w:hAnsi="Times New Roman"/>
          <w:sz w:val="20"/>
        </w:rPr>
        <w:t xml:space="preserve"> of the definition thereof, the period from, and including, the Redemption Notice Date for the related Redemption to, and including, the second (2nd) Business Day immediately before the related Redemption Date;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Conversion Date for the Conversion of a Note that has been called (or deemed to be called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4.03(L)</w:t>
      </w:r>
      <w:r>
        <w:rPr>
          <w:rFonts w:ascii="Times New Roman" w:hAnsi="Times New Roman"/>
          <w:sz w:val="20"/>
        </w:rPr>
        <w:t xml:space="preserve">) for Redemption occurs during the Make-Whole Fundamental Change Conversion Period for both a Make-Whole Fundamental Change occurring pursuant to </w:t>
      </w:r>
      <w:r>
        <w:rPr>
          <w:rFonts w:ascii="Times New Roman" w:hAnsi="Times New Roman"/>
          <w:b/>
          <w:sz w:val="20"/>
        </w:rPr>
        <w:t>clause (A)</w:t>
      </w:r>
      <w:r>
        <w:rPr>
          <w:rFonts w:ascii="Times New Roman" w:hAnsi="Times New Roman"/>
          <w:sz w:val="20"/>
        </w:rPr>
        <w:t xml:space="preserve"> of the definition of “Make-Whole Fundamental Change” and a Make-Whole Fundamental Change resulting from such Redemption pursuant to </w:t>
      </w:r>
      <w:r>
        <w:rPr>
          <w:rFonts w:ascii="Times New Roman" w:hAnsi="Times New Roman"/>
          <w:b/>
          <w:sz w:val="20"/>
        </w:rPr>
        <w:t>clause (B)</w:t>
      </w:r>
      <w:r>
        <w:rPr>
          <w:rFonts w:ascii="Times New Roman" w:hAnsi="Times New Roman"/>
          <w:sz w:val="20"/>
        </w:rPr>
        <w:t xml:space="preserve"> of such definition, then,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 </w:t>
      </w:r>
    </w:p>
    <w:p>
      <w:pPr>
        <w:pStyle w:val="TextBody"/>
        <w:bidi w:val="0"/>
        <w:spacing w:before="240" w:after="0"/>
        <w:jc w:val="left"/>
        <w:rPr/>
      </w:pPr>
      <w:r>
        <w:rPr/>
        <w:t>“</w:t>
      </w:r>
      <w:r>
        <w:rPr>
          <w:rFonts w:ascii="Times New Roman" w:hAnsi="Times New Roman"/>
          <w:b/>
          <w:sz w:val="20"/>
        </w:rPr>
        <w:t>Make-Whole Fundamental Change Effective Date</w:t>
      </w:r>
      <w:r>
        <w:rPr>
          <w:rFonts w:ascii="Times New Roman" w:hAnsi="Times New Roman"/>
          <w:sz w:val="20"/>
        </w:rPr>
        <w:t xml:space="preserve">” means (A) with respect to a Make-Whole Fundamental Change pursuant to </w:t>
      </w:r>
      <w:r>
        <w:rPr>
          <w:rFonts w:ascii="Times New Roman" w:hAnsi="Times New Roman"/>
          <w:b/>
          <w:sz w:val="20"/>
        </w:rPr>
        <w:t>clause (A)</w:t>
      </w:r>
      <w:r>
        <w:rPr>
          <w:rFonts w:ascii="Times New Roman" w:hAnsi="Times New Roman"/>
          <w:sz w:val="20"/>
        </w:rPr>
        <w:t xml:space="preserve"> of the definition thereof, the date on which such Make-Whole Fundamental Change occurs or becomes effective; and (B) with respect to a Make-Whole Fundamental Change pursuant to </w:t>
      </w:r>
      <w:r>
        <w:rPr>
          <w:rFonts w:ascii="Times New Roman" w:hAnsi="Times New Roman"/>
          <w:b/>
          <w:sz w:val="20"/>
        </w:rPr>
        <w:t>clause (B)</w:t>
      </w:r>
      <w:r>
        <w:rPr>
          <w:rFonts w:ascii="Times New Roman" w:hAnsi="Times New Roman"/>
          <w:sz w:val="20"/>
        </w:rPr>
        <w:t xml:space="preserve"> of the definition thereof, the applicable Redemption Notice Date. </w:t>
      </w:r>
    </w:p>
    <w:p>
      <w:pPr>
        <w:pStyle w:val="TextBody"/>
        <w:bidi w:val="0"/>
        <w:spacing w:before="240" w:after="0"/>
        <w:jc w:val="left"/>
        <w:rPr/>
      </w:pPr>
      <w:r>
        <w:rPr/>
        <w:t>“</w:t>
      </w:r>
      <w:r>
        <w:rPr>
          <w:rFonts w:ascii="Times New Roman" w:hAnsi="Times New Roman"/>
          <w:b/>
          <w:sz w:val="20"/>
        </w:rPr>
        <w:t>Market Disruption Event</w:t>
      </w:r>
      <w:r>
        <w:rPr>
          <w:rFonts w:ascii="Times New Roman" w:hAnsi="Times New Roman"/>
          <w:sz w:val="20"/>
        </w:rPr>
        <w:t xml:space="preserve">” means, with respect to any date, the occurrence or existence, during the one-half hour period ending at the scheduled close of trading on such date on the principal U.S. national or regional securities exchange or other market on which the Common Shares are listed for trading or trades, of any material suspension or limitation imposed on trading (by reason of movements in price exceeding limits permitted by the relevant exchange or otherwise) in the Common Shares or in any options contracts or futures contracts relating to the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Maturity Date</w:t>
      </w:r>
      <w:r>
        <w:rPr>
          <w:rFonts w:ascii="Times New Roman" w:hAnsi="Times New Roman"/>
          <w:sz w:val="20"/>
        </w:rPr>
        <w:t xml:space="preserve">” means August 1, 2031. </w:t>
      </w:r>
    </w:p>
    <w:p>
      <w:pPr>
        <w:pStyle w:val="TextBody"/>
        <w:bidi w:val="0"/>
        <w:spacing w:before="240" w:after="0"/>
        <w:jc w:val="left"/>
        <w:rPr/>
      </w:pPr>
      <w:r>
        <w:rPr/>
        <w:t>“</w:t>
      </w:r>
      <w:r>
        <w:rPr>
          <w:rFonts w:ascii="Times New Roman" w:hAnsi="Times New Roman"/>
          <w:b/>
          <w:sz w:val="20"/>
        </w:rPr>
        <w:t>Non-Affiliate Legend</w:t>
      </w:r>
      <w:r>
        <w:rPr>
          <w:rFonts w:ascii="Times New Roman" w:hAnsi="Times New Roman"/>
          <w:sz w:val="20"/>
        </w:rPr>
        <w:t xml:space="preserve">” means a legend substantially in the form set forth in </w:t>
      </w:r>
      <w:r>
        <w:rPr>
          <w:rFonts w:ascii="Times New Roman" w:hAnsi="Times New Roman"/>
          <w:b/>
          <w:sz w:val="20"/>
        </w:rPr>
        <w:t>Exhibit B-3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Note Agent</w:t>
      </w:r>
      <w:r>
        <w:rPr>
          <w:rFonts w:ascii="Times New Roman" w:hAnsi="Times New Roman"/>
          <w:sz w:val="20"/>
        </w:rPr>
        <w:t xml:space="preserve">” means any Registrar, Paying Agent or Conversion Agent.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means the 4.50% Convertible Senior Notes due 2031 issued by the Company pursuant to this Indenture. </w:t>
      </w:r>
    </w:p>
    <w:p>
      <w:pPr>
        <w:pStyle w:val="TextBody"/>
        <w:bidi w:val="0"/>
        <w:spacing w:before="240" w:after="0"/>
        <w:jc w:val="left"/>
        <w:rPr/>
      </w:pPr>
      <w:r>
        <w:rPr/>
        <w:t>“</w:t>
      </w:r>
      <w:r>
        <w:rPr>
          <w:rFonts w:ascii="Times New Roman" w:hAnsi="Times New Roman"/>
          <w:b/>
          <w:sz w:val="20"/>
        </w:rPr>
        <w:t>Observation Period</w:t>
      </w:r>
      <w:r>
        <w:rPr>
          <w:rFonts w:ascii="Times New Roman" w:hAnsi="Times New Roman"/>
          <w:sz w:val="20"/>
        </w:rPr>
        <w:t xml:space="preserve">” means, with respect to any Note to be Converted, (A) subject to </w:t>
      </w:r>
      <w:r>
        <w:rPr>
          <w:rFonts w:ascii="Times New Roman" w:hAnsi="Times New Roman"/>
          <w:b/>
          <w:sz w:val="20"/>
        </w:rPr>
        <w:t>clause (B)</w:t>
      </w:r>
      <w:r>
        <w:rPr>
          <w:rFonts w:ascii="Times New Roman" w:hAnsi="Times New Roman"/>
          <w:sz w:val="20"/>
        </w:rPr>
        <w:t xml:space="preserve"> below, if the Conversion Date for such Note occurs on or before May 1, 2031, the sixty (60) consecutive VWAP Trading Days beginning on, and including, the third (3rd) VWAP Trading Day immediately after such Conversion Date; (B) if such Conversion Date occurs on or after the date the Company has sent a Redemption Notice calling all or any Notes for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4.03(H)</w:t>
      </w:r>
      <w:r>
        <w:rPr>
          <w:rFonts w:ascii="Times New Roman" w:hAnsi="Times New Roman"/>
          <w:sz w:val="20"/>
        </w:rPr>
        <w:t xml:space="preserve"> and on or before the second (2nd) Business Day before the related Redemption Date, the sixty (60) consecutive VWAP Trading Days beginning on, and including, the sixty-first (61st) Scheduled Trading Day immediately before such Redemption Date; and (C) subject to </w:t>
      </w:r>
      <w:r>
        <w:rPr>
          <w:rFonts w:ascii="Times New Roman" w:hAnsi="Times New Roman"/>
          <w:b/>
          <w:sz w:val="20"/>
        </w:rPr>
        <w:t>clause (B)</w:t>
      </w:r>
      <w:r>
        <w:rPr>
          <w:rFonts w:ascii="Times New Roman" w:hAnsi="Times New Roman"/>
          <w:sz w:val="20"/>
        </w:rPr>
        <w:t xml:space="preserve"> above, if such Conversion Date occurs after May 1, 2031, the sixty (60) consecutive VWAP Trading Days beginning on, and including, the sixty-first (61st) Scheduled Trading Day immediately before the Maturity Date. </w:t>
      </w:r>
    </w:p>
    <w:p>
      <w:pPr>
        <w:pStyle w:val="TextBody"/>
        <w:bidi w:val="0"/>
        <w:spacing w:before="240" w:after="0"/>
        <w:jc w:val="left"/>
        <w:rPr/>
      </w:pPr>
      <w:r>
        <w:rPr/>
        <w:t>“</w:t>
      </w:r>
      <w:r>
        <w:rPr>
          <w:rFonts w:ascii="Times New Roman" w:hAnsi="Times New Roman"/>
          <w:b/>
          <w:sz w:val="20"/>
        </w:rPr>
        <w:t>Officer</w:t>
      </w:r>
      <w:r>
        <w:rPr>
          <w:rFonts w:ascii="Times New Roman" w:hAnsi="Times New Roman"/>
          <w:sz w:val="20"/>
        </w:rPr>
        <w:t xml:space="preserve">” means the Chairman of the Board of Directors, the Chief Executive Officer, the President, the Chief Operating Officer, the Chief Financial Officer, the Treasurer, any Assistant Treasurer, the Controller, the Secretary or any Vice-President of the Company.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that is signed on behalf of the Company by one (1) of its Officers and that meets the requirements of </w:t>
      </w: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Open of Business</w:t>
      </w:r>
      <w:r>
        <w:rPr>
          <w:rFonts w:ascii="Times New Roman" w:hAnsi="Times New Roman"/>
          <w:sz w:val="20"/>
        </w:rPr>
        <w:t xml:space="preserve">” means 9:00 a.m., New York City time.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an opinion, from legal counsel (including an employee of, or counsel to, the Company or any of its Subsidiaries) reasonably acceptable to the Trustee, that meets the requirements of </w:t>
      </w: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subject to customary qualifications and exclusions.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or “</w:t>
      </w:r>
      <w:r>
        <w:rPr>
          <w:rFonts w:ascii="Times New Roman" w:hAnsi="Times New Roman"/>
          <w:b/>
          <w:sz w:val="20"/>
        </w:rPr>
        <w:t>person</w:t>
      </w:r>
      <w:r>
        <w:rPr>
          <w:rFonts w:ascii="Times New Roman" w:hAnsi="Times New Roman"/>
          <w:sz w:val="20"/>
        </w:rPr>
        <w:t xml:space="preserve">”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Physical Note</w:t>
      </w:r>
      <w:r>
        <w:rPr>
          <w:rFonts w:ascii="Times New Roman" w:hAnsi="Times New Roman"/>
          <w:sz w:val="20"/>
        </w:rPr>
        <w:t xml:space="preserve">” means a Note (other than a Global Note) that is represented by a certificate substantially in the form set forth in </w:t>
      </w:r>
      <w:r>
        <w:rPr>
          <w:rFonts w:ascii="Times New Roman" w:hAnsi="Times New Roman"/>
          <w:b/>
          <w:sz w:val="20"/>
        </w:rPr>
        <w:t>Exhibit</w:t>
      </w:r>
      <w:r>
        <w:rPr>
          <w:rFonts w:ascii="Times New Roman" w:hAnsi="Times New Roman"/>
          <w:sz w:val="20"/>
        </w:rPr>
        <w:t xml:space="preserve"> </w:t>
      </w:r>
      <w:r>
        <w:rPr>
          <w:rFonts w:ascii="Times New Roman" w:hAnsi="Times New Roman"/>
          <w:b/>
          <w:sz w:val="20"/>
        </w:rPr>
        <w:t>A</w:t>
      </w:r>
      <w:r>
        <w:rPr>
          <w:rFonts w:ascii="Times New Roman" w:hAnsi="Times New Roman"/>
          <w:sz w:val="20"/>
        </w:rPr>
        <w:t xml:space="preserve">, registered in the name of the Holder of such Note and duly executed by the Company and authenticated by the Trustee. </w:t>
      </w:r>
    </w:p>
    <w:p>
      <w:pPr>
        <w:pStyle w:val="TextBody"/>
        <w:bidi w:val="0"/>
        <w:spacing w:before="240" w:after="0"/>
        <w:jc w:val="left"/>
        <w:rPr/>
      </w:pPr>
      <w:r>
        <w:rPr/>
        <w:t>“</w:t>
      </w:r>
      <w:r>
        <w:rPr>
          <w:rFonts w:ascii="Times New Roman" w:hAnsi="Times New Roman"/>
          <w:b/>
          <w:sz w:val="20"/>
        </w:rPr>
        <w:t>Provisional Redemption</w:t>
      </w:r>
      <w:r>
        <w:rPr>
          <w:rFonts w:ascii="Times New Roman" w:hAnsi="Times New Roman"/>
          <w:sz w:val="20"/>
        </w:rPr>
        <w:t xml:space="preserve">” means the repurchase of any Note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Purchase Agreement</w:t>
      </w:r>
      <w:r>
        <w:rPr>
          <w:rFonts w:ascii="Times New Roman" w:hAnsi="Times New Roman"/>
          <w:sz w:val="20"/>
        </w:rPr>
        <w:t xml:space="preserve">” means that certain Purchase Agreement, dated July 1, 2026, between the Company and the representative of the Initial Purchasers. </w:t>
      </w:r>
    </w:p>
    <w:p>
      <w:pPr>
        <w:pStyle w:val="TextBody"/>
        <w:bidi w:val="0"/>
        <w:spacing w:before="240" w:after="0"/>
        <w:jc w:val="left"/>
        <w:rPr/>
      </w:pPr>
      <w:r>
        <w:rPr/>
        <w:t>“</w:t>
      </w:r>
      <w:r>
        <w:rPr>
          <w:rFonts w:ascii="Times New Roman" w:hAnsi="Times New Roman"/>
          <w:b/>
          <w:sz w:val="20"/>
        </w:rPr>
        <w:t>Redemption</w:t>
      </w:r>
      <w:r>
        <w:rPr>
          <w:rFonts w:ascii="Times New Roman" w:hAnsi="Times New Roman"/>
          <w:sz w:val="20"/>
        </w:rPr>
        <w:t xml:space="preserve">” means a Provisional Redemption, a Tax Redemption or a Cleanup Redemption. </w:t>
      </w:r>
    </w:p>
    <w:p>
      <w:pPr>
        <w:pStyle w:val="TextBody"/>
        <w:bidi w:val="0"/>
        <w:spacing w:before="240" w:after="0"/>
        <w:jc w:val="left"/>
        <w:rPr/>
      </w:pPr>
      <w:r>
        <w:rPr/>
        <w:t>“</w:t>
      </w:r>
      <w:r>
        <w:rPr>
          <w:rFonts w:ascii="Times New Roman" w:hAnsi="Times New Roman"/>
          <w:b/>
          <w:sz w:val="20"/>
        </w:rPr>
        <w:t>Redemption Date</w:t>
      </w:r>
      <w:r>
        <w:rPr>
          <w:rFonts w:ascii="Times New Roman" w:hAnsi="Times New Roman"/>
          <w:sz w:val="20"/>
        </w:rPr>
        <w:t xml:space="preserve">” means the date fixed,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4.03(F)</w:t>
      </w:r>
      <w:r>
        <w:rPr>
          <w:rFonts w:ascii="Times New Roman" w:hAnsi="Times New Roman"/>
          <w:sz w:val="20"/>
        </w:rPr>
        <w:t xml:space="preserve">, for the settlement of the repurchase of any Notes by the Company pursuant to a Redemption. </w:t>
      </w:r>
    </w:p>
    <w:p>
      <w:pPr>
        <w:pStyle w:val="TextBody"/>
        <w:bidi w:val="0"/>
        <w:spacing w:before="240" w:after="0"/>
        <w:jc w:val="left"/>
        <w:rPr/>
      </w:pPr>
      <w:r>
        <w:rPr/>
        <w:t>“</w:t>
      </w:r>
      <w:r>
        <w:rPr>
          <w:rFonts w:ascii="Times New Roman" w:hAnsi="Times New Roman"/>
          <w:b/>
          <w:sz w:val="20"/>
        </w:rPr>
        <w:t>Redemption Notice Date</w:t>
      </w:r>
      <w:r>
        <w:rPr>
          <w:rFonts w:ascii="Times New Roman" w:hAnsi="Times New Roman"/>
          <w:sz w:val="20"/>
        </w:rPr>
        <w:t xml:space="preserve">” means, with respect to a Redemption, the date on which the Company sends the Redemption Notice for such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Redemption Price</w:t>
      </w:r>
      <w:r>
        <w:rPr>
          <w:rFonts w:ascii="Times New Roman" w:hAnsi="Times New Roman"/>
          <w:sz w:val="20"/>
        </w:rPr>
        <w:t xml:space="preserve">” means the cash price payable by the Company to redeem any Note upon its Redemption, calculated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Regular Record Date</w:t>
      </w:r>
      <w:r>
        <w:rPr>
          <w:rFonts w:ascii="Times New Roman" w:hAnsi="Times New Roman"/>
          <w:sz w:val="20"/>
        </w:rPr>
        <w:t xml:space="preserve">” has the following meaning with respect to an Interest Payment Date: (A) if such Interest Payment Date occurs on February 1, the immediately preceding January 15 (whether or not a Business Day); and (B) if such Interest Payment Date occurs on August 1, the immediately preceding July 15 (whether or not a Business Day). </w:t>
      </w:r>
    </w:p>
    <w:p>
      <w:pPr>
        <w:pStyle w:val="TextBody"/>
        <w:bidi w:val="0"/>
        <w:spacing w:before="240" w:after="0"/>
        <w:jc w:val="left"/>
        <w:rPr/>
      </w:pPr>
      <w:r>
        <w:rPr/>
        <w:t>“</w:t>
      </w:r>
      <w:r>
        <w:rPr>
          <w:rFonts w:ascii="Times New Roman" w:hAnsi="Times New Roman"/>
          <w:b/>
          <w:sz w:val="20"/>
        </w:rPr>
        <w:t>Repurchase Upon Fundamental Change</w:t>
      </w:r>
      <w:r>
        <w:rPr>
          <w:rFonts w:ascii="Times New Roman" w:hAnsi="Times New Roman"/>
          <w:sz w:val="20"/>
        </w:rPr>
        <w:t xml:space="preserve">” means the repurchase of any Note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 </w:t>
      </w:r>
    </w:p>
    <w:p>
      <w:pPr>
        <w:pStyle w:val="TextBody"/>
        <w:bidi w:val="0"/>
        <w:spacing w:before="240" w:after="0"/>
        <w:jc w:val="left"/>
        <w:rPr/>
      </w:pPr>
      <w:r>
        <w:rPr/>
        <w:t>“</w:t>
      </w:r>
      <w:r>
        <w:rPr>
          <w:rFonts w:ascii="Times New Roman" w:hAnsi="Times New Roman"/>
          <w:b/>
          <w:sz w:val="20"/>
        </w:rPr>
        <w:t>Restricted Note Legend</w:t>
      </w:r>
      <w:r>
        <w:rPr>
          <w:rFonts w:ascii="Times New Roman" w:hAnsi="Times New Roman"/>
          <w:sz w:val="20"/>
        </w:rPr>
        <w:t xml:space="preserve">” means a legend substantially in the form set forth in </w:t>
      </w:r>
      <w:r>
        <w:rPr>
          <w:rFonts w:ascii="Times New Roman" w:hAnsi="Times New Roman"/>
          <w:b/>
          <w:sz w:val="20"/>
        </w:rPr>
        <w:t>Exhibit B-1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Restricted Stock Legend</w:t>
      </w:r>
      <w:r>
        <w:rPr>
          <w:rFonts w:ascii="Times New Roman" w:hAnsi="Times New Roman"/>
          <w:sz w:val="20"/>
        </w:rPr>
        <w:t xml:space="preserve">”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under the Securities Act (or any successor rule thereto), as the same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Rule 144A</w:t>
      </w:r>
      <w:r>
        <w:rPr>
          <w:rFonts w:ascii="Times New Roman" w:hAnsi="Times New Roman"/>
          <w:sz w:val="20"/>
        </w:rPr>
        <w:t xml:space="preserve">” means Rule 144A under the Securities Act (or any successor rule thereto), as the same may be amended from time to time. </w:t>
      </w:r>
    </w:p>
    <w:p>
      <w:pPr>
        <w:pStyle w:val="TextBody"/>
        <w:bidi w:val="0"/>
        <w:spacing w:before="240" w:after="0"/>
        <w:jc w:val="left"/>
        <w:rPr/>
      </w:pPr>
      <w:r>
        <w:rPr/>
        <w:t>“</w:t>
      </w:r>
      <w:r>
        <w:rPr>
          <w:rFonts w:ascii="Times New Roman" w:hAnsi="Times New Roman"/>
          <w:b/>
          <w:sz w:val="20"/>
        </w:rPr>
        <w:t>Scheduled Trading Day</w:t>
      </w:r>
      <w:r>
        <w:rPr>
          <w:rFonts w:ascii="Times New Roman" w:hAnsi="Times New Roman"/>
          <w:sz w:val="20"/>
        </w:rPr>
        <w:t xml:space="preserve">” means any day that is scheduled to be a Trading Day on the principal U.S. national or regional securities exchange on which the Common Shares are then listed or, if the Common Shares are not then listed on a U.S. national or regional securities exchange, on the principal other market on which the Common Shares are then traded. If the Common Shares are not so listed or traded, then “Scheduled Trading Day” means a Business Day.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w:t>
      </w:r>
    </w:p>
    <w:p>
      <w:pPr>
        <w:pStyle w:val="TextBody"/>
        <w:bidi w:val="0"/>
        <w:spacing w:before="240" w:after="0"/>
        <w:jc w:val="left"/>
        <w:rPr/>
      </w:pPr>
      <w:r>
        <w:rPr/>
        <w:t>“</w:t>
      </w:r>
      <w:r>
        <w:rPr>
          <w:rFonts w:ascii="Times New Roman" w:hAnsi="Times New Roman"/>
          <w:b/>
          <w:sz w:val="20"/>
        </w:rPr>
        <w:t>Security</w:t>
      </w:r>
      <w:r>
        <w:rPr>
          <w:rFonts w:ascii="Times New Roman" w:hAnsi="Times New Roman"/>
          <w:sz w:val="20"/>
        </w:rPr>
        <w:t xml:space="preserve">” means any Note or Conversion Share. </w:t>
      </w:r>
    </w:p>
    <w:p>
      <w:pPr>
        <w:pStyle w:val="TextBody"/>
        <w:bidi w:val="0"/>
        <w:spacing w:before="240" w:after="0"/>
        <w:jc w:val="left"/>
        <w:rPr/>
      </w:pPr>
      <w:r>
        <w:rPr/>
        <w:t>“</w:t>
      </w:r>
      <w:r>
        <w:rPr>
          <w:rFonts w:ascii="Times New Roman" w:hAnsi="Times New Roman"/>
          <w:b/>
          <w:sz w:val="20"/>
        </w:rPr>
        <w:t>Settlement Method</w:t>
      </w:r>
      <w:r>
        <w:rPr>
          <w:rFonts w:ascii="Times New Roman" w:hAnsi="Times New Roman"/>
          <w:sz w:val="20"/>
        </w:rPr>
        <w:t xml:space="preserve">” means Cash Settlement, Physical Settlement or Combination Settlement.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has the following meaning for any Make-Whole Fundamental Change: (A) if the holders of Common Shares receive only cash in consideration for their Common Shares in such Make-Whole Fundamental Change and such Make-Whole Fundamental Change is pursuant to </w:t>
      </w:r>
      <w:r>
        <w:rPr>
          <w:rFonts w:ascii="Times New Roman" w:hAnsi="Times New Roman"/>
          <w:b/>
          <w:sz w:val="20"/>
        </w:rPr>
        <w:t>clause (B)</w:t>
      </w:r>
      <w:r>
        <w:rPr>
          <w:rFonts w:ascii="Times New Roman" w:hAnsi="Times New Roman"/>
          <w:sz w:val="20"/>
        </w:rPr>
        <w:t xml:space="preserve"> of the definition of “Fundamental Change,” then the Share Price is the amount of cash paid per Common Share in such Make-Whole Fundamental Change; and (B) in all other cases, the Share Price is the average of the Last Reported Sale Prices per Common Share for the five (5) consecutive Trading Days ending on, and including, the Trading Day immediately before the Make-Whole Fundamental Change Effective Date of such Make-Whole Fundamental Change. </w:t>
      </w:r>
    </w:p>
    <w:p>
      <w:pPr>
        <w:pStyle w:val="TextBody"/>
        <w:bidi w:val="0"/>
        <w:spacing w:before="240" w:after="0"/>
        <w:jc w:val="left"/>
        <w:rPr/>
      </w:pPr>
      <w:r>
        <w:rPr/>
        <w:t>“</w:t>
      </w:r>
      <w:r>
        <w:rPr>
          <w:rFonts w:ascii="Times New Roman" w:hAnsi="Times New Roman"/>
          <w:b/>
          <w:sz w:val="20"/>
        </w:rPr>
        <w:t>Shoe Option</w:t>
      </w:r>
      <w:r>
        <w:rPr>
          <w:rFonts w:ascii="Times New Roman" w:hAnsi="Times New Roman"/>
          <w:sz w:val="20"/>
        </w:rPr>
        <w:t xml:space="preserve">” means the Initial Purchasers’ option to purchase up to fifteen million dollars ($15,000,000) aggregate principal amount of additional Notes as provided for in the Purchase Agreement.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with respect to any Person, any Subsidiary of such Person that constitutes a “significant subsidiary” (as defined in Rule 1-02(w) of Regulation S-X under the Exchange Act) of such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 Subsidiary meets the criteria of clause (1)(iii), but not clause (1)(i) or (1)(ii), of the definition of “significant subsidiary” in Rule 1-02(w) (or, if applicable, the respective successor clauses to the aforementioned clauses), then such Subsidiary will be deemed not to be a Significant Subsidiary unless such Subsidiary’s income from continuing operations before income taxes, exclusive of amounts attributable to any non-controlling interests, for the last completed fiscal year before the date of determination exceeds twenty five million dollars ($25,000,000). </w:t>
      </w:r>
    </w:p>
    <w:p>
      <w:pPr>
        <w:pStyle w:val="TextBody"/>
        <w:bidi w:val="0"/>
        <w:spacing w:before="240" w:after="0"/>
        <w:jc w:val="left"/>
        <w:rPr/>
      </w:pPr>
      <w:r>
        <w:rPr/>
        <w:t>“</w:t>
      </w:r>
      <w:r>
        <w:rPr>
          <w:rFonts w:ascii="Times New Roman" w:hAnsi="Times New Roman"/>
          <w:b/>
          <w:sz w:val="20"/>
        </w:rPr>
        <w:t>Special Interest</w:t>
      </w:r>
      <w:r>
        <w:rPr>
          <w:rFonts w:ascii="Times New Roman" w:hAnsi="Times New Roman"/>
          <w:sz w:val="20"/>
        </w:rPr>
        <w:t xml:space="preserve">” means any interest that accrues on any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Specified Dollar Amount</w:t>
      </w:r>
      <w:r>
        <w:rPr>
          <w:rFonts w:ascii="Times New Roman" w:hAnsi="Times New Roman"/>
          <w:sz w:val="20"/>
        </w:rPr>
        <w:t xml:space="preserve">” means, with respect to the Conversion of a Note to which Combination Settlement applies, the maximum cash amount per $1,000 principal amount of such Note deliverable upon such Conversion (excluding cash in lieu of any fractional Common Share).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(A) any corporation, association or other business entity (other than a partnership or limited liability company) of which more than fifty percent (50%) of the total voting power of the Capital Shares entitled (without regard to the occurrence of any contingency, but after giving effect to any voting agreement or shareholders’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xml:space="preserve">” means any tax, duty, levy, impost, assessment or other governmental charge (including penalties and interest and other similar liabilities related thereto). </w:t>
      </w:r>
    </w:p>
    <w:p>
      <w:pPr>
        <w:pStyle w:val="TextBody"/>
        <w:bidi w:val="0"/>
        <w:spacing w:before="240" w:after="0"/>
        <w:jc w:val="left"/>
        <w:rPr/>
      </w:pPr>
      <w:r>
        <w:rPr/>
        <w:t>“</w:t>
      </w:r>
      <w:r>
        <w:rPr>
          <w:rFonts w:ascii="Times New Roman" w:hAnsi="Times New Roman"/>
          <w:b/>
          <w:sz w:val="20"/>
        </w:rPr>
        <w:t>Tax Redemption</w:t>
      </w:r>
      <w:r>
        <w:rPr>
          <w:rFonts w:ascii="Times New Roman" w:hAnsi="Times New Roman"/>
          <w:sz w:val="20"/>
        </w:rPr>
        <w:t xml:space="preserve">” means the repurchase of any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Termination of Trading</w:t>
      </w:r>
      <w:r>
        <w:rPr>
          <w:rFonts w:ascii="Times New Roman" w:hAnsi="Times New Roman"/>
          <w:sz w:val="20"/>
        </w:rPr>
        <w:t xml:space="preserve">” will be deemed to occur if the Common Shares cease to be listed on any of the New York Stock Exchange, the Nasdaq Global Market or the Nasdaq Global Select Market (or any of their respective successors).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day on which (A) trading in the Common Shares generally occurs on the principal U.S. national or regional securities exchange on which the Common Shares are then listed or, if the Common Shares are not then listed on a U.S. national or regional securities exchange, on the principal other market on which the Common Shares are then traded; and (B) there is no Market Disruption Event. If the Common Shares are not so listed or traded, then “Trading Day” means a Business Day. </w:t>
      </w:r>
    </w:p>
    <w:p>
      <w:pPr>
        <w:pStyle w:val="TextBody"/>
        <w:bidi w:val="0"/>
        <w:spacing w:before="240" w:after="0"/>
        <w:jc w:val="left"/>
        <w:rPr/>
      </w:pPr>
      <w:r>
        <w:rPr/>
        <w:t>“</w:t>
      </w:r>
      <w:r>
        <w:rPr>
          <w:rFonts w:ascii="Times New Roman" w:hAnsi="Times New Roman"/>
          <w:b/>
          <w:sz w:val="20"/>
        </w:rPr>
        <w:t>Trading Price</w:t>
      </w:r>
      <w:r>
        <w:rPr>
          <w:rFonts w:ascii="Times New Roman" w:hAnsi="Times New Roman"/>
          <w:sz w:val="20"/>
        </w:rPr>
        <w:t xml:space="preserve">” of the Notes on any Trading Day means the average of the secondary market bid quotations, expressed as a cash amount per $1,000 principal amount of Notes, obtained by the Bid Solicitation Agent for three million dollars ($3,000,000)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three million dollars ($3,000,000) (or such lesser amount as may then be outstanding)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Common Share on such Trading Day and the Conversion Rate on such Trading Day. </w:t>
      </w:r>
    </w:p>
    <w:p>
      <w:pPr>
        <w:pStyle w:val="TextBody"/>
        <w:bidi w:val="0"/>
        <w:spacing w:before="240" w:after="0"/>
        <w:jc w:val="left"/>
        <w:rPr/>
      </w:pPr>
      <w:r>
        <w:rPr/>
        <w:t>“</w:t>
      </w:r>
      <w:r>
        <w:rPr>
          <w:rFonts w:ascii="Times New Roman" w:hAnsi="Times New Roman"/>
          <w:b/>
          <w:sz w:val="20"/>
        </w:rPr>
        <w:t>Transfer-Restricted Security</w:t>
      </w:r>
      <w:r>
        <w:rPr>
          <w:rFonts w:ascii="Times New Roman" w:hAnsi="Times New Roman"/>
          <w:sz w:val="20"/>
        </w:rPr>
        <w:t xml:space="preserve">” means any Security that constitutes a “restricted security” (as defined in Rule 144);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Security will cease to be a Transfer-Restricted Security upon the earliest to occur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(A) such Security is sold or otherwise transferred to a Person (other than the Company or an Affiliate of the Company) pursuant to a registration statement that was effective under the Securities Act at the time of such sale or transfer; </w:t>
      </w:r>
    </w:p>
    <w:p>
      <w:pPr>
        <w:pStyle w:val="TextBody"/>
        <w:bidi w:val="0"/>
        <w:spacing w:before="120" w:after="0"/>
        <w:jc w:val="left"/>
        <w:rPr>
          <w:rFonts w:ascii="Times New Roman" w:hAnsi="Times New Roman"/>
          <w:sz w:val="20"/>
        </w:rPr>
      </w:pPr>
      <w:r>
        <w:rPr>
          <w:rFonts w:ascii="Times New Roman" w:hAnsi="Times New Roman"/>
          <w:sz w:val="20"/>
        </w:rPr>
        <w:t xml:space="preserve">(B) 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 </w:t>
      </w:r>
    </w:p>
    <w:p>
      <w:pPr>
        <w:pStyle w:val="TextBody"/>
        <w:bidi w:val="0"/>
        <w:spacing w:before="120" w:after="0"/>
        <w:jc w:val="left"/>
        <w:rPr>
          <w:rFonts w:ascii="Times New Roman" w:hAnsi="Times New Roman"/>
          <w:sz w:val="20"/>
        </w:rPr>
      </w:pPr>
      <w:r>
        <w:rPr>
          <w:rFonts w:ascii="Times New Roman" w:hAnsi="Times New Roman"/>
          <w:sz w:val="20"/>
        </w:rPr>
        <w:t xml:space="preserve">(C) 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under no obligation to determine whether any Security is a Transfer-Restricted Security and may conclusively rely on an Officer’s Certificate with respect thereto. </w:t>
      </w:r>
    </w:p>
    <w:p>
      <w:pPr>
        <w:pStyle w:val="TextBody"/>
        <w:bidi w:val="0"/>
        <w:spacing w:before="240" w:after="0"/>
        <w:jc w:val="left"/>
        <w:rPr/>
      </w:pPr>
      <w:r>
        <w:rPr/>
        <w:t>“</w:t>
      </w:r>
      <w:r>
        <w:rPr>
          <w:rFonts w:ascii="Times New Roman" w:hAnsi="Times New Roman"/>
          <w:b/>
          <w:sz w:val="20"/>
        </w:rPr>
        <w:t>Trust Indenture Act</w:t>
      </w:r>
      <w:r>
        <w:rPr>
          <w:rFonts w:ascii="Times New Roman" w:hAnsi="Times New Roman"/>
          <w:sz w:val="20"/>
        </w:rPr>
        <w:t xml:space="preserve">” means the U.S. Trust Indenture Act of 1939, as amended.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xml:space="preserve">” means the Person named as such in the first paragraph of this Indenture until a successor replaces it in accordance with the provisions of this Indenture and, thereafter, means such successor. </w:t>
      </w:r>
    </w:p>
    <w:p>
      <w:pPr>
        <w:pStyle w:val="TextBody"/>
        <w:bidi w:val="0"/>
        <w:spacing w:before="240" w:after="0"/>
        <w:jc w:val="left"/>
        <w:rPr/>
      </w:pPr>
      <w:r>
        <w:rPr/>
        <w:t>“</w:t>
      </w:r>
      <w:r>
        <w:rPr>
          <w:rFonts w:ascii="Times New Roman" w:hAnsi="Times New Roman"/>
          <w:b/>
          <w:sz w:val="20"/>
        </w:rPr>
        <w:t>VWAP Market Disruption Event</w:t>
      </w:r>
      <w:r>
        <w:rPr>
          <w:rFonts w:ascii="Times New Roman" w:hAnsi="Times New Roman"/>
          <w:sz w:val="20"/>
        </w:rPr>
        <w:t xml:space="preserve">” means, with respect to any date, (A) the failure by the principal U.S. national or regional securities exchange on which the Common Shares are then listed, or, if the Common Shares are not then listed on a U.S. national or regional securities exchange, the principal other market on which the Common Shares are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Shares or in any options contracts or futures contracts relating to the Common Shares, and such suspension or limitation occurs or exists at any time before 1:00 p.m., New York City time,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VWAP Trading Day</w:t>
      </w:r>
      <w:r>
        <w:rPr>
          <w:rFonts w:ascii="Times New Roman" w:hAnsi="Times New Roman"/>
          <w:sz w:val="20"/>
        </w:rPr>
        <w:t xml:space="preserve">” means a day on which (A) there is no VWAP Market Disruption Event; and (B) trading in the Common Shares generally occurs on the principal U.S. national or regional securities exchange on which the Common Shares are then listed or, if the Common Shares are not then listed on a U.S. national or regional securities exchange, on the principal other market on which the Common Shares are then traded. If the Common Shares are not so listed or traded, then “VWAP Trading Day” means a Business Day. </w:t>
      </w:r>
    </w:p>
    <w:p>
      <w:pPr>
        <w:pStyle w:val="TextBody"/>
        <w:bidi w:val="0"/>
        <w:spacing w:before="240" w:after="0"/>
        <w:jc w:val="left"/>
        <w:rPr/>
      </w:pPr>
      <w:r>
        <w:rPr/>
        <w:t>“</w:t>
      </w:r>
      <w:r>
        <w:rPr>
          <w:rFonts w:ascii="Times New Roman" w:hAnsi="Times New Roman"/>
          <w:b/>
          <w:sz w:val="20"/>
        </w:rPr>
        <w:t>Wholly Owned Subsidiary</w:t>
      </w:r>
      <w:r>
        <w:rPr>
          <w:rFonts w:ascii="Times New Roman" w:hAnsi="Times New Roman"/>
          <w:sz w:val="20"/>
        </w:rPr>
        <w:t xml:space="preserve">” of a Person means any Subsidiary of such Person all of the outstanding Capital Shares or other ownership interests of which (other than directors’ qualifying shares) are owned by such Person or one or more Wholly Owned Subsidiaries of such Person. </w:t>
      </w:r>
    </w:p>
    <w:p>
      <w:pPr>
        <w:pStyle w:val="TextBody"/>
        <w:bidi w:val="0"/>
        <w:spacing w:before="480" w:after="0"/>
        <w:jc w:val="left"/>
        <w:rPr>
          <w:rFonts w:ascii="Times New Roman" w:hAnsi="Times New Roman"/>
          <w:b/>
          <w:sz w:val="20"/>
        </w:rPr>
      </w:pPr>
      <w:r>
        <w:rPr>
          <w:rFonts w:ascii="Times New Roman" w:hAnsi="Times New Roman"/>
          <w:b/>
          <w:sz w:val="20"/>
        </w:rPr>
        <w:t xml:space="preserve">Section 1.02. OTHER DEFINITIONS.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77"/>
        <w:gridCol w:w="124"/>
        <w:gridCol w:w="1204"/>
      </w:tblGrid>
      <w:tr>
        <w:trPr/>
        <w:tc>
          <w:tcPr>
            <w:tcW w:w="887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88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Term</w:t>
            </w:r>
          </w:p>
        </w:tc>
        <w:tc>
          <w:tcPr>
            <w:tcW w:w="124" w:type="dxa"/>
            <w:tcBorders/>
            <w:vAlign w:val="bottom"/>
          </w:tcPr>
          <w:p>
            <w:pPr>
              <w:pStyle w:val="TableContents"/>
              <w:bidi w:val="0"/>
              <w:spacing w:before="0" w:after="283"/>
              <w:jc w:val="left"/>
              <w:rPr/>
            </w:pPr>
            <w:r>
              <w:rPr/>
              <w:t>  </w:t>
            </w:r>
          </w:p>
        </w:tc>
        <w:tc>
          <w:tcPr>
            <w:tcW w:w="120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Defined in</w:t>
            </w:r>
          </w:p>
          <w:p>
            <w:pPr>
              <w:pStyle w:val="TableContents"/>
              <w:bidi w:val="0"/>
              <w:spacing w:before="0" w:after="20"/>
              <w:jc w:val="center"/>
              <w:rPr>
                <w:rFonts w:ascii="Times New Roman" w:hAnsi="Times New Roman"/>
                <w:sz w:val="16"/>
              </w:rPr>
            </w:pPr>
            <w:r>
              <w:rPr>
                <w:rFonts w:ascii="Times New Roman" w:hAnsi="Times New Roman"/>
                <w:sz w:val="16"/>
              </w:rPr>
              <w:t>Section</w:t>
            </w:r>
          </w:p>
        </w:tc>
      </w:tr>
      <w:tr>
        <w:trPr/>
        <w:tc>
          <w:tcPr>
            <w:tcW w:w="8877" w:type="dxa"/>
            <w:tcBorders/>
          </w:tcPr>
          <w:p>
            <w:pPr>
              <w:pStyle w:val="TableContents"/>
              <w:bidi w:val="0"/>
              <w:spacing w:before="0" w:after="283"/>
              <w:jc w:val="left"/>
              <w:rPr/>
            </w:pPr>
            <w:r>
              <w:rPr/>
              <w:t>“</w:t>
            </w:r>
            <w:r>
              <w:rPr>
                <w:b/>
              </w:rPr>
              <w:t>Additional Amounts</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3.05(A)</w:t>
            </w:r>
          </w:p>
        </w:tc>
      </w:tr>
      <w:tr>
        <w:trPr/>
        <w:tc>
          <w:tcPr>
            <w:tcW w:w="8877" w:type="dxa"/>
            <w:tcBorders/>
          </w:tcPr>
          <w:p>
            <w:pPr>
              <w:pStyle w:val="TableContents"/>
              <w:bidi w:val="0"/>
              <w:spacing w:before="0" w:after="283"/>
              <w:jc w:val="left"/>
              <w:rPr/>
            </w:pPr>
            <w:r>
              <w:rPr/>
              <w:t>“</w:t>
            </w:r>
            <w:r>
              <w:rPr>
                <w:b/>
              </w:rPr>
              <w:t>Additional Shares</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5.07(A)</w:t>
            </w:r>
          </w:p>
        </w:tc>
      </w:tr>
      <w:tr>
        <w:trPr/>
        <w:tc>
          <w:tcPr>
            <w:tcW w:w="8877" w:type="dxa"/>
            <w:tcBorders/>
          </w:tcPr>
          <w:p>
            <w:pPr>
              <w:pStyle w:val="TableContents"/>
              <w:bidi w:val="0"/>
              <w:spacing w:before="0" w:after="283"/>
              <w:jc w:val="left"/>
              <w:rPr/>
            </w:pPr>
            <w:r>
              <w:rPr/>
              <w:t>“</w:t>
            </w:r>
            <w:r>
              <w:rPr>
                <w:b/>
              </w:rPr>
              <w:t>Business Combination Event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6.01(A)</w:t>
            </w:r>
          </w:p>
        </w:tc>
      </w:tr>
      <w:tr>
        <w:trPr/>
        <w:tc>
          <w:tcPr>
            <w:tcW w:w="8877" w:type="dxa"/>
            <w:tcBorders/>
          </w:tcPr>
          <w:p>
            <w:pPr>
              <w:pStyle w:val="TableContents"/>
              <w:bidi w:val="0"/>
              <w:spacing w:before="0" w:after="283"/>
              <w:jc w:val="left"/>
              <w:rPr/>
            </w:pPr>
            <w:r>
              <w:rPr/>
              <w:t>“</w:t>
            </w:r>
            <w:r>
              <w:rPr>
                <w:b/>
              </w:rPr>
              <w:t>Cash Settlement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5.03(A)</w:t>
            </w:r>
          </w:p>
        </w:tc>
      </w:tr>
      <w:tr>
        <w:trPr/>
        <w:tc>
          <w:tcPr>
            <w:tcW w:w="8877" w:type="dxa"/>
            <w:tcBorders/>
          </w:tcPr>
          <w:p>
            <w:pPr>
              <w:pStyle w:val="TableContents"/>
              <w:bidi w:val="0"/>
              <w:spacing w:before="0" w:after="283"/>
              <w:jc w:val="left"/>
              <w:rPr/>
            </w:pPr>
            <w:r>
              <w:rPr/>
              <w:t>“</w:t>
            </w:r>
            <w:r>
              <w:rPr>
                <w:b/>
              </w:rPr>
              <w:t>Combination Settlement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5.03(A)</w:t>
            </w:r>
          </w:p>
        </w:tc>
      </w:tr>
      <w:tr>
        <w:trPr/>
        <w:tc>
          <w:tcPr>
            <w:tcW w:w="8877" w:type="dxa"/>
            <w:tcBorders/>
          </w:tcPr>
          <w:p>
            <w:pPr>
              <w:pStyle w:val="TableContents"/>
              <w:bidi w:val="0"/>
              <w:spacing w:before="0" w:after="283"/>
              <w:jc w:val="left"/>
              <w:rPr/>
            </w:pPr>
            <w:r>
              <w:rPr/>
              <w:t>“</w:t>
            </w:r>
            <w:r>
              <w:rPr>
                <w:b/>
              </w:rPr>
              <w:t>Common Share Change Event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5.09(A)</w:t>
            </w:r>
          </w:p>
        </w:tc>
      </w:tr>
      <w:tr>
        <w:trPr/>
        <w:tc>
          <w:tcPr>
            <w:tcW w:w="8877" w:type="dxa"/>
            <w:tcBorders/>
          </w:tcPr>
          <w:p>
            <w:pPr>
              <w:pStyle w:val="TableContents"/>
              <w:bidi w:val="0"/>
              <w:spacing w:before="0" w:after="283"/>
              <w:jc w:val="left"/>
              <w:rPr/>
            </w:pPr>
            <w:r>
              <w:rPr/>
              <w:t>“</w:t>
            </w:r>
            <w:r>
              <w:rPr>
                <w:b/>
              </w:rPr>
              <w:t>Conversion Agent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2.06(A)</w:t>
            </w:r>
          </w:p>
        </w:tc>
      </w:tr>
      <w:tr>
        <w:trPr/>
        <w:tc>
          <w:tcPr>
            <w:tcW w:w="8877" w:type="dxa"/>
            <w:tcBorders/>
          </w:tcPr>
          <w:p>
            <w:pPr>
              <w:pStyle w:val="TableContents"/>
              <w:bidi w:val="0"/>
              <w:spacing w:before="0" w:after="283"/>
              <w:jc w:val="left"/>
              <w:rPr/>
            </w:pPr>
            <w:r>
              <w:rPr/>
              <w:t>“</w:t>
            </w:r>
            <w:r>
              <w:rPr>
                <w:b/>
              </w:rPr>
              <w:t>Conversion Consideration</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5.03(B)</w:t>
            </w:r>
          </w:p>
        </w:tc>
      </w:tr>
      <w:tr>
        <w:trPr/>
        <w:tc>
          <w:tcPr>
            <w:tcW w:w="8877" w:type="dxa"/>
            <w:tcBorders/>
          </w:tcPr>
          <w:p>
            <w:pPr>
              <w:pStyle w:val="TableContents"/>
              <w:bidi w:val="0"/>
              <w:spacing w:before="0" w:after="283"/>
              <w:jc w:val="left"/>
              <w:rPr/>
            </w:pPr>
            <w:r>
              <w:rPr/>
              <w:t>“</w:t>
            </w:r>
            <w:r>
              <w:rPr>
                <w:b/>
              </w:rPr>
              <w:t>Default Interest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2.05(B)</w:t>
            </w:r>
          </w:p>
        </w:tc>
      </w:tr>
      <w:tr>
        <w:trPr/>
        <w:tc>
          <w:tcPr>
            <w:tcW w:w="8877" w:type="dxa"/>
            <w:tcBorders/>
          </w:tcPr>
          <w:p>
            <w:pPr>
              <w:pStyle w:val="TableContents"/>
              <w:bidi w:val="0"/>
              <w:spacing w:before="0" w:after="283"/>
              <w:jc w:val="left"/>
              <w:rPr/>
            </w:pPr>
            <w:r>
              <w:rPr/>
              <w:t>“</w:t>
            </w:r>
            <w:r>
              <w:rPr>
                <w:b/>
              </w:rPr>
              <w:t>Defaulted Amount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2.05(B)</w:t>
            </w:r>
          </w:p>
        </w:tc>
      </w:tr>
      <w:tr>
        <w:trPr/>
        <w:tc>
          <w:tcPr>
            <w:tcW w:w="8877" w:type="dxa"/>
            <w:tcBorders/>
          </w:tcPr>
          <w:p>
            <w:pPr>
              <w:pStyle w:val="TableContents"/>
              <w:bidi w:val="0"/>
              <w:spacing w:before="0" w:after="283"/>
              <w:jc w:val="left"/>
              <w:rPr/>
            </w:pPr>
            <w:r>
              <w:rPr/>
              <w:t>“</w:t>
            </w:r>
            <w:r>
              <w:rPr>
                <w:b/>
              </w:rPr>
              <w:t>Deferred Additional Interest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3.04(C)(i)</w:t>
            </w:r>
          </w:p>
        </w:tc>
      </w:tr>
      <w:tr>
        <w:trPr/>
        <w:tc>
          <w:tcPr>
            <w:tcW w:w="8877" w:type="dxa"/>
            <w:tcBorders/>
          </w:tcPr>
          <w:p>
            <w:pPr>
              <w:pStyle w:val="TableContents"/>
              <w:bidi w:val="0"/>
              <w:spacing w:before="0" w:after="283"/>
              <w:jc w:val="left"/>
              <w:rPr/>
            </w:pPr>
            <w:r>
              <w:rPr/>
              <w:t>“</w:t>
            </w:r>
            <w:r>
              <w:rPr>
                <w:b/>
              </w:rPr>
              <w:t>Deferred Additional Interest Demand Request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3.04(C)(i)</w:t>
            </w:r>
          </w:p>
        </w:tc>
      </w:tr>
      <w:tr>
        <w:trPr/>
        <w:tc>
          <w:tcPr>
            <w:tcW w:w="8877" w:type="dxa"/>
            <w:tcBorders/>
          </w:tcPr>
          <w:p>
            <w:pPr>
              <w:pStyle w:val="TableContents"/>
              <w:bidi w:val="0"/>
              <w:spacing w:before="0" w:after="283"/>
              <w:jc w:val="left"/>
              <w:rPr/>
            </w:pPr>
            <w:r>
              <w:rPr/>
              <w:t>“</w:t>
            </w:r>
            <w:r>
              <w:rPr>
                <w:b/>
              </w:rPr>
              <w:t>Event of Default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7.01(A)</w:t>
            </w:r>
          </w:p>
        </w:tc>
      </w:tr>
      <w:tr>
        <w:trPr/>
        <w:tc>
          <w:tcPr>
            <w:tcW w:w="8877" w:type="dxa"/>
            <w:tcBorders/>
          </w:tcPr>
          <w:p>
            <w:pPr>
              <w:pStyle w:val="TableContents"/>
              <w:bidi w:val="0"/>
              <w:spacing w:before="0" w:after="283"/>
              <w:jc w:val="left"/>
              <w:rPr/>
            </w:pPr>
            <w:r>
              <w:rPr/>
              <w:t>“</w:t>
            </w:r>
            <w:r>
              <w:rPr>
                <w:b/>
              </w:rPr>
              <w:t>Expiration Date</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5.05(A)(v)</w:t>
            </w:r>
          </w:p>
        </w:tc>
      </w:tr>
      <w:tr>
        <w:trPr/>
        <w:tc>
          <w:tcPr>
            <w:tcW w:w="8877" w:type="dxa"/>
            <w:tcBorders/>
          </w:tcPr>
          <w:p>
            <w:pPr>
              <w:pStyle w:val="TableContents"/>
              <w:bidi w:val="0"/>
              <w:spacing w:before="0" w:after="283"/>
              <w:jc w:val="left"/>
              <w:rPr/>
            </w:pPr>
            <w:r>
              <w:rPr/>
              <w:t>“</w:t>
            </w:r>
            <w:r>
              <w:rPr>
                <w:b/>
              </w:rPr>
              <w:t>Expiration Time</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5.05(A)(v)</w:t>
            </w:r>
          </w:p>
        </w:tc>
      </w:tr>
      <w:tr>
        <w:trPr/>
        <w:tc>
          <w:tcPr>
            <w:tcW w:w="8877" w:type="dxa"/>
            <w:tcBorders/>
          </w:tcPr>
          <w:p>
            <w:pPr>
              <w:pStyle w:val="TableContents"/>
              <w:bidi w:val="0"/>
              <w:spacing w:before="0" w:after="283"/>
              <w:jc w:val="left"/>
              <w:rPr/>
            </w:pPr>
            <w:r>
              <w:rPr/>
              <w:t>“</w:t>
            </w:r>
            <w:r>
              <w:rPr>
                <w:b/>
              </w:rPr>
              <w:t>FATCA</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3.05(A)(v)</w:t>
            </w:r>
          </w:p>
        </w:tc>
      </w:tr>
      <w:tr>
        <w:trPr/>
        <w:tc>
          <w:tcPr>
            <w:tcW w:w="8877" w:type="dxa"/>
            <w:tcBorders/>
          </w:tcPr>
          <w:p>
            <w:pPr>
              <w:pStyle w:val="TableContents"/>
              <w:bidi w:val="0"/>
              <w:spacing w:before="0" w:after="283"/>
              <w:jc w:val="left"/>
              <w:rPr/>
            </w:pPr>
            <w:r>
              <w:rPr/>
              <w:t>“</w:t>
            </w:r>
            <w:r>
              <w:rPr>
                <w:b/>
              </w:rPr>
              <w:t>Fundamental Change Notice</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4.02(E)</w:t>
            </w:r>
          </w:p>
        </w:tc>
      </w:tr>
      <w:tr>
        <w:trPr/>
        <w:tc>
          <w:tcPr>
            <w:tcW w:w="8877" w:type="dxa"/>
            <w:tcBorders/>
          </w:tcPr>
          <w:p>
            <w:pPr>
              <w:pStyle w:val="TableContents"/>
              <w:bidi w:val="0"/>
              <w:spacing w:before="0" w:after="283"/>
              <w:jc w:val="left"/>
              <w:rPr/>
            </w:pPr>
            <w:r>
              <w:rPr/>
              <w:t>“</w:t>
            </w:r>
            <w:r>
              <w:rPr>
                <w:b/>
              </w:rPr>
              <w:t>Fundamental Change Repurchase Right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4.02(A)</w:t>
            </w:r>
          </w:p>
        </w:tc>
      </w:tr>
      <w:tr>
        <w:trPr/>
        <w:tc>
          <w:tcPr>
            <w:tcW w:w="8877" w:type="dxa"/>
            <w:tcBorders/>
          </w:tcPr>
          <w:p>
            <w:pPr>
              <w:pStyle w:val="TableContents"/>
              <w:bidi w:val="0"/>
              <w:spacing w:before="0" w:after="283"/>
              <w:jc w:val="left"/>
              <w:rPr/>
            </w:pPr>
            <w:r>
              <w:rPr/>
              <w:t>“</w:t>
            </w:r>
            <w:r>
              <w:rPr>
                <w:b/>
              </w:rPr>
              <w:t>Grossable Amounts</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3.05(A)</w:t>
            </w:r>
          </w:p>
        </w:tc>
      </w:tr>
      <w:tr>
        <w:trPr/>
        <w:tc>
          <w:tcPr>
            <w:tcW w:w="8877" w:type="dxa"/>
            <w:tcBorders/>
          </w:tcPr>
          <w:p>
            <w:pPr>
              <w:pStyle w:val="TableContents"/>
              <w:bidi w:val="0"/>
              <w:spacing w:before="0" w:after="283"/>
              <w:jc w:val="left"/>
              <w:rPr/>
            </w:pPr>
            <w:r>
              <w:rPr/>
              <w:t>“</w:t>
            </w:r>
            <w:r>
              <w:rPr>
                <w:b/>
              </w:rPr>
              <w:t>Indemnified Taxes</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3.05(A)</w:t>
            </w:r>
          </w:p>
        </w:tc>
      </w:tr>
      <w:tr>
        <w:trPr/>
        <w:tc>
          <w:tcPr>
            <w:tcW w:w="8877" w:type="dxa"/>
            <w:tcBorders/>
          </w:tcPr>
          <w:p>
            <w:pPr>
              <w:pStyle w:val="TableContents"/>
              <w:bidi w:val="0"/>
              <w:spacing w:before="0" w:after="283"/>
              <w:jc w:val="left"/>
              <w:rPr/>
            </w:pPr>
            <w:r>
              <w:rPr/>
              <w:t>“</w:t>
            </w:r>
            <w:r>
              <w:rPr>
                <w:b/>
              </w:rPr>
              <w:t>Ineligible Consideration</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5.03(A)(iv)</w:t>
            </w:r>
          </w:p>
        </w:tc>
      </w:tr>
      <w:tr>
        <w:trPr/>
        <w:tc>
          <w:tcPr>
            <w:tcW w:w="8877" w:type="dxa"/>
            <w:tcBorders/>
          </w:tcPr>
          <w:p>
            <w:pPr>
              <w:pStyle w:val="TableContents"/>
              <w:bidi w:val="0"/>
              <w:spacing w:before="0" w:after="283"/>
              <w:jc w:val="left"/>
              <w:rPr/>
            </w:pPr>
            <w:r>
              <w:rPr/>
              <w:t>“</w:t>
            </w:r>
            <w:r>
              <w:rPr>
                <w:b/>
              </w:rPr>
              <w:t>Initial Notes</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2.03(A)</w:t>
            </w:r>
          </w:p>
        </w:tc>
      </w:tr>
      <w:tr>
        <w:trPr/>
        <w:tc>
          <w:tcPr>
            <w:tcW w:w="8877" w:type="dxa"/>
            <w:tcBorders/>
          </w:tcPr>
          <w:p>
            <w:pPr>
              <w:pStyle w:val="TableContents"/>
              <w:bidi w:val="0"/>
              <w:spacing w:before="0" w:after="283"/>
              <w:jc w:val="left"/>
              <w:rPr/>
            </w:pPr>
            <w:r>
              <w:rPr/>
              <w:t>“</w:t>
            </w:r>
            <w:r>
              <w:rPr>
                <w:b/>
              </w:rPr>
              <w:t>Measurement Period</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5.01(C)(i)(2)</w:t>
            </w:r>
          </w:p>
        </w:tc>
      </w:tr>
      <w:tr>
        <w:trPr/>
        <w:tc>
          <w:tcPr>
            <w:tcW w:w="8877" w:type="dxa"/>
            <w:tcBorders/>
          </w:tcPr>
          <w:p>
            <w:pPr>
              <w:pStyle w:val="TableContents"/>
              <w:bidi w:val="0"/>
              <w:spacing w:before="0" w:after="283"/>
              <w:jc w:val="left"/>
              <w:rPr/>
            </w:pPr>
            <w:r>
              <w:rPr/>
              <w:t>“</w:t>
            </w:r>
            <w:r>
              <w:rPr>
                <w:b/>
              </w:rPr>
              <w:t>Notice of Election to Pay Deferred Additional Interest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3.04(C)(i)</w:t>
            </w:r>
          </w:p>
        </w:tc>
      </w:tr>
      <w:tr>
        <w:trPr/>
        <w:tc>
          <w:tcPr>
            <w:tcW w:w="8877" w:type="dxa"/>
            <w:tcBorders/>
          </w:tcPr>
          <w:p>
            <w:pPr>
              <w:pStyle w:val="TableContents"/>
              <w:bidi w:val="0"/>
              <w:spacing w:before="0" w:after="283"/>
              <w:jc w:val="left"/>
              <w:rPr/>
            </w:pPr>
            <w:r>
              <w:rPr/>
              <w:t>“</w:t>
            </w:r>
            <w:r>
              <w:rPr>
                <w:b/>
              </w:rPr>
              <w:t>Paying Agent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2.06(A)</w:t>
            </w:r>
          </w:p>
        </w:tc>
      </w:tr>
      <w:tr>
        <w:trPr/>
        <w:tc>
          <w:tcPr>
            <w:tcW w:w="8877" w:type="dxa"/>
            <w:tcBorders/>
          </w:tcPr>
          <w:p>
            <w:pPr>
              <w:pStyle w:val="TableContents"/>
              <w:bidi w:val="0"/>
              <w:spacing w:before="0" w:after="283"/>
              <w:jc w:val="left"/>
              <w:rPr/>
            </w:pPr>
            <w:r>
              <w:rPr/>
              <w:t>“</w:t>
            </w:r>
            <w:r>
              <w:rPr>
                <w:b/>
              </w:rPr>
              <w:t>Physical Settlement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5.03(A)</w:t>
            </w:r>
          </w:p>
        </w:tc>
      </w:tr>
      <w:tr>
        <w:trPr/>
        <w:tc>
          <w:tcPr>
            <w:tcW w:w="8877" w:type="dxa"/>
            <w:tcBorders/>
          </w:tcPr>
          <w:p>
            <w:pPr>
              <w:pStyle w:val="TableContents"/>
              <w:bidi w:val="0"/>
              <w:spacing w:before="0" w:after="283"/>
              <w:jc w:val="left"/>
              <w:rPr/>
            </w:pPr>
            <w:r>
              <w:rPr/>
              <w:t>“</w:t>
            </w:r>
            <w:r>
              <w:rPr>
                <w:b/>
              </w:rPr>
              <w:t>Redemption Notice</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4.03(H)</w:t>
            </w:r>
          </w:p>
        </w:tc>
      </w:tr>
      <w:tr>
        <w:trPr/>
        <w:tc>
          <w:tcPr>
            <w:tcW w:w="8877" w:type="dxa"/>
            <w:tcBorders/>
          </w:tcPr>
          <w:p>
            <w:pPr>
              <w:pStyle w:val="TableContents"/>
              <w:bidi w:val="0"/>
              <w:spacing w:before="0" w:after="283"/>
              <w:jc w:val="left"/>
              <w:rPr/>
            </w:pPr>
            <w:r>
              <w:rPr/>
              <w:t>“</w:t>
            </w:r>
            <w:r>
              <w:rPr>
                <w:b/>
              </w:rPr>
              <w:t>Reference Property</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5.09(A)</w:t>
            </w:r>
          </w:p>
        </w:tc>
      </w:tr>
      <w:tr>
        <w:trPr/>
        <w:tc>
          <w:tcPr>
            <w:tcW w:w="8877" w:type="dxa"/>
            <w:tcBorders/>
          </w:tcPr>
          <w:p>
            <w:pPr>
              <w:pStyle w:val="TableContents"/>
              <w:bidi w:val="0"/>
              <w:spacing w:before="0" w:after="283"/>
              <w:jc w:val="left"/>
              <w:rPr/>
            </w:pPr>
            <w:r>
              <w:rPr/>
              <w:t>“</w:t>
            </w:r>
            <w:r>
              <w:rPr>
                <w:b/>
              </w:rPr>
              <w:t>Reference Property Unit</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5.09(A)</w:t>
            </w:r>
          </w:p>
        </w:tc>
      </w:tr>
      <w:tr>
        <w:trPr/>
        <w:tc>
          <w:tcPr>
            <w:tcW w:w="8877" w:type="dxa"/>
            <w:tcBorders/>
          </w:tcPr>
          <w:p>
            <w:pPr>
              <w:pStyle w:val="TableContents"/>
              <w:bidi w:val="0"/>
              <w:spacing w:before="0" w:after="283"/>
              <w:jc w:val="left"/>
              <w:rPr/>
            </w:pPr>
            <w:r>
              <w:rPr/>
              <w:t>“</w:t>
            </w:r>
            <w:r>
              <w:rPr>
                <w:b/>
              </w:rPr>
              <w:t>Register</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2.06(B)</w:t>
            </w:r>
          </w:p>
        </w:tc>
      </w:tr>
      <w:tr>
        <w:trPr/>
        <w:tc>
          <w:tcPr>
            <w:tcW w:w="8877" w:type="dxa"/>
            <w:tcBorders/>
          </w:tcPr>
          <w:p>
            <w:pPr>
              <w:pStyle w:val="TableContents"/>
              <w:bidi w:val="0"/>
              <w:spacing w:before="0" w:after="283"/>
              <w:jc w:val="left"/>
              <w:rPr/>
            </w:pPr>
            <w:r>
              <w:rPr/>
              <w:t>“</w:t>
            </w:r>
            <w:r>
              <w:rPr>
                <w:b/>
              </w:rPr>
              <w:t>Registrar</w:t>
            </w:r>
            <w:r>
              <w:rPr/>
              <w:t>”</w:t>
            </w:r>
          </w:p>
        </w:tc>
        <w:tc>
          <w:tcPr>
            <w:tcW w:w="124" w:type="dxa"/>
            <w:tcBorders/>
            <w:vAlign w:val="bottom"/>
          </w:tcPr>
          <w:p>
            <w:pPr>
              <w:pStyle w:val="TableContents"/>
              <w:bidi w:val="0"/>
              <w:spacing w:before="0" w:after="283"/>
              <w:jc w:val="left"/>
              <w:rPr/>
            </w:pPr>
            <w:r>
              <w:rPr/>
              <w:t>  </w:t>
            </w:r>
          </w:p>
        </w:tc>
        <w:tc>
          <w:tcPr>
            <w:tcW w:w="1204" w:type="dxa"/>
            <w:tcBorders/>
          </w:tcPr>
          <w:p>
            <w:pPr>
              <w:pStyle w:val="TableContents"/>
              <w:bidi w:val="0"/>
              <w:spacing w:before="0" w:after="283"/>
              <w:jc w:val="right"/>
              <w:rPr>
                <w:b/>
              </w:rPr>
            </w:pPr>
            <w:r>
              <w:rPr>
                <w:b/>
              </w:rPr>
              <w:t>2.06(A)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888"/>
        <w:gridCol w:w="122"/>
        <w:gridCol w:w="1195"/>
      </w:tblGrid>
      <w:tr>
        <w:trPr/>
        <w:tc>
          <w:tcPr>
            <w:tcW w:w="888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8888" w:type="dxa"/>
            <w:tcBorders/>
            <w:vAlign w:val="bottom"/>
          </w:tcPr>
          <w:p>
            <w:pPr>
              <w:pStyle w:val="TableContents"/>
              <w:bidi w:val="0"/>
              <w:spacing w:before="0" w:after="283"/>
              <w:jc w:val="left"/>
              <w:rPr/>
            </w:pPr>
            <w:r>
              <w:rPr/>
              <w:t>“</w:t>
            </w:r>
            <w:r>
              <w:rPr>
                <w:b/>
              </w:rPr>
              <w:t>Relevant Taxing Jurisdiction</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3.05(A)</w:t>
            </w:r>
          </w:p>
        </w:tc>
      </w:tr>
      <w:tr>
        <w:trPr/>
        <w:tc>
          <w:tcPr>
            <w:tcW w:w="8888" w:type="dxa"/>
            <w:tcBorders/>
            <w:vAlign w:val="bottom"/>
          </w:tcPr>
          <w:p>
            <w:pPr>
              <w:pStyle w:val="TableContents"/>
              <w:bidi w:val="0"/>
              <w:spacing w:before="0" w:after="283"/>
              <w:jc w:val="left"/>
              <w:rPr/>
            </w:pPr>
            <w:r>
              <w:rPr/>
              <w:t>“</w:t>
            </w:r>
            <w:r>
              <w:rPr>
                <w:b/>
              </w:rPr>
              <w:t>Reporting Event of Default</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7.04(A)</w:t>
            </w:r>
          </w:p>
        </w:tc>
      </w:tr>
      <w:tr>
        <w:trPr/>
        <w:tc>
          <w:tcPr>
            <w:tcW w:w="8888" w:type="dxa"/>
            <w:tcBorders/>
            <w:vAlign w:val="bottom"/>
          </w:tcPr>
          <w:p>
            <w:pPr>
              <w:pStyle w:val="TableContents"/>
              <w:bidi w:val="0"/>
              <w:spacing w:before="0" w:after="283"/>
              <w:jc w:val="left"/>
              <w:rPr/>
            </w:pPr>
            <w:r>
              <w:rPr/>
              <w:t>“</w:t>
            </w:r>
            <w:r>
              <w:rPr>
                <w:b/>
              </w:rPr>
              <w:t>Specified Courts</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11.07</w:t>
            </w:r>
          </w:p>
        </w:tc>
      </w:tr>
      <w:tr>
        <w:trPr/>
        <w:tc>
          <w:tcPr>
            <w:tcW w:w="8888" w:type="dxa"/>
            <w:tcBorders/>
            <w:vAlign w:val="bottom"/>
          </w:tcPr>
          <w:p>
            <w:pPr>
              <w:pStyle w:val="TableContents"/>
              <w:bidi w:val="0"/>
              <w:spacing w:before="0" w:after="283"/>
              <w:jc w:val="left"/>
              <w:rPr/>
            </w:pPr>
            <w:r>
              <w:rPr/>
              <w:t>“</w:t>
            </w:r>
            <w:r>
              <w:rPr>
                <w:b/>
              </w:rPr>
              <w:t>Spin-Off</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5.05(A)(iii)(2)</w:t>
            </w:r>
          </w:p>
        </w:tc>
      </w:tr>
      <w:tr>
        <w:trPr/>
        <w:tc>
          <w:tcPr>
            <w:tcW w:w="8888" w:type="dxa"/>
            <w:tcBorders/>
            <w:vAlign w:val="bottom"/>
          </w:tcPr>
          <w:p>
            <w:pPr>
              <w:pStyle w:val="TableContents"/>
              <w:bidi w:val="0"/>
              <w:spacing w:before="0" w:after="283"/>
              <w:jc w:val="left"/>
              <w:rPr/>
            </w:pPr>
            <w:r>
              <w:rPr/>
              <w:t>“</w:t>
            </w:r>
            <w:r>
              <w:rPr>
                <w:b/>
              </w:rPr>
              <w:t>Spin-Off Valuation Period</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5.05(A)(iii)(2)</w:t>
            </w:r>
          </w:p>
        </w:tc>
      </w:tr>
      <w:tr>
        <w:trPr/>
        <w:tc>
          <w:tcPr>
            <w:tcW w:w="8888" w:type="dxa"/>
            <w:tcBorders/>
            <w:vAlign w:val="bottom"/>
          </w:tcPr>
          <w:p>
            <w:pPr>
              <w:pStyle w:val="TableContents"/>
              <w:bidi w:val="0"/>
              <w:spacing w:before="0" w:after="283"/>
              <w:jc w:val="left"/>
              <w:rPr/>
            </w:pPr>
            <w:r>
              <w:rPr/>
              <w:t>“</w:t>
            </w:r>
            <w:r>
              <w:rPr>
                <w:b/>
              </w:rPr>
              <w:t>Stated Interest</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2.05(A)</w:t>
            </w:r>
          </w:p>
        </w:tc>
      </w:tr>
      <w:tr>
        <w:trPr/>
        <w:tc>
          <w:tcPr>
            <w:tcW w:w="8888" w:type="dxa"/>
            <w:tcBorders/>
            <w:vAlign w:val="bottom"/>
          </w:tcPr>
          <w:p>
            <w:pPr>
              <w:pStyle w:val="TableContents"/>
              <w:bidi w:val="0"/>
              <w:spacing w:before="0" w:after="283"/>
              <w:jc w:val="left"/>
              <w:rPr/>
            </w:pPr>
            <w:r>
              <w:rPr/>
              <w:t>“</w:t>
            </w:r>
            <w:r>
              <w:rPr>
                <w:b/>
              </w:rPr>
              <w:t>Successor Entity</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6.01(A)</w:t>
            </w:r>
          </w:p>
        </w:tc>
      </w:tr>
      <w:tr>
        <w:trPr/>
        <w:tc>
          <w:tcPr>
            <w:tcW w:w="8888" w:type="dxa"/>
            <w:tcBorders/>
            <w:vAlign w:val="bottom"/>
          </w:tcPr>
          <w:p>
            <w:pPr>
              <w:pStyle w:val="TableContents"/>
              <w:bidi w:val="0"/>
              <w:spacing w:before="0" w:after="283"/>
              <w:jc w:val="left"/>
              <w:rPr/>
            </w:pPr>
            <w:r>
              <w:rPr/>
              <w:t>“</w:t>
            </w:r>
            <w:r>
              <w:rPr>
                <w:b/>
              </w:rPr>
              <w:t>Successor Person</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5.09(A)</w:t>
            </w:r>
          </w:p>
        </w:tc>
      </w:tr>
      <w:tr>
        <w:trPr/>
        <w:tc>
          <w:tcPr>
            <w:tcW w:w="8888" w:type="dxa"/>
            <w:tcBorders/>
            <w:vAlign w:val="bottom"/>
          </w:tcPr>
          <w:p>
            <w:pPr>
              <w:pStyle w:val="TableContents"/>
              <w:bidi w:val="0"/>
              <w:spacing w:before="0" w:after="283"/>
              <w:jc w:val="left"/>
              <w:rPr/>
            </w:pPr>
            <w:r>
              <w:rPr/>
              <w:t>“</w:t>
            </w:r>
            <w:r>
              <w:rPr>
                <w:b/>
              </w:rPr>
              <w:t>Tax Redemption Opt-Out Election</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4.03(C)(ii)</w:t>
            </w:r>
          </w:p>
        </w:tc>
      </w:tr>
      <w:tr>
        <w:trPr/>
        <w:tc>
          <w:tcPr>
            <w:tcW w:w="8888" w:type="dxa"/>
            <w:tcBorders/>
            <w:vAlign w:val="bottom"/>
          </w:tcPr>
          <w:p>
            <w:pPr>
              <w:pStyle w:val="TableContents"/>
              <w:bidi w:val="0"/>
              <w:spacing w:before="0" w:after="283"/>
              <w:jc w:val="left"/>
              <w:rPr/>
            </w:pPr>
            <w:r>
              <w:rPr/>
              <w:t>“</w:t>
            </w:r>
            <w:r>
              <w:rPr>
                <w:b/>
              </w:rPr>
              <w:t>Tax Redemption Opt-Out Election Notice</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4.03(C)(ii)(1)</w:t>
            </w:r>
          </w:p>
        </w:tc>
      </w:tr>
      <w:tr>
        <w:trPr/>
        <w:tc>
          <w:tcPr>
            <w:tcW w:w="8888" w:type="dxa"/>
            <w:tcBorders/>
            <w:vAlign w:val="bottom"/>
          </w:tcPr>
          <w:p>
            <w:pPr>
              <w:pStyle w:val="TableContents"/>
              <w:bidi w:val="0"/>
              <w:spacing w:before="0" w:after="283"/>
              <w:jc w:val="left"/>
              <w:rPr/>
            </w:pPr>
            <w:r>
              <w:rPr/>
              <w:t>“</w:t>
            </w:r>
            <w:r>
              <w:rPr>
                <w:b/>
              </w:rPr>
              <w:t>Tender/Exchange Offer Valuation Period</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5.05(A)(v)</w:t>
            </w:r>
          </w:p>
        </w:tc>
      </w:tr>
      <w:tr>
        <w:trPr/>
        <w:tc>
          <w:tcPr>
            <w:tcW w:w="8888" w:type="dxa"/>
            <w:tcBorders/>
            <w:vAlign w:val="bottom"/>
          </w:tcPr>
          <w:p>
            <w:pPr>
              <w:pStyle w:val="TableContents"/>
              <w:bidi w:val="0"/>
              <w:spacing w:before="0" w:after="283"/>
              <w:jc w:val="left"/>
              <w:rPr/>
            </w:pPr>
            <w:r>
              <w:rPr/>
              <w:t>“</w:t>
            </w:r>
            <w:r>
              <w:rPr>
                <w:b/>
              </w:rPr>
              <w:t>Termination of Trading Event of Default</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7.03</w:t>
            </w:r>
          </w:p>
        </w:tc>
      </w:tr>
      <w:tr>
        <w:trPr/>
        <w:tc>
          <w:tcPr>
            <w:tcW w:w="8888" w:type="dxa"/>
            <w:tcBorders/>
            <w:vAlign w:val="bottom"/>
          </w:tcPr>
          <w:p>
            <w:pPr>
              <w:pStyle w:val="TableContents"/>
              <w:bidi w:val="0"/>
              <w:spacing w:before="0" w:after="283"/>
              <w:jc w:val="left"/>
              <w:rPr/>
            </w:pPr>
            <w:r>
              <w:rPr/>
              <w:t>“</w:t>
            </w:r>
            <w:r>
              <w:rPr>
                <w:b/>
              </w:rPr>
              <w:t>Trading Price Condition</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5.01(C)(i)(2)</w:t>
            </w:r>
          </w:p>
        </w:tc>
      </w:tr>
      <w:tr>
        <w:trPr/>
        <w:tc>
          <w:tcPr>
            <w:tcW w:w="8888" w:type="dxa"/>
            <w:tcBorders/>
            <w:vAlign w:val="bottom"/>
          </w:tcPr>
          <w:p>
            <w:pPr>
              <w:pStyle w:val="TableContents"/>
              <w:bidi w:val="0"/>
              <w:spacing w:before="0" w:after="283"/>
              <w:jc w:val="left"/>
              <w:rPr/>
            </w:pPr>
            <w:r>
              <w:rPr/>
              <w:t>“</w:t>
            </w:r>
            <w:r>
              <w:rPr>
                <w:b/>
              </w:rPr>
              <w:t>Transfer Taxes</w:t>
            </w:r>
            <w:r>
              <w:rPr/>
              <w:t>”</w:t>
            </w:r>
          </w:p>
        </w:tc>
        <w:tc>
          <w:tcPr>
            <w:tcW w:w="122"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3.05(B)</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Section 1.03. RULES OF CONSTRUCTION.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(A)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(B) “including” means “including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(C) “will” expresses a command; </w:t>
      </w:r>
    </w:p>
    <w:p>
      <w:pPr>
        <w:pStyle w:val="TextBody"/>
        <w:bidi w:val="0"/>
        <w:spacing w:before="120" w:after="0"/>
        <w:jc w:val="left"/>
        <w:rPr>
          <w:rFonts w:ascii="Times New Roman" w:hAnsi="Times New Roman"/>
          <w:sz w:val="20"/>
        </w:rPr>
      </w:pPr>
      <w:r>
        <w:rPr>
          <w:rFonts w:ascii="Times New Roman" w:hAnsi="Times New Roman"/>
          <w:sz w:val="20"/>
        </w:rPr>
        <w:t xml:space="preserve">(D) the “average” of a set of numerical values refers to the arithmetic average of such numerical values; </w:t>
      </w:r>
    </w:p>
    <w:p>
      <w:pPr>
        <w:pStyle w:val="TextBody"/>
        <w:bidi w:val="0"/>
        <w:spacing w:before="120" w:after="0"/>
        <w:jc w:val="left"/>
        <w:rPr>
          <w:rFonts w:ascii="Times New Roman" w:hAnsi="Times New Roman"/>
          <w:sz w:val="20"/>
        </w:rPr>
      </w:pPr>
      <w:r>
        <w:rPr>
          <w:rFonts w:ascii="Times New Roman" w:hAnsi="Times New Roman"/>
          <w:sz w:val="20"/>
        </w:rPr>
        <w:t xml:space="preserve">(E) 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 </w:t>
      </w:r>
    </w:p>
    <w:p>
      <w:pPr>
        <w:pStyle w:val="TextBody"/>
        <w:bidi w:val="0"/>
        <w:spacing w:before="120" w:after="0"/>
        <w:jc w:val="left"/>
        <w:rPr>
          <w:rFonts w:ascii="Times New Roman" w:hAnsi="Times New Roman"/>
          <w:sz w:val="20"/>
        </w:rPr>
      </w:pPr>
      <w:r>
        <w:rPr>
          <w:rFonts w:ascii="Times New Roman" w:hAnsi="Times New Roman"/>
          <w:sz w:val="20"/>
        </w:rPr>
        <w:t xml:space="preserve">(F) words in the singular include the plural and in the plural include the singular, unless the context requires otherwise; </w:t>
      </w:r>
    </w:p>
    <w:p>
      <w:pPr>
        <w:pStyle w:val="TextBody"/>
        <w:bidi w:val="0"/>
        <w:spacing w:before="120" w:after="0"/>
        <w:jc w:val="left"/>
        <w:rPr>
          <w:rFonts w:ascii="Times New Roman" w:hAnsi="Times New Roman"/>
          <w:sz w:val="20"/>
        </w:rPr>
      </w:pPr>
      <w:r>
        <w:rPr>
          <w:rFonts w:ascii="Times New Roman" w:hAnsi="Times New Roman"/>
          <w:sz w:val="20"/>
        </w:rPr>
        <w:t xml:space="preserve">(G) “herein,” “hereof” and other words of similar import refer to this Indenture as a whole and not to any particular Article, Section or other subdivision of this Indenture, unless the context requires otherwise; </w:t>
      </w:r>
    </w:p>
    <w:p>
      <w:pPr>
        <w:pStyle w:val="TextBody"/>
        <w:bidi w:val="0"/>
        <w:spacing w:before="120" w:after="0"/>
        <w:jc w:val="left"/>
        <w:rPr>
          <w:rFonts w:ascii="Times New Roman" w:hAnsi="Times New Roman"/>
          <w:sz w:val="20"/>
        </w:rPr>
      </w:pPr>
      <w:r>
        <w:rPr>
          <w:rFonts w:ascii="Times New Roman" w:hAnsi="Times New Roman"/>
          <w:sz w:val="20"/>
        </w:rPr>
        <w:t xml:space="preserve">(H) references to currency mean the lawful currency of the United States of America, unless the context requires otherwise; </w:t>
      </w:r>
    </w:p>
    <w:p>
      <w:pPr>
        <w:pStyle w:val="TextBody"/>
        <w:bidi w:val="0"/>
        <w:spacing w:before="120" w:after="0"/>
        <w:jc w:val="left"/>
        <w:rPr>
          <w:rFonts w:ascii="Times New Roman" w:hAnsi="Times New Roman"/>
          <w:sz w:val="20"/>
        </w:rPr>
      </w:pPr>
      <w:r>
        <w:rPr>
          <w:rFonts w:ascii="Times New Roman" w:hAnsi="Times New Roman"/>
          <w:sz w:val="20"/>
        </w:rPr>
        <w:t xml:space="preserve">(I) the exhibits, schedules and other attachments to this Indenture are deemed to form part of this Indenture; and </w:t>
      </w:r>
    </w:p>
    <w:p>
      <w:pPr>
        <w:pStyle w:val="TextBody"/>
        <w:bidi w:val="0"/>
        <w:spacing w:before="120" w:after="0"/>
        <w:jc w:val="left"/>
        <w:rPr>
          <w:rFonts w:ascii="Times New Roman" w:hAnsi="Times New Roman"/>
          <w:sz w:val="20"/>
        </w:rPr>
      </w:pPr>
      <w:r>
        <w:rPr>
          <w:rFonts w:ascii="Times New Roman" w:hAnsi="Times New Roman"/>
          <w:sz w:val="20"/>
        </w:rPr>
        <w:t>(J) the term “</w:t>
      </w:r>
      <w:r>
        <w:rPr>
          <w:rFonts w:ascii="Times New Roman" w:hAnsi="Times New Roman"/>
          <w:b/>
          <w:sz w:val="20"/>
        </w:rPr>
        <w:t>interest</w:t>
      </w:r>
      <w:r>
        <w:rPr>
          <w:rFonts w:ascii="Times New Roman" w:hAnsi="Times New Roman"/>
          <w:sz w:val="20"/>
        </w:rPr>
        <w:t xml:space="preserve">,” when used with respect to a Note, includes any Default Interest, Additional Interest (including, if applicable, Deferred Additional Interest and interest on such Deferred Additional Interest) and Special Interest, unless the context requires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2.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2.01. FORM, DATING AND DENOMINATIONS.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Notes and the Trustee’s certificate of authentication will be substantially in the form set forth in </w:t>
      </w:r>
      <w:r>
        <w:rPr>
          <w:rFonts w:ascii="Times New Roman" w:hAnsi="Times New Roman"/>
          <w:b/>
          <w:sz w:val="20"/>
        </w:rPr>
        <w:t>Exhibit A</w:t>
      </w:r>
      <w:r>
        <w:rPr>
          <w:rFonts w:ascii="Times New Roman" w:hAnsi="Times New Roman"/>
          <w:sz w:val="20"/>
        </w:rPr>
        <w:t xml:space="preserve">. The Notes will bear the legends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may bear notations, legends or endorsements required by law, stock exchange rule or usage or the Depositary. Each Note will be dated as of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issuable only in registered form without interest coupons and only in Authorized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representing a Note will bear a unique registration number that is not affixed to any other certificate representing another outstanding Note. </w:t>
      </w:r>
    </w:p>
    <w:p>
      <w:pPr>
        <w:pStyle w:val="TextBody"/>
        <w:bidi w:val="0"/>
        <w:spacing w:before="240" w:after="0"/>
        <w:jc w:val="left"/>
        <w:rPr>
          <w:rFonts w:ascii="Times New Roman" w:hAnsi="Times New Roman"/>
          <w:sz w:val="20"/>
        </w:rPr>
      </w:pPr>
      <w:r>
        <w:rPr>
          <w:rFonts w:ascii="Times New Roman" w:hAnsi="Times New Roman"/>
          <w:sz w:val="20"/>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that any provision of any Note conflicts with the provisions of this Indenture, the provisions of this Indenture will control for purposes of this Indenture and such Note.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2.02. EXECUTION, AUTHENTICATION AND DELIVERY.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Due Execution by the Company</w:t>
      </w:r>
      <w:r>
        <w:rPr>
          <w:rFonts w:ascii="Times New Roman" w:hAnsi="Times New Roman"/>
          <w:sz w:val="20"/>
        </w:rPr>
        <w:t xml:space="preserve">. At least one (1) duly authorized Officer will sign the Notes on behalf of the Company by manual, electronic or facsimile signature. A Note’s validity will not be affected by the failure of any Officer whose signature is on any Note to hold, at the time such Note is authenticated, the same or any other office at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Authentication by the Trustee and Delivery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Note will be valid until it is authenticated by the Trustee. A Note will be deemed to be duly authenticated only when an authorized signatory of the Trustee (or a duly appointed authenticating agent) manually signs the certificate of authentication of such Note.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2.02(A)</w:t>
      </w:r>
      <w:r>
        <w:rPr>
          <w:rFonts w:ascii="Times New Roman" w:hAnsi="Times New Roman"/>
          <w:sz w:val="20"/>
        </w:rPr>
        <w:t xml:space="preserve">;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2.03. INITIAL NOTES AND ADDITIONAL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Initial Notes</w:t>
      </w:r>
      <w:r>
        <w:rPr>
          <w:rFonts w:ascii="Times New Roman" w:hAnsi="Times New Roman"/>
          <w:sz w:val="20"/>
        </w:rPr>
        <w:t xml:space="preserve">. On the Issue Date, there will be originally issued one hundred million dollars ($100,000,000) aggregate principal amount of Notes, subject to the provisions of this Indenture (including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If the Initial Purchasers exercise the Shoe Option, then there will be originally issued up to an additional fifteen million dollars ($15,000,000) principal amount of Notes pursuant to such exercise, subject to the provisions of this Indenture (including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Notes issued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2.03(A)</w:t>
      </w:r>
      <w:r>
        <w:rPr>
          <w:rFonts w:ascii="Times New Roman" w:hAnsi="Times New Roman"/>
          <w:sz w:val="20"/>
        </w:rPr>
        <w:t>, and any Notes issued in exchange therefor or in substitution thereof, are referred to in this Indenture as the “</w:t>
      </w:r>
      <w:r>
        <w:rPr>
          <w:rFonts w:ascii="Times New Roman" w:hAnsi="Times New Roman"/>
          <w:b/>
          <w:sz w:val="20"/>
        </w:rPr>
        <w:t>Initial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Additional Notes</w:t>
      </w:r>
      <w:r>
        <w:rPr>
          <w:rFonts w:ascii="Times New Roman" w:hAnsi="Times New Roman"/>
          <w:sz w:val="20"/>
        </w:rPr>
        <w:t xml:space="preserve">. Without the consent of any Holder, the Company may, subject to the provisions of this Indenture (including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originally issue additional Notes with the same terms as the Initial Notes (except, to the extent applicable, with respect to the date as of which interest begins to accrue on such additional Notes and the first Interest Payment Date and the Last Original Issue Date of such additional Notes), which additional Notes will, subject to the foregoing, be considered to be part of the same series of, and rank equally and ratably with all other, Notes issued under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such additional Notes (and any Notes that are resold after such Notes have been purchased or otherwise acquired by the Company or its Subsidiaries) are not fungible with other Notes issued under this Indenture for purposes of U.S. federal income tax, Canadian federal income tax, U.S. federal securities laws, Canadian provincial securities laws or, if applicable, the Depositary Procedures, then such additional or resold Notes will be identified by a separate CUSIP number or by no CUSIP number.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2.04. METHOD OF PAYMENT.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Global Notes</w:t>
      </w:r>
      <w:r>
        <w:rPr>
          <w:rFonts w:ascii="Times New Roman" w:hAnsi="Times New Roman"/>
          <w:sz w:val="20"/>
        </w:rPr>
        <w:t xml:space="preserve">. The Company will pay, or cause the Paying Agent to pay, the principal (whether due upon maturity on the Maturity Date, 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Physical Notes</w:t>
      </w:r>
      <w:r>
        <w:rPr>
          <w:rFonts w:ascii="Times New Roman" w:hAnsi="Times New Roman"/>
          <w:sz w:val="20"/>
        </w:rPr>
        <w:t xml:space="preserve">. The Company will pay, or cause the Paying Agent to pay, the principal (whether due upon maturity on the Maturity Date, Redemption on a Redemption Date or 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2.05. ACCRUAL OF INTEREST; DEFAULTED AMOUNTS; WHEN PAYMENT DATE IS NOT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Accrual of Interest</w:t>
      </w:r>
      <w:r>
        <w:rPr>
          <w:rFonts w:ascii="Times New Roman" w:hAnsi="Times New Roman"/>
          <w:sz w:val="20"/>
        </w:rPr>
        <w:t>. Each Note will accrue interest at a rate per annum equal to 4.50% (the “</w:t>
      </w:r>
      <w:r>
        <w:rPr>
          <w:rFonts w:ascii="Times New Roman" w:hAnsi="Times New Roman"/>
          <w:b/>
          <w:sz w:val="20"/>
        </w:rPr>
        <w:t>Stated Interest</w:t>
      </w:r>
      <w:r>
        <w:rPr>
          <w:rFonts w:ascii="Times New Roman" w:hAnsi="Times New Roman"/>
          <w:sz w:val="20"/>
        </w:rPr>
        <w:t xml:space="preserve">”), plus any Default Interest, Additional Interest and Special Interest that may accrue pursuant to </w:t>
      </w:r>
      <w:r>
        <w:rPr>
          <w:rFonts w:ascii="Times New Roman" w:hAnsi="Times New Roman"/>
          <w:b/>
          <w:sz w:val="20"/>
        </w:rPr>
        <w:t>Sections 2.05(B)</w:t>
      </w:r>
      <w:r>
        <w:rPr>
          <w:rFonts w:ascii="Times New Roman" w:hAnsi="Times New Roman"/>
          <w:sz w:val="20"/>
        </w:rPr>
        <w:t xml:space="preserve">, </w:t>
      </w:r>
      <w:r>
        <w:rPr>
          <w:rFonts w:ascii="Times New Roman" w:hAnsi="Times New Roman"/>
          <w:b/>
          <w:sz w:val="20"/>
        </w:rPr>
        <w:t>3.04</w:t>
      </w:r>
      <w:r>
        <w:rPr>
          <w:rFonts w:ascii="Times New Roman" w:hAnsi="Times New Roman"/>
          <w:sz w:val="20"/>
        </w:rPr>
        <w:t xml:space="preserve"> and </w:t>
      </w:r>
      <w:r>
        <w:rPr>
          <w:rFonts w:ascii="Times New Roman" w:hAnsi="Times New Roman"/>
          <w:b/>
          <w:sz w:val="20"/>
        </w:rPr>
        <w:t>7.04</w:t>
      </w:r>
      <w:r>
        <w:rPr>
          <w:rFonts w:ascii="Times New Roman" w:hAnsi="Times New Roman"/>
          <w:sz w:val="20"/>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4.02(D)</w:t>
      </w:r>
      <w:r>
        <w:rPr>
          <w:rFonts w:ascii="Times New Roman" w:hAnsi="Times New Roman"/>
          <w:sz w:val="20"/>
        </w:rPr>
        <w:t xml:space="preserve">, </w:t>
      </w:r>
      <w:r>
        <w:rPr>
          <w:rFonts w:ascii="Times New Roman" w:hAnsi="Times New Roman"/>
          <w:b/>
          <w:sz w:val="20"/>
        </w:rPr>
        <w:t>4.03(G)</w:t>
      </w:r>
      <w:r>
        <w:rPr>
          <w:rFonts w:ascii="Times New Roman" w:hAnsi="Times New Roman"/>
          <w:sz w:val="20"/>
        </w:rPr>
        <w:t xml:space="preserve"> and </w:t>
      </w:r>
      <w:r>
        <w:rPr>
          <w:rFonts w:ascii="Times New Roman" w:hAnsi="Times New Roman"/>
          <w:b/>
          <w:sz w:val="20"/>
        </w:rPr>
        <w:t>5.02(D)</w:t>
      </w:r>
      <w:r>
        <w:rPr>
          <w:rFonts w:ascii="Times New Roman" w:hAnsi="Times New Roman"/>
          <w:sz w:val="20"/>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Defaulted Amounts</w:t>
      </w:r>
      <w:r>
        <w:rPr>
          <w:rFonts w:ascii="Times New Roman" w:hAnsi="Times New Roman"/>
          <w:sz w:val="20"/>
        </w:rPr>
        <w:t>. If the Company fails to pay any cash amount (a “</w:t>
      </w:r>
      <w:r>
        <w:rPr>
          <w:rFonts w:ascii="Times New Roman" w:hAnsi="Times New Roman"/>
          <w:b/>
          <w:sz w:val="20"/>
        </w:rPr>
        <w:t>Defaulted Amount</w:t>
      </w:r>
      <w:r>
        <w:rPr>
          <w:rFonts w:ascii="Times New Roman" w:hAnsi="Times New Roman"/>
          <w:sz w:val="20"/>
        </w:rPr>
        <w:t>”) payable on a Note on or before the due date 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hAnsi="Times New Roman"/>
          <w:b/>
          <w:sz w:val="20"/>
        </w:rPr>
        <w:t>Default Interest</w:t>
      </w:r>
      <w:r>
        <w:rPr>
          <w:rFonts w:ascii="Times New Roman" w:hAnsi="Times New Roman"/>
          <w:sz w:val="20"/>
        </w:rPr>
        <w:t xml:space="preserve">”) will accrue on such Defaulted Amount at a rate per annum equal to the rate per annum at which Stated Interest accrues, from, and including, such due date to, but excluding, the date of payment of such Defaulted Amount and Default Interest; and (iii) such Defaulted Amount and Default Interest will be paid, at the Company’s election, as provided in </w:t>
      </w:r>
      <w:r>
        <w:rPr>
          <w:rFonts w:ascii="Times New Roman" w:hAnsi="Times New Roman"/>
          <w:b/>
          <w:sz w:val="20"/>
        </w:rPr>
        <w:t>clause (i)</w:t>
      </w:r>
      <w:r>
        <w:rPr>
          <w:rFonts w:ascii="Times New Roman" w:hAnsi="Times New Roman"/>
          <w:sz w:val="20"/>
        </w:rPr>
        <w:t xml:space="preserve"> or </w:t>
      </w:r>
      <w:r>
        <w:rPr>
          <w:rFonts w:ascii="Times New Roman" w:hAnsi="Times New Roman"/>
          <w:b/>
          <w:sz w:val="20"/>
        </w:rPr>
        <w:t>(ii)</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Payment of Default Amounts on a Special Payment Date</w:t>
      </w:r>
      <w:r>
        <w:rPr>
          <w:rFonts w:ascii="Times New Roman" w:hAnsi="Times New Roman"/>
          <w:sz w:val="20"/>
        </w:rPr>
        <w:t xml:space="preserve">. The Company will have the right to pay such Defaulted Amount and Default Interest on a payment date selected by the Company to the Holder of such Note as of the Close of Business on a special record date selected by the Company, </w:t>
      </w:r>
      <w:r>
        <w:rPr>
          <w:rFonts w:ascii="Times New Roman" w:hAnsi="Times New Roman"/>
          <w:i/>
          <w:sz w:val="20"/>
        </w:rPr>
        <w:t>provided</w:t>
      </w:r>
      <w:r>
        <w:rPr>
          <w:rFonts w:ascii="Times New Roman" w:hAnsi="Times New Roman"/>
          <w:sz w:val="20"/>
        </w:rPr>
        <w:t xml:space="preserve"> that (1) such special record date is no more than fifteen (15), nor less than ten (10), calendar days before such payment date; and (2) at least fifteen (15) calendar days before such special record date, the Company sends notice to the Trustee and the Holders that states such special record date, such payment date and the amount of such Defaulted Amount and Default Interest to be paid on such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Payment of Default Amount in Any Other Lawful Manner</w:t>
      </w:r>
      <w:r>
        <w:rPr>
          <w:rFonts w:ascii="Times New Roman" w:hAnsi="Times New Roman"/>
          <w:sz w:val="20"/>
        </w:rPr>
        <w:t xml:space="preserve">. If not paid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2.05(B)(i)</w:t>
      </w:r>
      <w:r>
        <w:rPr>
          <w:rFonts w:ascii="Times New Roman" w:hAnsi="Times New Roman"/>
          <w:sz w:val="20"/>
        </w:rPr>
        <w:t xml:space="preserve">, such Defaulted Amount and Default Interest will be paid by the Company in any other lawful manner.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2.05(B)</w:t>
      </w:r>
      <w:r>
        <w:rPr>
          <w:rFonts w:ascii="Times New Roman" w:hAnsi="Times New Roman"/>
          <w:sz w:val="20"/>
        </w:rPr>
        <w:t xml:space="preserve">, a Default in the payment or delivery of any Conversion Consideration when due will be cured upon the payment or delivery of the same (together, if applicable in the case of any cash Conversion Consideration, with Default Interest thereon) to the Person to whom such Conversion Consideration is payable or deliverable (determined in accordance with </w:t>
      </w:r>
      <w:r>
        <w:rPr>
          <w:rFonts w:ascii="Times New Roman" w:hAnsi="Times New Roman"/>
          <w:b/>
          <w:sz w:val="20"/>
        </w:rPr>
        <w:t>Article 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Delay of Payment When Payment Date Is Not a Business Day</w:t>
      </w:r>
      <w:r>
        <w:rPr>
          <w:rFonts w:ascii="Times New Roman" w:hAnsi="Times New Roman"/>
          <w:sz w:val="20"/>
        </w:rPr>
        <w:t xml:space="preserve">. If the due date for a payment on a Note as provided in this Indenture is not a Business Day, then, notwithstanding anything to the contrary in this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Special Provision for Global Notes</w:t>
      </w:r>
      <w:r>
        <w:rPr>
          <w:rFonts w:ascii="Times New Roman" w:hAnsi="Times New Roman"/>
          <w:sz w:val="20"/>
        </w:rPr>
        <w:t xml:space="preserve">. If the first date on which any Additional Interest or Special Interest begins to accrue on a Global Note is on or after the fifth (5th) Business Day before a Regular Record Date and before the next Interest Payment Date, then, notwithstanding anything to the contrary in this Indenture or the Notes,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be payable on the immediately succeeding Interest Payment Date (and, for the avoidance of doubt, no interest will accrue as a result of the related delay).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2.06. REGISTRAR, PAYING AGENT AND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The Company will maintain (i) an office or agency in the continental United States where Notes may be presented for registration of transfer or for exchange (the “</w:t>
      </w:r>
      <w:r>
        <w:rPr>
          <w:rFonts w:ascii="Times New Roman" w:hAnsi="Times New Roman"/>
          <w:b/>
          <w:sz w:val="20"/>
        </w:rPr>
        <w:t>Registrar</w:t>
      </w:r>
      <w:r>
        <w:rPr>
          <w:rFonts w:ascii="Times New Roman" w:hAnsi="Times New Roman"/>
          <w:sz w:val="20"/>
        </w:rPr>
        <w:t>”); (ii) an office or agency in the continental United States where Notes may be presented for payment (the “</w:t>
      </w:r>
      <w:r>
        <w:rPr>
          <w:rFonts w:ascii="Times New Roman" w:hAnsi="Times New Roman"/>
          <w:b/>
          <w:sz w:val="20"/>
        </w:rPr>
        <w:t>Paying Agent</w:t>
      </w:r>
      <w:r>
        <w:rPr>
          <w:rFonts w:ascii="Times New Roman" w:hAnsi="Times New Roman"/>
          <w:sz w:val="20"/>
        </w:rPr>
        <w:t>”); and (iii) an office or agency in the continental United States where Notes may be presented for Conversion (the “</w:t>
      </w:r>
      <w:r>
        <w:rPr>
          <w:rFonts w:ascii="Times New Roman" w:hAnsi="Times New Roman"/>
          <w:b/>
          <w:sz w:val="20"/>
        </w:rPr>
        <w:t>Conversion Agent</w:t>
      </w:r>
      <w:r>
        <w:rPr>
          <w:rFonts w:ascii="Times New Roman" w:hAnsi="Times New Roman"/>
          <w:sz w:val="20"/>
        </w:rPr>
        <w:t xml:space="preserve">”). If the Company fails to maintain a Registrar, Paying Agent or Conversion Agent, then the Trustee will act as such and will receive compensation therefor in accordance with this Indenture and any other agreement between the Trustee and the Company. For the avoidance of doubt, the Company or any of its Subsidiaries may act as Registrar, Paying Agent or Conversion Agent.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2.06(A)</w:t>
      </w:r>
      <w:r>
        <w:rPr>
          <w:rFonts w:ascii="Times New Roman" w:hAnsi="Times New Roman"/>
          <w:sz w:val="20"/>
        </w:rPr>
        <w:t xml:space="preserve">, each of the Registrar, Paying Agent and Conversion Agent with respect to any Global Note must at all times be a Person that is eligible to act in that capacity under the Depositary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Duties of the Registrar</w:t>
      </w:r>
      <w:r>
        <w:rPr>
          <w:rFonts w:ascii="Times New Roman" w:hAnsi="Times New Roman"/>
          <w:sz w:val="20"/>
        </w:rPr>
        <w:t>. The Registrar will keep a record (the “</w:t>
      </w:r>
      <w:r>
        <w:rPr>
          <w:rFonts w:ascii="Times New Roman" w:hAnsi="Times New Roman"/>
          <w:b/>
          <w:sz w:val="20"/>
        </w:rPr>
        <w:t>Register</w:t>
      </w:r>
      <w:r>
        <w:rPr>
          <w:rFonts w:ascii="Times New Roman" w:hAnsi="Times New Roman"/>
          <w:sz w:val="20"/>
        </w:rPr>
        <w:t xml:space="preserve">”) of the names and addresses of the Holders, 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Co-Agents; Company’s Right to Appoint Successor Registrars, Paying Agents and Conversion Agents</w:t>
      </w:r>
      <w:r>
        <w:rPr>
          <w:rFonts w:ascii="Times New Roman" w:hAnsi="Times New Roman"/>
          <w:sz w:val="20"/>
        </w:rPr>
        <w:t xml:space="preserve">. The Company may appoint one or more co-Registrars, co-Paying Agents and co-Conversion Agents, each of whom will be deemed to be a Registrar, Paying Agent or Conversion Agent, as applicable, under this Indenture. Subject to </w:t>
      </w:r>
      <w:r>
        <w:rPr>
          <w:rFonts w:ascii="Times New Roman" w:hAnsi="Times New Roman"/>
          <w:b/>
          <w:sz w:val="20"/>
        </w:rPr>
        <w:t>Section</w:t>
      </w:r>
      <w:r>
        <w:rPr>
          <w:rFonts w:ascii="Times New Roman" w:hAnsi="Times New Roman"/>
          <w:sz w:val="20"/>
        </w:rPr>
        <w:t> </w:t>
      </w:r>
      <w:r>
        <w:rPr>
          <w:rFonts w:ascii="Times New Roman" w:hAnsi="Times New Roman"/>
          <w:b/>
          <w:sz w:val="20"/>
        </w:rPr>
        <w:t>2.06(A)</w:t>
      </w:r>
      <w:r>
        <w:rPr>
          <w:rFonts w:ascii="Times New Roman" w:hAnsi="Times New Roman"/>
          <w:sz w:val="20"/>
        </w:rPr>
        <w:t xml:space="preserve">,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Initial Appointments</w:t>
      </w:r>
      <w:r>
        <w:rPr>
          <w:rFonts w:ascii="Times New Roman" w:hAnsi="Times New Roman"/>
          <w:sz w:val="20"/>
        </w:rPr>
        <w:t xml:space="preserve">. The Company appoints the Trustee as, and designates its corporate trust office identified in </w:t>
      </w: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(as the same exists on the Issue Date) in the continental United States as the office for, the initial Paying Agent, the initial Registrar and the initial Conversion Agent.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2.07. PAYING AGENT AND CONVERSION AGENT TO HOLD PROPERTY IN TRUST.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(x)</w:t>
      </w:r>
      <w:r>
        <w:rPr>
          <w:rFonts w:ascii="Times New Roman" w:hAnsi="Times New Roman"/>
          <w:sz w:val="20"/>
        </w:rPr>
        <w:t xml:space="preserve"> or </w:t>
      </w:r>
      <w:r>
        <w:rPr>
          <w:rFonts w:ascii="Times New Roman" w:hAnsi="Times New Roman"/>
          <w:b/>
          <w:sz w:val="20"/>
        </w:rPr>
        <w:t>(xi)</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with respect to the Company (or with respect to any Subsidiary of the Company acting as Paying Agent or Conversion Agent), the Trustee will serve as the Paying Agent or Conversion Agent, as applicable, for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2.08. HOLDER LISTS.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2.09. LEGENDS.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Global Note Legend</w:t>
      </w:r>
      <w:r>
        <w:rPr>
          <w:rFonts w:ascii="Times New Roman" w:hAnsi="Times New Roman"/>
          <w:sz w:val="20"/>
        </w:rPr>
        <w:t xml:space="preserve">. Each Global Note will bear the Global Note Legend (or any similar legend, not inconsistent with this Indenture, required by the Depositary for such Global Note).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Non-Affiliate Legend</w:t>
      </w:r>
      <w:r>
        <w:rPr>
          <w:rFonts w:ascii="Times New Roman" w:hAnsi="Times New Roman"/>
          <w:sz w:val="20"/>
        </w:rPr>
        <w:t xml:space="preserve">. Each Note will bear the Non-Affiliate Legend.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Restricted Note Legend</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Note that is a Transfer-Restricted Security will bear the Restricted Note Legend; and </w:t>
      </w:r>
    </w:p>
    <w:p>
      <w:pPr>
        <w:pStyle w:val="TextBody"/>
        <w:bidi w:val="0"/>
        <w:spacing w:before="120" w:after="0"/>
        <w:jc w:val="left"/>
        <w:rPr>
          <w:rFonts w:ascii="Times New Roman" w:hAnsi="Times New Roman"/>
          <w:sz w:val="20"/>
        </w:rPr>
      </w:pPr>
      <w:r>
        <w:rPr>
          <w:rFonts w:ascii="Times New Roman" w:hAnsi="Times New Roman"/>
          <w:sz w:val="20"/>
        </w:rPr>
        <w:t xml:space="preserve">(ii) if a Note is issued in exchange for, in substitution of, or to effect a partial Conversion of, another Note (such other Note being referred to as the “old Note”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2.09(C)(ii)</w:t>
      </w:r>
      <w:r>
        <w:rPr>
          <w:rFonts w:ascii="Times New Roman" w:hAnsi="Times New Roman"/>
          <w:sz w:val="20"/>
        </w:rPr>
        <w:t xml:space="preserve">),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2.10(B)</w:t>
      </w:r>
      <w:r>
        <w:rPr>
          <w:rFonts w:ascii="Times New Roman" w:hAnsi="Times New Roman"/>
          <w:sz w:val="20"/>
        </w:rPr>
        <w:t xml:space="preserve">, </w:t>
      </w:r>
      <w:r>
        <w:rPr>
          <w:rFonts w:ascii="Times New Roman" w:hAnsi="Times New Roman"/>
          <w:b/>
          <w:sz w:val="20"/>
        </w:rPr>
        <w:t>2.10(C)</w:t>
      </w:r>
      <w:r>
        <w:rPr>
          <w:rFonts w:ascii="Times New Roman" w:hAnsi="Times New Roman"/>
          <w:sz w:val="20"/>
        </w:rPr>
        <w:t xml:space="preserve">, </w:t>
      </w:r>
      <w:r>
        <w:rPr>
          <w:rFonts w:ascii="Times New Roman" w:hAnsi="Times New Roman"/>
          <w:b/>
          <w:sz w:val="20"/>
        </w:rPr>
        <w:t>2.11</w:t>
      </w:r>
      <w:r>
        <w:rPr>
          <w:rFonts w:ascii="Times New Roman" w:hAnsi="Times New Roman"/>
          <w:sz w:val="20"/>
        </w:rPr>
        <w:t xml:space="preserve"> or </w:t>
      </w:r>
      <w:r>
        <w:rPr>
          <w:rFonts w:ascii="Times New Roman" w:hAnsi="Times New Roman"/>
          <w:b/>
          <w:sz w:val="20"/>
        </w:rPr>
        <w:t>2.13</w:t>
      </w:r>
      <w:r>
        <w:rPr>
          <w:rFonts w:ascii="Times New Roman" w:hAnsi="Times New Roman"/>
          <w:sz w:val="20"/>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Note need not bear the Restricted Note Legend if such Note does not constitute a Transfer-Restricted Security immediately after such exchange or substitution, or as of such Conversion Date,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Other Legends</w:t>
      </w:r>
      <w:r>
        <w:rPr>
          <w:rFonts w:ascii="Times New Roman" w:hAnsi="Times New Roman"/>
          <w:sz w:val="20"/>
        </w:rPr>
        <w:t xml:space="preserve">. A Note may bear any other legend or text, not inconsistent with this Indenture, as may be required by applicable law or by any securities exchange or automated quotation system on which such Note is traded or quoted or as may otherwise be deemed appropriate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Acknowledgment and Agreement by the Holders</w:t>
      </w:r>
      <w:r>
        <w:rPr>
          <w:rFonts w:ascii="Times New Roman" w:hAnsi="Times New Roman"/>
          <w:sz w:val="20"/>
        </w:rPr>
        <w:t xml:space="preserve">. A Holder’s acceptance of any Note bearing any legend required by this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will constitute such Holder’s acknowledgment of, and agreement to comply with, the restrictions set forth in such legend.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Restricted Stock Legend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Conversion Share need not bear the Restricted Stock Legend if the Company determines, in its reasonable discretion, that such Conversion Share need not bear the Restricted Stock Legend.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2.09(F)</w:t>
      </w:r>
      <w:r>
        <w:rPr>
          <w:rFonts w:ascii="Times New Roman" w:hAnsi="Times New Roman"/>
          <w:sz w:val="20"/>
        </w:rPr>
        <w:t xml:space="preserve">, a Conversion Share need not bear a Restricted Stock Legend if such Conversion Share is issued in an uncertificated form that does not permit affixing legends thereto, </w:t>
      </w:r>
      <w:r>
        <w:rPr>
          <w:rFonts w:ascii="Times New Roman" w:hAnsi="Times New Roman"/>
          <w:i/>
          <w:sz w:val="20"/>
        </w:rPr>
        <w:t>provided</w:t>
      </w:r>
      <w:r>
        <w:rPr>
          <w:rFonts w:ascii="Times New Roman" w:hAnsi="Times New Roman"/>
          <w:sz w:val="20"/>
        </w:rPr>
        <w:t xml:space="preserve"> the Company takes measures (including the assignment thereto of a “restricted” CUSIP number) that it reasonably deems appropriate to enforce the transfer restrictions referred to in the Restricted Stock Legend.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2.10. TRANSFERS AND EXCHANGES; CERTAIN 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Provisions Applicable to All Transfers and Exchanges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Physical Notes and beneficial interests in Global Notes may be transferred or exchanged from time to time and the Registrar will record each such transfer or exchange in the Register.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Transferred and Exchanged Notes Remain Valid Obligations of the Company</w:t>
      </w:r>
      <w:r>
        <w:rPr>
          <w:rFonts w:ascii="Times New Roman" w:hAnsi="Times New Roman"/>
          <w:sz w:val="20"/>
        </w:rPr>
        <w:t xml:space="preserve">. Each Note issued upon transfer or exchange of any other Note (such other Note being referred to as the “old Note”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2.10(A)(ii)</w:t>
      </w:r>
      <w:r>
        <w:rPr>
          <w:rFonts w:ascii="Times New Roman" w:hAnsi="Times New Roman"/>
          <w:sz w:val="20"/>
        </w:rPr>
        <w:t xml:space="preserve">) or portion thereof in accordance with this Indenture will be the valid obligation of the Company, evidencing the same indebtedness, and entitled to the same benefits under this Indenture, as such old Note or portion thereof,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No Services Charge; Transfer Taxes</w:t>
      </w:r>
      <w:r>
        <w:rPr>
          <w:rFonts w:ascii="Times New Roman" w:hAnsi="Times New Roman"/>
          <w:sz w:val="20"/>
        </w:rPr>
        <w:t xml:space="preserve">. The Company, the Trustee and the Note Agents will not impose any service charge on any 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w:t>
      </w:r>
      <w:r>
        <w:rPr>
          <w:rFonts w:ascii="Times New Roman" w:hAnsi="Times New Roman"/>
          <w:b/>
          <w:sz w:val="20"/>
        </w:rPr>
        <w:t>2.17</w:t>
      </w:r>
      <w:r>
        <w:rPr>
          <w:rFonts w:ascii="Times New Roman" w:hAnsi="Times New Roman"/>
          <w:sz w:val="20"/>
        </w:rPr>
        <w:t xml:space="preserve"> or </w:t>
      </w:r>
      <w:r>
        <w:rPr>
          <w:rFonts w:ascii="Times New Roman" w:hAnsi="Times New Roman"/>
          <w:b/>
          <w:sz w:val="20"/>
        </w:rPr>
        <w:t>8.05</w:t>
      </w:r>
      <w:r>
        <w:rPr>
          <w:rFonts w:ascii="Times New Roman" w:hAnsi="Times New Roman"/>
          <w:sz w:val="20"/>
        </w:rPr>
        <w:t xml:space="preserve"> not involving any transfer.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Transfers and Exchanges Must Be in Authorized Denominations</w:t>
      </w:r>
      <w:r>
        <w:rPr>
          <w:rFonts w:ascii="Times New Roman" w:hAnsi="Times New Roman"/>
          <w:sz w:val="20"/>
        </w:rPr>
        <w:t xml:space="preserve">. Notwithstanding anything to the contrary in this Indenture or the Notes, a Note may not be transferred or exchanged in part unless the portion to be so transferred or exchanged is in an Authorized Denomination.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Trustee’s Disclaimer</w:t>
      </w:r>
      <w:r>
        <w:rPr>
          <w:rFonts w:ascii="Times New Roman" w:hAnsi="Times New Roman"/>
          <w:sz w:val="20"/>
        </w:rPr>
        <w:t xml:space="preserve">. The Trustee will have no obligation or duty to monitor, determine or inquire as to 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Legends</w:t>
      </w:r>
      <w:r>
        <w:rPr>
          <w:rFonts w:ascii="Times New Roman" w:hAnsi="Times New Roman"/>
          <w:sz w:val="20"/>
        </w:rPr>
        <w:t xml:space="preserve">. Each Note issued upon transfer of, or in exchange for, another Note will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Settlement of Transfers and Exchanges</w:t>
      </w:r>
      <w:r>
        <w:rPr>
          <w:rFonts w:ascii="Times New Roman" w:hAnsi="Times New Roman"/>
          <w:sz w:val="20"/>
        </w:rPr>
        <w:t xml:space="preserve">. 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Interpretation</w:t>
      </w:r>
      <w:r>
        <w:rPr>
          <w:rFonts w:ascii="Times New Roman" w:hAnsi="Times New Roman"/>
          <w:sz w:val="20"/>
        </w:rPr>
        <w:t xml:space="preserve">. For the avoidance of doubt, and subject to the terms of this Indenture, as used in this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an “exchange” 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Transfers and Exchanges of Global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Certain Restrictions</w:t>
      </w:r>
      <w:r>
        <w:rPr>
          <w:rFonts w:ascii="Times New Roman" w:hAnsi="Times New Roman"/>
          <w:sz w:val="20"/>
        </w:rPr>
        <w:t xml:space="preserve">. 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Global Note will be exchanged, pursuant to customary procedures, for one or more Physical Notes if: </w:t>
      </w:r>
    </w:p>
    <w:p>
      <w:pPr>
        <w:pStyle w:val="TextBody"/>
        <w:bidi w:val="0"/>
        <w:spacing w:before="120" w:after="0"/>
        <w:jc w:val="left"/>
        <w:rPr>
          <w:rFonts w:ascii="Times New Roman" w:hAnsi="Times New Roman"/>
          <w:sz w:val="20"/>
        </w:rPr>
      </w:pPr>
      <w:r>
        <w:rPr>
          <w:rFonts w:ascii="Times New Roman" w:hAnsi="Times New Roman"/>
          <w:sz w:val="20"/>
        </w:rPr>
        <w:t xml:space="preserve">(1) (x)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 </w:t>
      </w:r>
    </w:p>
    <w:p>
      <w:pPr>
        <w:pStyle w:val="TextBody"/>
        <w:bidi w:val="0"/>
        <w:spacing w:before="120" w:after="0"/>
        <w:jc w:val="left"/>
        <w:rPr>
          <w:rFonts w:ascii="Times New Roman" w:hAnsi="Times New Roman"/>
          <w:sz w:val="20"/>
        </w:rPr>
      </w:pPr>
      <w:r>
        <w:rPr>
          <w:rFonts w:ascii="Times New Roman" w:hAnsi="Times New Roman"/>
          <w:sz w:val="20"/>
        </w:rPr>
        <w:t xml:space="preserve">(2) 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 </w:t>
      </w:r>
    </w:p>
    <w:p>
      <w:pPr>
        <w:pStyle w:val="TextBody"/>
        <w:bidi w:val="0"/>
        <w:spacing w:before="120" w:after="0"/>
        <w:jc w:val="left"/>
        <w:rPr>
          <w:rFonts w:ascii="Times New Roman" w:hAnsi="Times New Roman"/>
          <w:sz w:val="20"/>
        </w:rPr>
      </w:pPr>
      <w:r>
        <w:rPr>
          <w:rFonts w:ascii="Times New Roman" w:hAnsi="Times New Roman"/>
          <w:sz w:val="20"/>
        </w:rPr>
        <w:t xml:space="preserve">(3) the Company, in its sole discretion, permits the exchange of any beneficial interest in such Global Note for one or more Physical Notes at the request of the owner of such beneficial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Effecting Transfers and Exchanges</w:t>
      </w:r>
      <w:r>
        <w:rPr>
          <w:rFonts w:ascii="Times New Roman" w:hAnsi="Times New Roman"/>
          <w:sz w:val="20"/>
        </w:rPr>
        <w:t xml:space="preserve">. Upon satisfaction of the requirements of this Indenture to effect a transfer or exchange of any Global Note (or any portion thereof): </w:t>
      </w:r>
    </w:p>
    <w:p>
      <w:pPr>
        <w:pStyle w:val="TextBody"/>
        <w:bidi w:val="0"/>
        <w:spacing w:before="120" w:after="0"/>
        <w:jc w:val="left"/>
        <w:rPr>
          <w:rFonts w:ascii="Times New Roman" w:hAnsi="Times New Roman"/>
          <w:sz w:val="20"/>
        </w:rPr>
      </w:pPr>
      <w:r>
        <w:rPr>
          <w:rFonts w:ascii="Times New Roman" w:hAnsi="Times New Roman"/>
          <w:sz w:val="20"/>
        </w:rPr>
        <w:t xml:space="preserve">(1) 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if required to effect such transfer or exchange, then the Trustee will reflect any resulting increase of the principal amount of any other Global Note by notation on the “Schedule of Exchanges of Interests in the Global Note” forming part of such other Global Note; </w:t>
      </w:r>
    </w:p>
    <w:p>
      <w:pPr>
        <w:pStyle w:val="TextBody"/>
        <w:bidi w:val="0"/>
        <w:spacing w:before="120" w:after="0"/>
        <w:jc w:val="left"/>
        <w:rPr>
          <w:rFonts w:ascii="Times New Roman" w:hAnsi="Times New Roman"/>
          <w:sz w:val="20"/>
        </w:rPr>
      </w:pPr>
      <w:r>
        <w:rPr>
          <w:rFonts w:ascii="Times New Roman" w:hAnsi="Times New Roman"/>
          <w:sz w:val="20"/>
        </w:rPr>
        <w:t xml:space="preserve">(3) if required to effect such transfer or exchange,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a new Global Note bearing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(4) 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Compliance with Depositary Procedures</w:t>
      </w:r>
      <w:r>
        <w:rPr>
          <w:rFonts w:ascii="Times New Roman" w:hAnsi="Times New Roman"/>
          <w:sz w:val="20"/>
        </w:rPr>
        <w:t xml:space="preserve">. Each transfer or exchange of a beneficial interest in any Global Note will be made in accordance with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Transfers and Exchanges of Physical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Requirements for Transfers and Exchanges</w:t>
      </w:r>
      <w:r>
        <w:rPr>
          <w:rFonts w:ascii="Times New Roman" w:hAnsi="Times New Roman"/>
          <w:sz w:val="20"/>
        </w:rPr>
        <w:t xml:space="preserve">.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effect any such transfer or exchange, such Holder must: </w:t>
      </w:r>
    </w:p>
    <w:p>
      <w:pPr>
        <w:pStyle w:val="TextBody"/>
        <w:bidi w:val="0"/>
        <w:spacing w:before="120" w:after="0"/>
        <w:jc w:val="left"/>
        <w:rPr>
          <w:rFonts w:ascii="Times New Roman" w:hAnsi="Times New Roman"/>
          <w:sz w:val="20"/>
        </w:rPr>
      </w:pPr>
      <w:r>
        <w:rPr>
          <w:rFonts w:ascii="Times New Roman" w:hAnsi="Times New Roman"/>
          <w:sz w:val="20"/>
        </w:rPr>
        <w:t xml:space="preserve">(1) surrender such Physical Note to be transferred or exchanged to the office of the Registrar, together with any endorsements or transfer instruments reasonably required by the Company, the Trustee or the Registrar; and </w:t>
      </w:r>
    </w:p>
    <w:p>
      <w:pPr>
        <w:pStyle w:val="TextBody"/>
        <w:bidi w:val="0"/>
        <w:spacing w:before="120" w:after="0"/>
        <w:jc w:val="left"/>
        <w:rPr>
          <w:rFonts w:ascii="Times New Roman" w:hAnsi="Times New Roman"/>
          <w:sz w:val="20"/>
        </w:rPr>
      </w:pPr>
      <w:r>
        <w:rPr>
          <w:rFonts w:ascii="Times New Roman" w:hAnsi="Times New Roman"/>
          <w:sz w:val="20"/>
        </w:rPr>
        <w:t xml:space="preserve">(2) deliver such certificates, documentation or evidence as may be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2.10(D)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Effecting Transfers and Exchanges</w:t>
      </w:r>
      <w:r>
        <w:rPr>
          <w:rFonts w:ascii="Times New Roman" w:hAnsi="Times New Roman"/>
          <w:sz w:val="20"/>
        </w:rPr>
        <w:t xml:space="preserve">. Upon the satisfaction of the requirements of this Indenture to effect a transfer or exchange of any Physical Note (such Physical Note being referred to as the “old Physical Note”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2.10(C)(ii)</w:t>
      </w:r>
      <w:r>
        <w:rPr>
          <w:rFonts w:ascii="Times New Roman" w:hAnsi="Times New Roman"/>
          <w:sz w:val="20"/>
        </w:rPr>
        <w:t xml:space="preserve">) of a Holder (or any portion of such old Physical Note in an Authorized Denomination): </w:t>
      </w:r>
    </w:p>
    <w:p>
      <w:pPr>
        <w:pStyle w:val="TextBody"/>
        <w:bidi w:val="0"/>
        <w:spacing w:before="120" w:after="0"/>
        <w:jc w:val="left"/>
        <w:rPr>
          <w:rFonts w:ascii="Times New Roman" w:hAnsi="Times New Roman"/>
          <w:sz w:val="20"/>
        </w:rPr>
      </w:pPr>
      <w:r>
        <w:rPr>
          <w:rFonts w:ascii="Times New Roman" w:hAnsi="Times New Roman"/>
          <w:sz w:val="20"/>
        </w:rPr>
        <w:t xml:space="preserve">(1) such old Physical Note will be promptly cancelled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if such old Physical Note is to be so transferred or exchanged only in part,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transfer: </w:t>
      </w:r>
    </w:p>
    <w:p>
      <w:pPr>
        <w:pStyle w:val="TextBody"/>
        <w:bidi w:val="0"/>
        <w:spacing w:before="120" w:after="0"/>
        <w:jc w:val="left"/>
        <w:rPr>
          <w:rFonts w:ascii="Times New Roman" w:hAnsi="Times New Roman"/>
          <w:sz w:val="20"/>
        </w:rPr>
      </w:pPr>
      <w:r>
        <w:rPr>
          <w:rFonts w:ascii="Times New Roman" w:hAnsi="Times New Roman"/>
          <w:sz w:val="20"/>
        </w:rPr>
        <w:t xml:space="preserve">(a) 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transfer cannot be so effected by notation on one or more existing Global Notes (whether because no Global Notes bearing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(b) 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in the case of an exchange,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Requirement to Deliver Documentation and Other Evidence</w:t>
      </w:r>
      <w:r>
        <w:rPr>
          <w:rFonts w:ascii="Times New Roman" w:hAnsi="Times New Roman"/>
          <w:sz w:val="20"/>
        </w:rPr>
        <w:t xml:space="preserve">. If a Holder of any Note that is identified by a “restricted” CUSIP number or that bears a Restricted Note Legend or is a Transfer-Restricted Security requests to: </w:t>
      </w:r>
    </w:p>
    <w:p>
      <w:pPr>
        <w:pStyle w:val="TextBody"/>
        <w:bidi w:val="0"/>
        <w:spacing w:before="120" w:after="0"/>
        <w:jc w:val="left"/>
        <w:rPr>
          <w:rFonts w:ascii="Times New Roman" w:hAnsi="Times New Roman"/>
          <w:sz w:val="20"/>
        </w:rPr>
      </w:pPr>
      <w:r>
        <w:rPr>
          <w:rFonts w:ascii="Times New Roman" w:hAnsi="Times New Roman"/>
          <w:sz w:val="20"/>
        </w:rPr>
        <w:t xml:space="preserve">(i) cause such Note to be identified by an “unrestricted” CUSIP number; </w:t>
      </w:r>
    </w:p>
    <w:p>
      <w:pPr>
        <w:pStyle w:val="TextBody"/>
        <w:bidi w:val="0"/>
        <w:spacing w:before="120" w:after="0"/>
        <w:jc w:val="left"/>
        <w:rPr>
          <w:rFonts w:ascii="Times New Roman" w:hAnsi="Times New Roman"/>
          <w:sz w:val="20"/>
        </w:rPr>
      </w:pPr>
      <w:r>
        <w:rPr>
          <w:rFonts w:ascii="Times New Roman" w:hAnsi="Times New Roman"/>
          <w:sz w:val="20"/>
        </w:rPr>
        <w:t xml:space="preserve">(ii) remove such Restricted Note Legend; or </w:t>
      </w:r>
    </w:p>
    <w:p>
      <w:pPr>
        <w:pStyle w:val="TextBody"/>
        <w:bidi w:val="0"/>
        <w:spacing w:before="120" w:after="0"/>
        <w:jc w:val="left"/>
        <w:rPr>
          <w:rFonts w:ascii="Times New Roman" w:hAnsi="Times New Roman"/>
          <w:sz w:val="20"/>
        </w:rPr>
      </w:pPr>
      <w:r>
        <w:rPr>
          <w:rFonts w:ascii="Times New Roman" w:hAnsi="Times New Roman"/>
          <w:sz w:val="20"/>
        </w:rPr>
        <w:t xml:space="preserve">(iii) register the transfer of such Note to the name of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for the Company to determine that such identification, removal or transfer, as applicable, complies with the Securities Act and other applicable securities laws;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certificates, documentation or evidence need be so delivered on or after the Free Trade Date with respect to such Note 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Transfers of Notes Subject to Redemption, Repurchase or Conversion</w:t>
      </w:r>
      <w:r>
        <w:rPr>
          <w:rFonts w:ascii="Times New Roman" w:hAnsi="Times New Roman"/>
          <w:sz w:val="20"/>
        </w:rPr>
        <w:t xml:space="preserve">. Notwithstanding anything to the contrary in this Indenture or the 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2.11. EXCHANGE AND CANCELLATION OF NOTES TO BE CONVERTED OR TO BE REPURCHASED PURSUANT TO A REPURCHASE UPON FUNDAMENTAL CHANGE OR REDEMPTION.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Partial Conversions of Physical Notes and Partial Repurchases of Physical Notes Pursuant to a Repurchase Upon Fundamental Change</w:t>
      </w:r>
      <w:r>
        <w:rPr>
          <w:rFonts w:ascii="Times New Roman" w:hAnsi="Times New Roman"/>
          <w:sz w:val="20"/>
        </w:rPr>
        <w:t xml:space="preserve"> </w:t>
      </w:r>
      <w:r>
        <w:rPr>
          <w:rFonts w:ascii="Times New Roman" w:hAnsi="Times New Roman"/>
          <w:i/>
          <w:sz w:val="20"/>
        </w:rPr>
        <w:t>or Redemption</w:t>
      </w:r>
      <w:r>
        <w:rPr>
          <w:rFonts w:ascii="Times New Roman" w:hAnsi="Times New Roman"/>
          <w:sz w:val="20"/>
        </w:rPr>
        <w:t xml:space="preserve">. If only a portion of a Physical Note of a Holder is to be Converted pursuant to </w:t>
      </w:r>
      <w:r>
        <w:rPr>
          <w:rFonts w:ascii="Times New Roman" w:hAnsi="Times New Roman"/>
          <w:b/>
          <w:sz w:val="20"/>
        </w:rPr>
        <w:t>Article 5</w:t>
      </w:r>
      <w:r>
        <w:rPr>
          <w:rFonts w:ascii="Times New Roman" w:hAnsi="Times New Roman"/>
          <w:sz w:val="20"/>
        </w:rPr>
        <w:t xml:space="preserve"> or repurchased pursuant to a Repurchase Upon Fundamental Change or Redemption, then, as soon as reasonably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such Physical Note is surrendered for such Conversion or repurchase, as applicable, the Company will cause such Physical Note to be exchanged, pursuant and subject to </w:t>
      </w:r>
      <w:r>
        <w:rPr>
          <w:rFonts w:ascii="Times New Roman" w:hAnsi="Times New Roman"/>
          <w:b/>
          <w:sz w:val="20"/>
        </w:rPr>
        <w:t>Section</w:t>
      </w:r>
      <w:r>
        <w:rPr>
          <w:rFonts w:ascii="Times New Roman" w:hAnsi="Times New Roman"/>
          <w:sz w:val="20"/>
        </w:rPr>
        <w:t> </w:t>
      </w:r>
      <w:r>
        <w:rPr>
          <w:rFonts w:ascii="Times New Roman" w:hAnsi="Times New Roman"/>
          <w:b/>
          <w:sz w:val="20"/>
        </w:rPr>
        <w:t>2.10(C)</w:t>
      </w:r>
      <w:r>
        <w:rPr>
          <w:rFonts w:ascii="Times New Roman" w:hAnsi="Times New Roman"/>
          <w:sz w:val="20"/>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Physical Note referred to in this </w:t>
      </w:r>
      <w:r>
        <w:rPr>
          <w:rFonts w:ascii="Times New Roman" w:hAnsi="Times New Roman"/>
          <w:b/>
          <w:sz w:val="20"/>
        </w:rPr>
        <w:t>clause (ii)</w:t>
      </w:r>
      <w:r>
        <w:rPr>
          <w:rFonts w:ascii="Times New Roman" w:hAnsi="Times New Roman"/>
          <w:sz w:val="20"/>
        </w:rPr>
        <w:t xml:space="preserve"> need not be issued at any time after which such principal amount subject to such Conversion or repurchase, as applicable, is deemed to cease to be outstanding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Cancellation of Notes that Are Converted and Notes that Are Repurchased Pursuant to a Repurchase Upon Fundamental Change</w:t>
      </w:r>
      <w:r>
        <w:rPr>
          <w:rFonts w:ascii="Times New Roman" w:hAnsi="Times New Roman"/>
          <w:sz w:val="20"/>
        </w:rPr>
        <w:t xml:space="preserve"> </w:t>
      </w:r>
      <w:r>
        <w:rPr>
          <w:rFonts w:ascii="Times New Roman" w:hAnsi="Times New Roman"/>
          <w:i/>
          <w:sz w:val="20"/>
        </w:rPr>
        <w:t>or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Physical Notes</w:t>
      </w:r>
      <w:r>
        <w:rPr>
          <w:rFonts w:ascii="Times New Roman" w:hAnsi="Times New Roman"/>
          <w:sz w:val="20"/>
        </w:rPr>
        <w:t xml:space="preserve">. If a Physical Note (or any portion thereof that has not theretofore been exchanged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2.11(A)</w:t>
      </w:r>
      <w:r>
        <w:rPr>
          <w:rFonts w:ascii="Times New Roman" w:hAnsi="Times New Roman"/>
          <w:sz w:val="20"/>
        </w:rPr>
        <w:t xml:space="preserve">) of a Holder is to be Converted pursuant to </w:t>
      </w:r>
      <w:r>
        <w:rPr>
          <w:rFonts w:ascii="Times New Roman" w:hAnsi="Times New Roman"/>
          <w:b/>
          <w:sz w:val="20"/>
        </w:rPr>
        <w:t>Article 5</w:t>
      </w:r>
      <w:r>
        <w:rPr>
          <w:rFonts w:ascii="Times New Roman" w:hAnsi="Times New Roman"/>
          <w:sz w:val="20"/>
        </w:rPr>
        <w:t xml:space="preserve"> or repurchased pursuant to a Repurchase Upon Fundamental Change or Redemption, then, promptly after the later of the time such Physical Note (or such portion) is deemed to cease to be outstanding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2.18</w:t>
      </w:r>
      <w:r>
        <w:rPr>
          <w:rFonts w:ascii="Times New Roman" w:hAnsi="Times New Roman"/>
          <w:sz w:val="20"/>
        </w:rPr>
        <w:t xml:space="preserve"> and the time such Physical Note is surrendered for such Conversion or repurchase, as applicable, (1) such Physical Note will be cancelled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2.15</w:t>
      </w:r>
      <w:r>
        <w:rPr>
          <w:rFonts w:ascii="Times New Roman" w:hAnsi="Times New Roman"/>
          <w:sz w:val="20"/>
        </w:rPr>
        <w:t xml:space="preserve">; and (2) in the case of a partial Conversion or repurchase, as applicable, the Company will issue, execute and deliver to such Holder,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Global Notes</w:t>
      </w:r>
      <w:r>
        <w:rPr>
          <w:rFonts w:ascii="Times New Roman" w:hAnsi="Times New Roman"/>
          <w:sz w:val="20"/>
        </w:rPr>
        <w:t xml:space="preserve">. If a Global Note (or any portion thereof) is to be Converted pursuant to </w:t>
      </w:r>
      <w:r>
        <w:rPr>
          <w:rFonts w:ascii="Times New Roman" w:hAnsi="Times New Roman"/>
          <w:b/>
          <w:sz w:val="20"/>
        </w:rPr>
        <w:t>Article 5</w:t>
      </w:r>
      <w:r>
        <w:rPr>
          <w:rFonts w:ascii="Times New Roman" w:hAnsi="Times New Roman"/>
          <w:sz w:val="20"/>
        </w:rPr>
        <w:t xml:space="preserve"> or repurchased pursuant to a Repurchase Upon Fundamental Change or Redemption, then, promptly after the time such Note (or such portion) is deemed to cease to be outstanding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2.18</w:t>
      </w:r>
      <w:r>
        <w:rPr>
          <w:rFonts w:ascii="Times New Roman" w:hAnsi="Times New Roman"/>
          <w:sz w:val="20"/>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2.15</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2.12. REMOVAL OF 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any other provision of this Indenture (including </w:t>
      </w: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the Restricted Note Legend affixed to any Note will be deemed,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ISIN number at the time of such delivery, then, upon such delivery, such Note will be deemed,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and the footnotes to the CUSIP and ISIN numbers set forth on the face of the certificate representing such Note, to thereafter bear the “unrestricted” CUSIP and ISIN numbers identified in such footnotes;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Note is a Global Note and the Depositary thereof requires a mandatory exchange or other procedure to cause such Global Note to be identified by “unrestricted” CUSIP and ISIN numbers in the facilities of such Depositary, then,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and the definition of Freely Tradable, such Global Note will not be deemed to be identified by “unrestricted” CUSIP and ISIN numbers until such time as such exchange or procedure is effected.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2.13. REPLACEMENT NOTES. </w:t>
      </w:r>
    </w:p>
    <w:p>
      <w:pPr>
        <w:pStyle w:val="TextBody"/>
        <w:bidi w:val="0"/>
        <w:spacing w:before="120" w:after="0"/>
        <w:jc w:val="left"/>
        <w:rPr>
          <w:rFonts w:ascii="Times New Roman" w:hAnsi="Times New Roman"/>
          <w:sz w:val="20"/>
        </w:rPr>
      </w:pPr>
      <w:r>
        <w:rPr>
          <w:rFonts w:ascii="Times New Roman" w:hAnsi="Times New Roman"/>
          <w:sz w:val="20"/>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a replacement Note upon surrender to the Trustee of such mutilated Note, or upon delivery to the Trustee of evidence of such loss, destruction or wrongful taking reasonably satisfactory to the Trustee and the Company. The Company may charge the Holder of a Note for the Company’s and the Trustee’s expenses in replacing such Note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2.13</w:t>
      </w:r>
      <w:r>
        <w:rPr>
          <w:rFonts w:ascii="Times New Roman" w:hAnsi="Times New Roman"/>
          <w:sz w:val="20"/>
        </w:rPr>
        <w:t xml:space="preserve">. In addition, in the case of a lost, destroyed or wrongfully taken Note, the Company and the Trustee may require the Holder thereof to provide such security or indemnity that is satisfactory to the Company and the Trustee to protect the Company and the Trustee from any loss that any of them may suffer if such Note is replaced.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Note issued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2.13</w:t>
      </w:r>
      <w:r>
        <w:rPr>
          <w:rFonts w:ascii="Times New Roman" w:hAnsi="Times New Roman"/>
          <w:sz w:val="20"/>
        </w:rPr>
        <w:t xml:space="preserve"> will be an additional obligation of the Company and will be entitled to all of the benefits of this Indenture equally and ratably with all other Notes issued under this Indenture, regardless of whether the related lost, destroyed or wrongfully taken Note is at any time enforceable by any Person.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2.14. REGISTERED HOLDERS; CERTAIN RIGHTS WITH RESPECT TO GLOBAL NOTES. </w:t>
      </w:r>
    </w:p>
    <w:p>
      <w:pPr>
        <w:pStyle w:val="TextBody"/>
        <w:bidi w:val="0"/>
        <w:spacing w:before="120" w:after="0"/>
        <w:jc w:val="left"/>
        <w:rPr>
          <w:rFonts w:ascii="Times New Roman" w:hAnsi="Times New Roman"/>
          <w:sz w:val="20"/>
        </w:rPr>
      </w:pPr>
      <w:r>
        <w:rPr>
          <w:rFonts w:ascii="Times New Roman" w:hAnsi="Times New Roman"/>
          <w:sz w:val="20"/>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2.15. CANCELLATION.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the Company may not originally issue new Notes to replace Notes that it has paid or that have been cancelled upon transfer, exchange, payment or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2.16. NOTES HELD BY THE COMPANY OR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2.18</w:t>
      </w:r>
      <w:r>
        <w:rPr>
          <w:rFonts w:ascii="Times New Roman" w:hAnsi="Times New Roman"/>
          <w:sz w:val="20"/>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for purposes of determining whether the Trustee is protected in relying on any such direction, waiver or consent, only Notes that a Responsible Officer of the Trustee knows are so owned will be so disregarded.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2.17. TEMPORARY NOTES. </w:t>
      </w:r>
    </w:p>
    <w:p>
      <w:pPr>
        <w:pStyle w:val="TextBody"/>
        <w:bidi w:val="0"/>
        <w:spacing w:before="120" w:after="0"/>
        <w:jc w:val="left"/>
        <w:rPr>
          <w:rFonts w:ascii="Times New Roman" w:hAnsi="Times New Roman"/>
          <w:sz w:val="20"/>
        </w:rPr>
      </w:pPr>
      <w:r>
        <w:rPr>
          <w:rFonts w:ascii="Times New Roman" w:hAnsi="Times New Roman"/>
          <w:sz w:val="20"/>
        </w:rPr>
        <w:t xml:space="preserve">Until definitive Notes are ready for delivery, the Company may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definitive Notes in exchange for temporary Notes. Until so exchanged, each temporary Note will in all respects be entitled to the same benefits under this Indenture as definitive Notes.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2.18. OUTSTANDING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Notes that are outstanding at any time will be deemed to be those Notes that, at such time, have been duly executed and authenticated, excluding those Notes (or portions thereof) that have theretofore been (i) cancelled by the Trustee or delivered to the Trustee for cancellation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2.15</w:t>
      </w:r>
      <w:r>
        <w:rPr>
          <w:rFonts w:ascii="Times New Roman" w:hAnsi="Times New Roman"/>
          <w:sz w:val="20"/>
        </w:rPr>
        <w:t xml:space="preserve">; (ii) assigned a principal amount of zero by notation on the “Schedule of Exchanges of Interests in the Global Note” forming part of any Global Note representing such Note; (iii) paid in full (including upon Conversion) in accordance with this Indenture; or (iv) deemed to cease to be outstanding to the extent provided in, and subject to, </w:t>
      </w:r>
      <w:r>
        <w:rPr>
          <w:rFonts w:ascii="Times New Roman" w:hAnsi="Times New Roman"/>
          <w:b/>
          <w:sz w:val="20"/>
        </w:rPr>
        <w:t>clause (B)</w:t>
      </w:r>
      <w:r>
        <w:rPr>
          <w:rFonts w:ascii="Times New Roman" w:hAnsi="Times New Roman"/>
          <w:sz w:val="20"/>
        </w:rPr>
        <w:t xml:space="preserve">, </w:t>
      </w:r>
      <w:r>
        <w:rPr>
          <w:rFonts w:ascii="Times New Roman" w:hAnsi="Times New Roman"/>
          <w:b/>
          <w:sz w:val="20"/>
        </w:rPr>
        <w:t>(C)</w:t>
      </w:r>
      <w:r>
        <w:rPr>
          <w:rFonts w:ascii="Times New Roman" w:hAnsi="Times New Roman"/>
          <w:sz w:val="20"/>
        </w:rPr>
        <w:t xml:space="preserve"> or </w:t>
      </w:r>
      <w:r>
        <w:rPr>
          <w:rFonts w:ascii="Times New Roman" w:hAnsi="Times New Roman"/>
          <w:b/>
          <w:sz w:val="20"/>
        </w:rPr>
        <w:t>(D)</w:t>
      </w:r>
      <w:r>
        <w:rPr>
          <w:rFonts w:ascii="Times New Roman" w:hAnsi="Times New Roman"/>
          <w:sz w:val="20"/>
        </w:rPr>
        <w:t xml:space="preserve"> of this </w:t>
      </w:r>
      <w:r>
        <w:rPr>
          <w:rFonts w:ascii="Times New Roman" w:hAnsi="Times New Roman"/>
          <w:b/>
          <w:sz w:val="20"/>
        </w:rPr>
        <w:t>Section</w:t>
      </w:r>
      <w:r>
        <w:rPr>
          <w:rFonts w:ascii="Times New Roman" w:hAnsi="Times New Roman"/>
          <w:sz w:val="20"/>
        </w:rPr>
        <w:t> </w:t>
      </w:r>
      <w:r>
        <w:rPr>
          <w:rFonts w:ascii="Times New Roman" w:hAnsi="Times New Roman"/>
          <w:b/>
          <w:sz w:val="20"/>
        </w:rPr>
        <w:t>2.18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Replaced Notes</w:t>
      </w:r>
      <w:r>
        <w:rPr>
          <w:rFonts w:ascii="Times New Roman" w:hAnsi="Times New Roman"/>
          <w:sz w:val="20"/>
        </w:rPr>
        <w:t xml:space="preserve">. If a Note is replaced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2.13</w:t>
      </w:r>
      <w:r>
        <w:rPr>
          <w:rFonts w:ascii="Times New Roman" w:hAnsi="Times New Roman"/>
          <w:sz w:val="20"/>
        </w:rPr>
        <w:t>, then such Note will cease to be outstanding at the time of its replacement, unless the Trustee and the Company receive proof reasonably satisfactory to them that such Note is held by a “</w:t>
      </w:r>
      <w:r>
        <w:rPr>
          <w:rFonts w:ascii="Times New Roman" w:hAnsi="Times New Roman"/>
          <w:i/>
          <w:sz w:val="20"/>
        </w:rPr>
        <w:t>bona fide</w:t>
      </w:r>
      <w:r>
        <w:rPr>
          <w:rFonts w:ascii="Times New Roman" w:hAnsi="Times New Roman"/>
          <w:sz w:val="20"/>
        </w:rPr>
        <w:t xml:space="preserve"> purchaser”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Maturing Notes and Notes Called for Redemption or Subject to Repurchase</w:t>
      </w:r>
      <w:r>
        <w:rPr>
          <w:rFonts w:ascii="Times New Roman" w:hAnsi="Times New Roman"/>
          <w:sz w:val="20"/>
        </w:rPr>
        <w:t xml:space="preserve">. If, on a Redemption Date, a Fundamental Change 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r>
        <w:rPr>
          <w:rFonts w:ascii="Times New Roman" w:hAnsi="Times New Roman"/>
          <w:b/>
          <w:sz w:val="20"/>
        </w:rPr>
        <w:t>4.03(G)</w:t>
      </w:r>
      <w:r>
        <w:rPr>
          <w:rFonts w:ascii="Times New Roman" w:hAnsi="Times New Roman"/>
          <w:sz w:val="20"/>
        </w:rPr>
        <w:t xml:space="preserve"> or </w:t>
      </w:r>
      <w:r>
        <w:rPr>
          <w:rFonts w:ascii="Times New Roman" w:hAnsi="Times New Roman"/>
          <w:b/>
          <w:sz w:val="20"/>
        </w:rPr>
        <w:t>5.02(D)</w:t>
      </w:r>
      <w:r>
        <w:rPr>
          <w:rFonts w:ascii="Times New Roman" w:hAnsi="Times New Roman"/>
          <w:sz w:val="20"/>
        </w:rPr>
        <w:t xml:space="preserve">;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Notes to Be Converted</w:t>
      </w:r>
      <w:r>
        <w:rPr>
          <w:rFonts w:ascii="Times New Roman" w:hAnsi="Times New Roman"/>
          <w:sz w:val="20"/>
        </w:rPr>
        <w:t xml:space="preserve">. At the Close of Business on the Conversion Date for any Note (or any portion thereof) to be Converted, such Note (or such portion) will (unless there occurs a Default in the delivery of the Conversion Consideration or interest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5.03(B)</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upon such Conversion) be deemed to cease to be outstanding,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Cessation of Accrual of Interest</w:t>
      </w:r>
      <w:r>
        <w:rPr>
          <w:rFonts w:ascii="Times New Roman" w:hAnsi="Times New Roman"/>
          <w:sz w:val="20"/>
        </w:rPr>
        <w:t xml:space="preserve">.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r>
        <w:rPr>
          <w:rFonts w:ascii="Times New Roman" w:hAnsi="Times New Roman"/>
          <w:b/>
          <w:sz w:val="20"/>
        </w:rPr>
        <w:t>4.03(G)</w:t>
      </w:r>
      <w:r>
        <w:rPr>
          <w:rFonts w:ascii="Times New Roman" w:hAnsi="Times New Roman"/>
          <w:sz w:val="20"/>
        </w:rPr>
        <w:t xml:space="preserve"> or </w:t>
      </w:r>
      <w:r>
        <w:rPr>
          <w:rFonts w:ascii="Times New Roman" w:hAnsi="Times New Roman"/>
          <w:b/>
          <w:sz w:val="20"/>
        </w:rPr>
        <w:t>5.02(D)</w:t>
      </w:r>
      <w:r>
        <w:rPr>
          <w:rFonts w:ascii="Times New Roman" w:hAnsi="Times New Roman"/>
          <w:sz w:val="20"/>
        </w:rPr>
        <w:t xml:space="preserve">, interest will cease to accrue on each Note from, and including, the date that such Note is deemed,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2.18</w:t>
      </w:r>
      <w:r>
        <w:rPr>
          <w:rFonts w:ascii="Times New Roman" w:hAnsi="Times New Roman"/>
          <w:sz w:val="20"/>
        </w:rPr>
        <w:t xml:space="preserve">, to cease to be outstanding, unless there occurs a Default in the payment or delivery of any cash or other property due on such Note.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2.19. REPURCHASES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2.15</w:t>
      </w:r>
      <w:r>
        <w:rPr>
          <w:rFonts w:ascii="Times New Roman" w:hAnsi="Times New Roman"/>
          <w:sz w:val="20"/>
        </w:rPr>
        <w:t xml:space="preserve">, the Company and its Affiliates may, from time to time, repurchase Notes in open market purchases or in negotiated transactions without delivering prior notice to Holders.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2.20. CUSIP AND ISIN NUMBERS. </w:t>
      </w:r>
    </w:p>
    <w:p>
      <w:pPr>
        <w:pStyle w:val="TextBody"/>
        <w:bidi w:val="0"/>
        <w:spacing w:before="120" w:after="0"/>
        <w:jc w:val="left"/>
        <w:rPr>
          <w:rFonts w:ascii="Times New Roman" w:hAnsi="Times New Roman"/>
          <w:sz w:val="20"/>
        </w:rPr>
      </w:pPr>
      <w:r>
        <w:rPr>
          <w:rFonts w:ascii="Times New Roman" w:hAnsi="Times New Roman"/>
          <w:sz w:val="20"/>
        </w:rPr>
        <w:t xml:space="preserve">Subject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the Company may use one or more CUSIP or ISIN numbers to identify any of the Notes, and, if so, the Company and the Trustee will use such CUSIP or ISIN number(s) in notices to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COVENANTS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3.01. PAYMENT ON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Company will pay or cause to be paid all the principal of, the Fundamental Change Repurchase Price and Redemption Price for, interest on, and other amounts due with respect to, the Notes on the dates and in the manner set forth in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Deposit of Funds</w:t>
      </w:r>
      <w:r>
        <w:rPr>
          <w:rFonts w:ascii="Times New Roman" w:hAnsi="Times New Roman"/>
          <w:sz w:val="20"/>
        </w:rPr>
        <w:t xml:space="preserve">. Before 11:00 A.M., New York City time, on each Redemption Date, Fundamental Change Repurchase Date or 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3.02. EXCHANGE ACT REPORTS.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Company will send to the Trustee copies of all reports that the Company is required to file with the SEC pursuant to Section 13(a) or 15(d) of the Exchange Act within fifteen (15) calendar days after the date that the Company is required to file the same (after giving effect to all applicable grace periods under the Exchange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other than a report that is deemed to be sent to the Trustee pursuant to the preceding sentence. </w:t>
      </w:r>
    </w:p>
    <w:p>
      <w:pPr>
        <w:pStyle w:val="TextBody"/>
        <w:bidi w:val="0"/>
        <w:spacing w:before="120" w:after="0"/>
        <w:jc w:val="left"/>
        <w:rPr>
          <w:rFonts w:ascii="Times New Roman" w:hAnsi="Times New Roman"/>
          <w:sz w:val="20"/>
        </w:rPr>
      </w:pPr>
      <w:r>
        <w:rPr>
          <w:rFonts w:ascii="Times New Roman" w:hAnsi="Times New Roman"/>
          <w:sz w:val="20"/>
        </w:rPr>
        <w:t xml:space="preserve">The “grace periods” referred to in the preceding paragraph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 For the avoidance of doubt, if the Company fails to file with the SEC any report pursuant to Section 13(a) or 15(d) of the Exchange Act on or before the date that the Company is required to file the same (after giving effect to all applicable grace periods under the Exchange Act), then such failure will not constitute a Default with respect to the covenant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at any time before the lapsing of the fifteen (15) calendar days referred to in the first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Trustee’s Disclaimer</w:t>
      </w:r>
      <w:r>
        <w:rPr>
          <w:rFonts w:ascii="Times New Roman" w:hAnsi="Times New Roman"/>
          <w:sz w:val="20"/>
        </w:rPr>
        <w:t xml:space="preserve">. The Trustee need not determine whether the Company has filed any material via the EDGAR system (or such successor). The sending or filing of reports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will not be deemed to constitute actual or constructive notice to the Trustee of any information contained, or determinable from information contained, therein, including the Company’s compliance with any of its covenants under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3.03. RULE 144A INFORMATION.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is not subject to Section 13 or 15(d) of the Exchange Act at any time when any Notes or Common Shares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from and after the De-Legending Deadline Date of any Note, such information need not be provided with respect to such Note, or any Common Share issued upon Conversion of such Note, if such Note or share, as applicable, is Freely Tradable (determined, with respect to any Common Share, as if each reference to any Note in the definition of “Freely Tradable” were instead a reference to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3.04. ADDITIONAL INTEREST.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Accrual of Additional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at any time during the six (6) month period beginning on, and including, the date that is six (6) months after the Last Original Issue Date of any Note, </w:t>
      </w:r>
    </w:p>
    <w:p>
      <w:pPr>
        <w:pStyle w:val="TextBody"/>
        <w:bidi w:val="0"/>
        <w:spacing w:before="120" w:after="0"/>
        <w:jc w:val="left"/>
        <w:rPr>
          <w:rFonts w:ascii="Times New Roman" w:hAnsi="Times New Roman"/>
          <w:sz w:val="20"/>
        </w:rPr>
      </w:pPr>
      <w:r>
        <w:rPr>
          <w:rFonts w:ascii="Times New Roman" w:hAnsi="Times New Roman"/>
          <w:sz w:val="20"/>
        </w:rPr>
        <w:t xml:space="preserve">(1) the Company fails to timely file any report (other than Form 8-K reports) that the Company is required to file with the SEC pursuant to Section 13 or 15(d) of the Exchange Act (after giving effect to all applicable grace periods thereunder); or </w:t>
      </w:r>
    </w:p>
    <w:p>
      <w:pPr>
        <w:pStyle w:val="TextBody"/>
        <w:bidi w:val="0"/>
        <w:spacing w:before="120" w:after="0"/>
        <w:jc w:val="left"/>
        <w:rPr>
          <w:rFonts w:ascii="Times New Roman" w:hAnsi="Times New Roman"/>
          <w:sz w:val="20"/>
        </w:rPr>
      </w:pPr>
      <w:r>
        <w:rPr>
          <w:rFonts w:ascii="Times New Roman" w:hAnsi="Times New Roman"/>
          <w:sz w:val="20"/>
        </w:rPr>
        <w:t xml:space="preserve">(2) such Note is not otherwise Freely Tradable, </w:t>
      </w:r>
    </w:p>
    <w:p>
      <w:pPr>
        <w:pStyle w:val="TextBody"/>
        <w:bidi w:val="0"/>
        <w:spacing w:before="120" w:after="0"/>
        <w:jc w:val="left"/>
        <w:rPr>
          <w:rFonts w:ascii="Times New Roman" w:hAnsi="Times New Roman"/>
          <w:sz w:val="20"/>
        </w:rPr>
      </w:pPr>
      <w:r>
        <w:rPr>
          <w:rFonts w:ascii="Times New Roman" w:hAnsi="Times New Roman"/>
          <w:sz w:val="20"/>
        </w:rPr>
        <w:t xml:space="preserve">then Additional Interest will accrue on such Note for each day during such period on which such failure is continuing or such Note is not Freely Tradable. The “grace periods” referred to in the preceding sentence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 </w:t>
      </w:r>
    </w:p>
    <w:p>
      <w:pPr>
        <w:pStyle w:val="TextBody"/>
        <w:bidi w:val="0"/>
        <w:spacing w:before="120" w:after="0"/>
        <w:jc w:val="left"/>
        <w:rPr>
          <w:rFonts w:ascii="Times New Roman" w:hAnsi="Times New Roman"/>
          <w:sz w:val="20"/>
        </w:rPr>
      </w:pPr>
      <w:r>
        <w:rPr>
          <w:rFonts w:ascii="Times New Roman" w:hAnsi="Times New Roman"/>
          <w:sz w:val="20"/>
        </w:rPr>
        <w:t xml:space="preserve">(ii) In addition, Additional Interest will accrue on a Note on each day on which such Note is not Freely Tradable on or after the De-Legending Deadline Date for such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no Additional Interest will accrue or be owed until the fifth (5th) Business Day following written notification to the Company by the Trustee (or to the Company and the Trustee by any Holder or beneficial owner of the Notes) requesting that the Company complies with its obligations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3.04(A)(i)</w:t>
      </w:r>
      <w:r>
        <w:rPr>
          <w:rFonts w:ascii="Times New Roman" w:hAnsi="Times New Roman"/>
          <w:sz w:val="20"/>
        </w:rPr>
        <w:t xml:space="preserve"> (which notice may be given at any time after the three hundred and thirtieth (330th) day after the Last Original Issue Date of the Initial Notes), it being understood and agreed that in no event will such Additional Interest accrue or be owed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for any period before the applicable De-Legending Deadline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Amount and Payment of Additional Interest</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3.04(C)</w:t>
      </w:r>
      <w:r>
        <w:rPr>
          <w:rFonts w:ascii="Times New Roman" w:hAnsi="Times New Roman"/>
          <w:sz w:val="20"/>
        </w:rPr>
        <w:t xml:space="preserve">, any Additional Interest that accrues on a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3.04(A)</w:t>
      </w:r>
      <w:r>
        <w:rPr>
          <w:rFonts w:ascii="Times New Roman" w:hAnsi="Times New Roman"/>
          <w:sz w:val="20"/>
        </w:rPr>
        <w:t xml:space="preserve"> will be payable on the same dates and in the same manner as the Stated Interest on such Note and will accrue at a rate per annum equal to one quarter of one percent (0.25%) of the principal amount thereof for the first ninety (90) days on which Additional Interest accrues and, thereafter, at a rate per annum equal to one half of one percent (0.50%) of the principal amount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Additional Interest (excluding any interest that accrues on any Deferred Additional Interest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3.04(C)</w:t>
      </w:r>
      <w:r>
        <w:rPr>
          <w:rFonts w:ascii="Times New Roman" w:hAnsi="Times New Roman"/>
          <w:sz w:val="20"/>
        </w:rPr>
        <w:t xml:space="preserve">), together with any Special Interest, accrue on any day on a Note at a combined rate per annum that exceeds one half of one percent (0.50%). For the avoidance of doubt, any Additional Interest that accrues on a Note will be in addition to the Stated Interest that accrues on such Note and, subject to the proviso of the immediately preceding sentence, in addition to any Special Interest that accrues on such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Deferral of Additional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but subject to </w:t>
      </w:r>
      <w:r>
        <w:rPr>
          <w:rFonts w:ascii="Times New Roman" w:hAnsi="Times New Roman"/>
          <w:b/>
          <w:sz w:val="20"/>
        </w:rPr>
        <w:t>Section</w:t>
      </w:r>
      <w:r>
        <w:rPr>
          <w:rFonts w:ascii="Times New Roman" w:hAnsi="Times New Roman"/>
          <w:sz w:val="20"/>
        </w:rPr>
        <w:t> </w:t>
      </w:r>
      <w:r>
        <w:rPr>
          <w:rFonts w:ascii="Times New Roman" w:hAnsi="Times New Roman"/>
          <w:b/>
          <w:sz w:val="20"/>
        </w:rPr>
        <w:t>3.04(C)(iii)</w:t>
      </w:r>
      <w:r>
        <w:rPr>
          <w:rFonts w:ascii="Times New Roman" w:hAnsi="Times New Roman"/>
          <w:sz w:val="20"/>
        </w:rPr>
        <w:t>, Additional Interest that accrues on any Note for any period on or after the De-Legending Deadline Date of such Note will not be payable on any Interest Payment Date occurring on or after such De-Legending Deadline Date unless (1) a Holder (or an owner of a beneficial interest in a Global Note) has delivered to the Company and the Trustee, no later than the fifth (5th) Business Day before the Regular Record Date immediately before such Interest Payment Date, a written notice (a “</w:t>
      </w:r>
      <w:r>
        <w:rPr>
          <w:rFonts w:ascii="Times New Roman" w:hAnsi="Times New Roman"/>
          <w:b/>
          <w:sz w:val="20"/>
        </w:rPr>
        <w:t>Deferred Additional Interest Demand Request</w:t>
      </w:r>
      <w:r>
        <w:rPr>
          <w:rFonts w:ascii="Times New Roman" w:hAnsi="Times New Roman"/>
          <w:sz w:val="20"/>
        </w:rPr>
        <w:t>”) demanding payment of Additional Interest; or (2) the Company, in its sole and absolute discretion, elects, by sending notice of such election (a “</w:t>
      </w:r>
      <w:r>
        <w:rPr>
          <w:rFonts w:ascii="Times New Roman" w:hAnsi="Times New Roman"/>
          <w:b/>
          <w:sz w:val="20"/>
        </w:rPr>
        <w:t>Notice of Election to Pay Deferred Additional Interest</w:t>
      </w:r>
      <w:r>
        <w:rPr>
          <w:rFonts w:ascii="Times New Roman" w:hAnsi="Times New Roman"/>
          <w:sz w:val="20"/>
        </w:rPr>
        <w:t>”) to Holders before such Regular Record Date, to pay such Additional Interest on such Interest Payment Date (any accrued and unpaid Additional Interest that, in accordance with this sentence, is not paid on such Interest Payment Date, “</w:t>
      </w:r>
      <w:r>
        <w:rPr>
          <w:rFonts w:ascii="Times New Roman" w:hAnsi="Times New Roman"/>
          <w:b/>
          <w:sz w:val="20"/>
        </w:rPr>
        <w:t>Deferred Additional Interest</w:t>
      </w:r>
      <w:r>
        <w:rPr>
          <w:rFonts w:ascii="Times New Roman" w:hAnsi="Times New Roman"/>
          <w:sz w:val="20"/>
        </w:rPr>
        <w:t xml:space="preserve">”). Interest will accrue on such Deferred Additional Interest from, and including, such Interest Payment Date at a rate per annum equal to the rate per annum at which Stated Interest accrues on the Notes to, but excluding, the date on which such Deferred Additional Interest, together with accrued interest thereon, is paid. Once any accrued and unpaid Additional Interest becomes payable on an Interest Payment Date (whether as a result of the delivery of a written notice pursuant to </w:t>
      </w:r>
      <w:r>
        <w:rPr>
          <w:rFonts w:ascii="Times New Roman" w:hAnsi="Times New Roman"/>
          <w:b/>
          <w:sz w:val="20"/>
        </w:rPr>
        <w:t>clause (1)</w:t>
      </w:r>
      <w:r>
        <w:rPr>
          <w:rFonts w:ascii="Times New Roman" w:hAnsi="Times New Roman"/>
          <w:sz w:val="20"/>
        </w:rPr>
        <w:t xml:space="preserve"> above or, if earlier, the Company’s election to pay the same pursuant to </w:t>
      </w:r>
      <w:r>
        <w:rPr>
          <w:rFonts w:ascii="Times New Roman" w:hAnsi="Times New Roman"/>
          <w:b/>
          <w:sz w:val="20"/>
        </w:rPr>
        <w:t>clause (2)</w:t>
      </w:r>
      <w:r>
        <w:rPr>
          <w:rFonts w:ascii="Times New Roman" w:hAnsi="Times New Roman"/>
          <w:sz w:val="20"/>
        </w:rPr>
        <w:t xml:space="preserve"> above), Additional Interest will thereafter not be subject to deferral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3.04(C)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Interpretive Provisions</w:t>
      </w:r>
      <w:r>
        <w:rPr>
          <w:rFonts w:ascii="Times New Roman" w:hAnsi="Times New Roman"/>
          <w:sz w:val="20"/>
        </w:rPr>
        <w:t xml:space="preserve">. Each reference in this Indenture or the Notes to any accrued interest (including in the definitions of the Redemption Price and the Fundamental Change Repurchase Price for any Note) or to any accrued Additional Interest includes, to the extent applicable, and without duplication, any Deferred Additional Interest, together with accrued and unpaid interest thereon. For the avoidance of doubt, the failure to pay any accrued and unpaid Additional Interest on an Interest Payment Date will not constitute a Default or an Event of Default under this Indenture or the Notes if such payment is deferred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3.04(C)(i)</w:t>
      </w:r>
      <w:r>
        <w:rPr>
          <w:rFonts w:ascii="Times New Roman" w:hAnsi="Times New Roman"/>
          <w:sz w:val="20"/>
        </w:rPr>
        <w:t xml:space="preserve">. Otherwise, such a failure to pay will be subject to </w:t>
      </w:r>
      <w:r>
        <w:rPr>
          <w:rFonts w:ascii="Times New Roman" w:hAnsi="Times New Roman"/>
          <w:b/>
          <w:sz w:val="20"/>
        </w:rPr>
        <w:t>Section</w:t>
      </w:r>
      <w:r>
        <w:rPr>
          <w:rFonts w:ascii="Times New Roman" w:hAnsi="Times New Roman"/>
          <w:sz w:val="20"/>
        </w:rPr>
        <w:t> </w:t>
      </w:r>
      <w:r>
        <w:rPr>
          <w:rFonts w:ascii="Times New Roman" w:hAnsi="Times New Roman"/>
          <w:b/>
          <w:sz w:val="20"/>
        </w:rPr>
        <w:t>7.01(A)(ii)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Payment or Extinguishment Upon Maturity</w:t>
      </w:r>
      <w:r>
        <w:rPr>
          <w:rFonts w:ascii="Times New Roman" w:hAnsi="Times New Roman"/>
          <w:sz w:val="20"/>
        </w:rPr>
        <w:t xml:space="preserve">. Notwithstanding anything to the contrary in this Indenture or the Notes, if (1) any unpaid Deferred Additional Interest exists on any Notes as of the Close of Business on the Regular Record Date immediately preceding the Maturity Date; (2) no Holder (or owner of a beneficial interest in a Global Note) has delivered a Deferred Additional Interest Demand Request in the manner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3.04(C)(i)</w:t>
      </w:r>
      <w:r>
        <w:rPr>
          <w:rFonts w:ascii="Times New Roman" w:hAnsi="Times New Roman"/>
          <w:sz w:val="20"/>
        </w:rPr>
        <w:t xml:space="preserve"> on or before the fifth (5th) Business Day before such Regular Record Date; and (3) the Company has not sent a Notice of Election to Pay Deferred Additional Interest in the manner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3.04(C)(i)</w:t>
      </w:r>
      <w:r>
        <w:rPr>
          <w:rFonts w:ascii="Times New Roman" w:hAnsi="Times New Roman"/>
          <w:sz w:val="20"/>
        </w:rPr>
        <w:t xml:space="preserve"> before such Regular Record Date, then Deferred Additional Interest on each Note then outstanding will cease to accrue, and all Deferred Additional Interest, together with interest thereon, on such Note will be deemed to be extinguished on the following date: (a) if such Note is to be Converted, the Conversion Date for such Conversion (it being understood, for the avoidance of doubt, that the Conversion Consideration therefor need not include, and the amount referred to in </w:t>
      </w:r>
      <w:r>
        <w:rPr>
          <w:rFonts w:ascii="Times New Roman" w:hAnsi="Times New Roman"/>
          <w:b/>
          <w:sz w:val="20"/>
        </w:rPr>
        <w:t>clause (i)</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need not include, the payment of any such Deferred Additional Interest or any interest thereon); and (b) in all other cases, the later of (x) the Maturity Date; and (y) the first date on which the Company has repaid the principal of, and accrued and unpaid interest (other than such Deferred Additional Interest and any interest thereon) on, such Note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of Accrual of Additional Interest; Trustee’s Disclaimer</w:t>
      </w:r>
      <w:r>
        <w:rPr>
          <w:rFonts w:ascii="Times New Roman" w:hAnsi="Times New Roman"/>
          <w:sz w:val="20"/>
        </w:rPr>
        <w:t xml:space="preserve">. The Company will send notice to the Holder of each Note, and to the Trustee, of the commencement and termination of any period in which Additional Interest accrues on such Note, except that no such notice is required in respect of any Additional Interest that is deferred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3.04(C)</w:t>
      </w:r>
      <w:r>
        <w:rPr>
          <w:rFonts w:ascii="Times New Roman" w:hAnsi="Times New Roman"/>
          <w:sz w:val="20"/>
        </w:rPr>
        <w:t xml:space="preserv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(x) will have no duty to determine whether any Additional Interest is payable (or whether the same is deferred or is accruing interest) or the amount thereof; and (y) may assume (without inquiry) that no Additional Interest is payable or has been deferred unless and until the Company delivers such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Exclusive Remedy</w:t>
      </w:r>
      <w:r>
        <w:rPr>
          <w:rFonts w:ascii="Times New Roman" w:hAnsi="Times New Roman"/>
          <w:sz w:val="20"/>
        </w:rPr>
        <w:t xml:space="preserve">. The accrual of Additional Interest will be the exclusive remedy available to Holders for the failure of their Notes to become Freely Tradable.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3.05.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Requirement to Pay Additional Amounts</w:t>
      </w:r>
      <w:r>
        <w:rPr>
          <w:rFonts w:ascii="Times New Roman" w:hAnsi="Times New Roman"/>
          <w:sz w:val="20"/>
        </w:rPr>
        <w:t>. All payments and deliveries made by, or on behalf of, the Company under or with respect to the Notes (including payment of the principal of, or the Fundamental Change Repurchase Price or Redemption Price for, or any interest on, or the delivery of any Conversion Consideration due upon Conversion of, any Note) will be made without withholding or deduction for, or on account of, any present or future Taxes, unless such withholding or deduction is required by law or regulation or by governmental policy having the force of law. If any Taxes imposed or levied by or on behalf of any jurisdiction (or any political subdivision or taxing authority thereof or therein) in which the Company or any Successor Entity is, for tax purposes, incorporated, organized, resident or engaged in or doing business or through which payment is made or deemed to be made (each such jurisdiction, subdivision or authority, as applicable, a “</w:t>
      </w:r>
      <w:r>
        <w:rPr>
          <w:rFonts w:ascii="Times New Roman" w:hAnsi="Times New Roman"/>
          <w:b/>
          <w:sz w:val="20"/>
        </w:rPr>
        <w:t>Relevant Taxing Jurisdiction</w:t>
      </w:r>
      <w:r>
        <w:rPr>
          <w:rFonts w:ascii="Times New Roman" w:hAnsi="Times New Roman"/>
          <w:sz w:val="20"/>
        </w:rPr>
        <w:t>”) are required to be withheld or deducted from any such payment or delivery (excluding the payment or delivery of any Conversion Consideration due upon the Conversion of any Note) (such payments and deliveries, excluding the items referred to in the preceding parenthetical, the “</w:t>
      </w:r>
      <w:r>
        <w:rPr>
          <w:rFonts w:ascii="Times New Roman" w:hAnsi="Times New Roman"/>
          <w:b/>
          <w:sz w:val="20"/>
        </w:rPr>
        <w:t>Grossable Amounts</w:t>
      </w:r>
      <w:r>
        <w:rPr>
          <w:rFonts w:ascii="Times New Roman" w:hAnsi="Times New Roman"/>
          <w:sz w:val="20"/>
        </w:rPr>
        <w:t xml:space="preserve">”), then, subject to </w:t>
      </w:r>
      <w:r>
        <w:rPr>
          <w:rFonts w:ascii="Times New Roman" w:hAnsi="Times New Roman"/>
          <w:b/>
          <w:sz w:val="20"/>
        </w:rPr>
        <w:t>Section</w:t>
      </w:r>
      <w:r>
        <w:rPr>
          <w:rFonts w:ascii="Times New Roman" w:hAnsi="Times New Roman"/>
          <w:sz w:val="20"/>
        </w:rPr>
        <w:t> </w:t>
      </w:r>
      <w:r>
        <w:rPr>
          <w:rFonts w:ascii="Times New Roman" w:hAnsi="Times New Roman"/>
          <w:b/>
          <w:sz w:val="20"/>
        </w:rPr>
        <w:t>4.03(C)(ii)</w:t>
      </w:r>
      <w:r>
        <w:rPr>
          <w:rFonts w:ascii="Times New Roman" w:hAnsi="Times New Roman"/>
          <w:sz w:val="20"/>
        </w:rPr>
        <w:t>, the Company or such Successor Entity, as applicable, will pay to the Holder of each Note such additional amounts (the “</w:t>
      </w:r>
      <w:r>
        <w:rPr>
          <w:rFonts w:ascii="Times New Roman" w:hAnsi="Times New Roman"/>
          <w:b/>
          <w:sz w:val="20"/>
        </w:rPr>
        <w:t>Additional Amounts</w:t>
      </w:r>
      <w:r>
        <w:rPr>
          <w:rFonts w:ascii="Times New Roman" w:hAnsi="Times New Roman"/>
          <w:sz w:val="20"/>
        </w:rPr>
        <w:t xml:space="preserve">”) as may be necessary to ensure that the net amount received in respect of such Grossable Amounts by the Holder or beneficial owner of such Note after such withholding or deduction (and after withholding or deducting any Taxes on the Additional Amounts) will equal the amounts that would have been received in respect of such Grossable Amounts by such Holder or beneficial owner had no such withholding or deduction been required;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obligation to pay Additional Amounts will not apply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 Tax that would not have been imposed but for: </w:t>
      </w:r>
    </w:p>
    <w:p>
      <w:pPr>
        <w:pStyle w:val="TextBody"/>
        <w:bidi w:val="0"/>
        <w:spacing w:before="120" w:after="0"/>
        <w:jc w:val="left"/>
        <w:rPr>
          <w:rFonts w:ascii="Times New Roman" w:hAnsi="Times New Roman"/>
          <w:sz w:val="20"/>
        </w:rPr>
      </w:pPr>
      <w:r>
        <w:rPr>
          <w:rFonts w:ascii="Times New Roman" w:hAnsi="Times New Roman"/>
          <w:sz w:val="20"/>
        </w:rPr>
        <w:t xml:space="preserve">(1) the existence of any present or former connection between the Holder or beneficial owner of such Note (or between a fiduciary, settlor, beneficiary, partner of, member or shareholder of, or possessor of a power over, the relevant Holder or beneficial owner, if the relevant Holder or beneficial owner is an estate, trust, nominee, partnership, limited liability company or corporation) and the Relevant Taxing Jurisdiction (other than a connection from merely acquiring, owning, holding or being a beneficial owner of such Note or the receipt or enforcement of payments or deliveries thereunder), including such Holder or beneficial owner being or having been a citizen, national, domiciliary or resident, or treated as a resident, of, or being or having been engaged in a trade or business, or having had a permanent establishment or other physical presence, in, such Relevant Taxing Jurisdiction; </w:t>
      </w:r>
    </w:p>
    <w:p>
      <w:pPr>
        <w:pStyle w:val="TextBody"/>
        <w:bidi w:val="0"/>
        <w:spacing w:before="120" w:after="0"/>
        <w:jc w:val="left"/>
        <w:rPr>
          <w:rFonts w:ascii="Times New Roman" w:hAnsi="Times New Roman"/>
          <w:sz w:val="20"/>
        </w:rPr>
      </w:pPr>
      <w:r>
        <w:rPr>
          <w:rFonts w:ascii="Times New Roman" w:hAnsi="Times New Roman"/>
          <w:sz w:val="20"/>
        </w:rPr>
        <w:t xml:space="preserve">(2) in cases where presentation of such Note is required to receive such payment or delivery, the presentation of such Note after a period of thirty (30) days after the later of (x) the date on which such payment or delivery became due and payable or deliverable, as applicable, pursuant to the terms of this Indenture and (y) the date such payment or delivery was made or duly provided for, except, in each case, to the extent that such Holder or beneficial owner would have been entitled to Additional Amounts if it presented such Note for payment or delivery, as applicable, at the end of such thirty (30) day period; or </w:t>
      </w:r>
    </w:p>
    <w:p>
      <w:pPr>
        <w:pStyle w:val="TextBody"/>
        <w:bidi w:val="0"/>
        <w:spacing w:before="120" w:after="0"/>
        <w:jc w:val="left"/>
        <w:rPr>
          <w:rFonts w:ascii="Times New Roman" w:hAnsi="Times New Roman"/>
          <w:sz w:val="20"/>
        </w:rPr>
      </w:pPr>
      <w:r>
        <w:rPr>
          <w:rFonts w:ascii="Times New Roman" w:hAnsi="Times New Roman"/>
          <w:sz w:val="20"/>
        </w:rPr>
        <w:t xml:space="preserve">(3) the failure of such Holder or beneficial owner to comply with a timely request from the Company or the Successor Entity, addressed to such Holder or beneficial owner, to (x) provide certification, identification, information, documentation or other evidence concerning such Holder’s or beneficial owner’s nationality, residence, identity or connection with such Relevant Taxing Jurisdiction; or (y) make any declaration or satisfy any other reporting requirement relating to such matters, in each case if and to the extent that such Holder or beneficial owner is legally entitled without material burden to comply with such request and due and timely compliance with such request is required by statute, regulation or administrative practice of such Relevant Taxing Jurisdiction in order to reduce or eliminate such withholding or deduction; </w:t>
      </w:r>
    </w:p>
    <w:p>
      <w:pPr>
        <w:pStyle w:val="TextBody"/>
        <w:bidi w:val="0"/>
        <w:spacing w:before="120" w:after="0"/>
        <w:jc w:val="left"/>
        <w:rPr>
          <w:rFonts w:ascii="Times New Roman" w:hAnsi="Times New Roman"/>
          <w:sz w:val="20"/>
        </w:rPr>
      </w:pPr>
      <w:r>
        <w:rPr>
          <w:rFonts w:ascii="Times New Roman" w:hAnsi="Times New Roman"/>
          <w:sz w:val="20"/>
        </w:rPr>
        <w:t xml:space="preserve">(ii) any estate, inheritance, gift, sales, transfer, personal property or similar Tax; </w:t>
      </w:r>
    </w:p>
    <w:p>
      <w:pPr>
        <w:pStyle w:val="TextBody"/>
        <w:bidi w:val="0"/>
        <w:spacing w:before="120" w:after="0"/>
        <w:jc w:val="left"/>
        <w:rPr>
          <w:rFonts w:ascii="Times New Roman" w:hAnsi="Times New Roman"/>
          <w:sz w:val="20"/>
        </w:rPr>
      </w:pPr>
      <w:r>
        <w:rPr>
          <w:rFonts w:ascii="Times New Roman" w:hAnsi="Times New Roman"/>
          <w:sz w:val="20"/>
        </w:rPr>
        <w:t xml:space="preserve">(iii) any tax that is payable other than by withholding or deduction from payments or deliveries under or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any Canadian withholding Taxes imposed on a payment to a Holder or beneficial owner of Notes: </w:t>
      </w:r>
    </w:p>
    <w:p>
      <w:pPr>
        <w:pStyle w:val="TextBody"/>
        <w:bidi w:val="0"/>
        <w:spacing w:before="120" w:after="0"/>
        <w:jc w:val="left"/>
        <w:rPr>
          <w:rFonts w:ascii="Times New Roman" w:hAnsi="Times New Roman"/>
          <w:sz w:val="20"/>
        </w:rPr>
      </w:pPr>
      <w:r>
        <w:rPr>
          <w:rFonts w:ascii="Times New Roman" w:hAnsi="Times New Roman"/>
          <w:sz w:val="20"/>
        </w:rPr>
        <w:t xml:space="preserve">(1) by reason of the Company not dealing at arm’s length (within the meaning of the Canadian Tax Act) with such Holder or beneficial owner of Notes at the time of the payment or by reason of such payment being in respect of a debt or other obligation to pay an amount to a Person with whom the Company does not deal at arm’s length (within the meaning of the Canadian Tax Act) at the time of the payment; </w:t>
      </w:r>
    </w:p>
    <w:p>
      <w:pPr>
        <w:pStyle w:val="TextBody"/>
        <w:bidi w:val="0"/>
        <w:spacing w:before="120" w:after="0"/>
        <w:jc w:val="left"/>
        <w:rPr>
          <w:rFonts w:ascii="Times New Roman" w:hAnsi="Times New Roman"/>
          <w:sz w:val="20"/>
        </w:rPr>
      </w:pPr>
      <w:r>
        <w:rPr>
          <w:rFonts w:ascii="Times New Roman" w:hAnsi="Times New Roman"/>
          <w:sz w:val="20"/>
        </w:rPr>
        <w:t xml:space="preserve">(2) by reason of such Holder or beneficial owner of Notes being a “Specified Shareholder” (as defined in subsection 18(5) of the Canadian Tax Act) of the Company or by reason of such Holder or beneficial owner of Notes not dealing at arm’s length with a “Specified Shareholder”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(3) by reason of such Holder or beneficial owner of Notes being an entity in respect of which the Company is a “Specified Entity” (as defined in the Canadian Tax Act); or </w:t>
      </w:r>
    </w:p>
    <w:p>
      <w:pPr>
        <w:pStyle w:val="TextBody"/>
        <w:bidi w:val="0"/>
        <w:spacing w:before="120" w:after="0"/>
        <w:jc w:val="left"/>
        <w:rPr>
          <w:rFonts w:ascii="Times New Roman" w:hAnsi="Times New Roman"/>
          <w:sz w:val="20"/>
        </w:rPr>
      </w:pPr>
      <w:r>
        <w:rPr>
          <w:rFonts w:ascii="Times New Roman" w:hAnsi="Times New Roman"/>
          <w:sz w:val="20"/>
        </w:rPr>
        <w:t xml:space="preserve">(4) by reason of the Notes being held in connection with a “Reverse Hybrid Arrangement” or “Imported Hybrid Arrangement” (each as defined in proposed amendments to the Canadian Tax Act released on January 29, 2026, as may be further proposed to be amended); </w:t>
      </w:r>
    </w:p>
    <w:p>
      <w:pPr>
        <w:pStyle w:val="TextBody"/>
        <w:bidi w:val="0"/>
        <w:spacing w:before="120" w:after="0"/>
        <w:jc w:val="left"/>
        <w:rPr>
          <w:rFonts w:ascii="Times New Roman" w:hAnsi="Times New Roman"/>
          <w:sz w:val="20"/>
        </w:rPr>
      </w:pPr>
      <w:r>
        <w:rPr>
          <w:rFonts w:ascii="Times New Roman" w:hAnsi="Times New Roman"/>
          <w:sz w:val="20"/>
        </w:rPr>
        <w:t>(v) any withholding or deduction required by (x) sections 1471 through 1474 of the Internal Revenue Code and any current or future U.S. Treasury Regulations or rulings promulgated thereunder (“</w:t>
      </w:r>
      <w:r>
        <w:rPr>
          <w:rFonts w:ascii="Times New Roman" w:hAnsi="Times New Roman"/>
          <w:b/>
          <w:sz w:val="20"/>
        </w:rPr>
        <w:t>FATCA</w:t>
      </w:r>
      <w:r>
        <w:rPr>
          <w:rFonts w:ascii="Times New Roman" w:hAnsi="Times New Roman"/>
          <w:sz w:val="20"/>
        </w:rPr>
        <w:t xml:space="preserve">”); (y) any inter-governmental agreement between the United States and any other non-U.S. jurisdiction to implement FATCA or any law enacted by such other jurisdiction to give effect to such agreement; or (z) any agreement with the U.S. Internal Revenue Service pursuant to Section 1471(b)(1) of the Internal Revenue Code; </w:t>
      </w:r>
    </w:p>
    <w:p>
      <w:pPr>
        <w:pStyle w:val="TextBody"/>
        <w:bidi w:val="0"/>
        <w:spacing w:before="120" w:after="0"/>
        <w:jc w:val="left"/>
        <w:rPr>
          <w:rFonts w:ascii="Times New Roman" w:hAnsi="Times New Roman"/>
          <w:sz w:val="20"/>
        </w:rPr>
      </w:pPr>
      <w:r>
        <w:rPr>
          <w:rFonts w:ascii="Times New Roman" w:hAnsi="Times New Roman"/>
          <w:sz w:val="20"/>
        </w:rPr>
        <w:t xml:space="preserve">(vi) any taxes imposed on or with respect to any payment by the Company to such Holder if such Holder is a fiduciary, partnership or person other than the sole beneficial owner of such payment, to the extent that such payment would be required, under the laws of such Relevant Taxing Jurisdiction, to be included for tax purposes in the income of a beneficiary or settlor with respect to such fiduciary, a partner or member of such partnership, or a beneficial owner, who would not have been entitled to such Additional Amounts had such beneficiary, settlor, partner, member or beneficial owner been the Holder thereof; or </w:t>
      </w:r>
    </w:p>
    <w:p>
      <w:pPr>
        <w:pStyle w:val="TextBody"/>
        <w:bidi w:val="0"/>
        <w:spacing w:before="120" w:after="0"/>
        <w:jc w:val="left"/>
        <w:rPr>
          <w:rFonts w:ascii="Times New Roman" w:hAnsi="Times New Roman"/>
          <w:sz w:val="20"/>
        </w:rPr>
      </w:pPr>
      <w:r>
        <w:rPr>
          <w:rFonts w:ascii="Times New Roman" w:hAnsi="Times New Roman"/>
          <w:sz w:val="20"/>
        </w:rPr>
        <w:t xml:space="preserve">(vii) any combination of items referred to in the preceding </w:t>
      </w:r>
      <w:r>
        <w:rPr>
          <w:rFonts w:ascii="Times New Roman" w:hAnsi="Times New Roman"/>
          <w:b/>
          <w:sz w:val="20"/>
        </w:rPr>
        <w:t>clauses</w:t>
      </w:r>
      <w:r>
        <w:rPr>
          <w:rFonts w:ascii="Times New Roman" w:hAnsi="Times New Roman"/>
          <w:sz w:val="20"/>
        </w:rPr>
        <w:t xml:space="preserve"> </w:t>
      </w:r>
      <w:r>
        <w:rPr>
          <w:rFonts w:ascii="Times New Roman" w:hAnsi="Times New Roman"/>
          <w:b/>
          <w:sz w:val="20"/>
        </w:rPr>
        <w:t>(i)</w:t>
      </w:r>
      <w:r>
        <w:rPr>
          <w:rFonts w:ascii="Times New Roman" w:hAnsi="Times New Roman"/>
          <w:sz w:val="20"/>
        </w:rPr>
        <w:t xml:space="preserve"> through </w:t>
      </w:r>
      <w:r>
        <w:rPr>
          <w:rFonts w:ascii="Times New Roman" w:hAnsi="Times New Roman"/>
          <w:b/>
          <w:sz w:val="20"/>
        </w:rPr>
        <w:t>(vi)</w:t>
      </w:r>
      <w:r>
        <w:rPr>
          <w:rFonts w:ascii="Times New Roman" w:hAnsi="Times New Roman"/>
          <w:sz w:val="20"/>
        </w:rPr>
        <w:t xml:space="preserve">, inclusive, above. </w:t>
      </w:r>
    </w:p>
    <w:p>
      <w:pPr>
        <w:pStyle w:val="TextBody"/>
        <w:bidi w:val="0"/>
        <w:spacing w:before="240" w:after="0"/>
        <w:jc w:val="left"/>
        <w:rPr>
          <w:rFonts w:ascii="Times New Roman" w:hAnsi="Times New Roman"/>
          <w:sz w:val="20"/>
        </w:rPr>
      </w:pPr>
      <w:r>
        <w:rPr>
          <w:rFonts w:ascii="Times New Roman" w:hAnsi="Times New Roman"/>
          <w:sz w:val="20"/>
        </w:rPr>
        <w:t xml:space="preserve">Any Taxes imposed by a Relevant Taxing Jurisdiction that are not excluded pursuant to any (or any combination) of </w:t>
      </w:r>
      <w:r>
        <w:rPr>
          <w:rFonts w:ascii="Times New Roman" w:hAnsi="Times New Roman"/>
          <w:b/>
          <w:sz w:val="20"/>
        </w:rPr>
        <w:t>clauses</w:t>
      </w:r>
      <w:r>
        <w:rPr>
          <w:rFonts w:ascii="Times New Roman" w:hAnsi="Times New Roman"/>
          <w:sz w:val="20"/>
        </w:rPr>
        <w:t xml:space="preserve"> </w:t>
      </w:r>
      <w:r>
        <w:rPr>
          <w:rFonts w:ascii="Times New Roman" w:hAnsi="Times New Roman"/>
          <w:b/>
          <w:sz w:val="20"/>
        </w:rPr>
        <w:t>(i)</w:t>
      </w:r>
      <w:r>
        <w:rPr>
          <w:rFonts w:ascii="Times New Roman" w:hAnsi="Times New Roman"/>
          <w:sz w:val="20"/>
        </w:rPr>
        <w:t xml:space="preserve"> through </w:t>
      </w:r>
      <w:r>
        <w:rPr>
          <w:rFonts w:ascii="Times New Roman" w:hAnsi="Times New Roman"/>
          <w:b/>
          <w:sz w:val="20"/>
        </w:rPr>
        <w:t>(vii)</w:t>
      </w:r>
      <w:r>
        <w:rPr>
          <w:rFonts w:ascii="Times New Roman" w:hAnsi="Times New Roman"/>
          <w:sz w:val="20"/>
        </w:rPr>
        <w:t>, inclusive, above are referred to as “</w:t>
      </w:r>
      <w:r>
        <w:rPr>
          <w:rFonts w:ascii="Times New Roman" w:hAnsi="Times New Roman"/>
          <w:b/>
          <w:sz w:val="20"/>
        </w:rPr>
        <w:t>Indemnified Taxes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for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Indemnified Taxes</w:t>
      </w:r>
      <w:r>
        <w:rPr>
          <w:rFonts w:ascii="Times New Roman" w:hAnsi="Times New Roman"/>
          <w:sz w:val="20"/>
        </w:rPr>
        <w:t xml:space="preserve">. The Company will indemnify and hold harmless a Holder or beneficial owner of the Notes for the amount of any Indemnified Taxes (including, for greater certainty, Taxes payable pursuant to Regulation 803 of the </w:t>
      </w:r>
      <w:r>
        <w:rPr>
          <w:rFonts w:ascii="Times New Roman" w:hAnsi="Times New Roman"/>
          <w:i/>
          <w:sz w:val="20"/>
        </w:rPr>
        <w:t>Income Tax Regulations</w:t>
      </w:r>
      <w:r>
        <w:rPr>
          <w:rFonts w:ascii="Times New Roman" w:hAnsi="Times New Roman"/>
          <w:sz w:val="20"/>
        </w:rPr>
        <w:t xml:space="preserve"> (Canada)) levied or imposed and paid by such Holder or beneficial owner as a result of payments made under or with respect to the Notes, any liability (including penalties, interest, additions to Tax and expenses) arising therefrom or with respect thereto, and any such Indemnified Taxes levied or imposed and paid by such Holder or beneficial owner of the Notes with respect to any reimbursement under the provision described in this </w:t>
      </w:r>
      <w:r>
        <w:rPr>
          <w:rFonts w:ascii="Times New Roman" w:hAnsi="Times New Roman"/>
          <w:b/>
          <w:sz w:val="20"/>
        </w:rPr>
        <w:t>Section</w:t>
      </w:r>
      <w:r>
        <w:rPr>
          <w:rFonts w:ascii="Times New Roman" w:hAnsi="Times New Roman"/>
          <w:sz w:val="20"/>
        </w:rPr>
        <w:t> </w:t>
      </w:r>
      <w:r>
        <w:rPr>
          <w:rFonts w:ascii="Times New Roman" w:hAnsi="Times New Roman"/>
          <w:b/>
          <w:sz w:val="20"/>
        </w:rPr>
        <w:t>3.05(B)(i)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Indemnification for Transfer Taxes</w:t>
      </w:r>
      <w:r>
        <w:rPr>
          <w:rFonts w:ascii="Times New Roman" w:hAnsi="Times New Roman"/>
          <w:sz w:val="20"/>
        </w:rPr>
        <w:t xml:space="preserve">. The Company will pay any present or future stamp, court or documentary taxes or any other excise, property or similar taxes, duties, charges or levies, including interest, penalties and additional amounts with respect thereto, payable in a Relevant Taxing Jurisdiction in respect of the execution, delivery, enforcement or registration of the Notes, this Indenture or any other document or instrument in relation thereto, or any payments with respect to the Notes, and the Company will indemnify the Holders and beneficial owners of Notes for any such amounts (including penalties, interest and other liabilities related thereto) paid by such Holders or beneficial owners.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Special Provision Regarding Interest</w:t>
      </w:r>
      <w:r>
        <w:rPr>
          <w:rFonts w:ascii="Times New Roman" w:hAnsi="Times New Roman"/>
          <w:sz w:val="20"/>
        </w:rPr>
        <w:t xml:space="preserve">. For the avoidance of doubt, if any Note is called for a Tax Redemption and the Redemption Date is after a Regular Record Date and on or before the next Interest Payment Date, then the Company’s obligation to pay Additional Amounts will apply to the interest payment due on such Note on such Interest Payment Date unless such Note is subject to a Tax Redemption Opt-Out Election Notice.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of Additional Amounts</w:t>
      </w:r>
      <w:r>
        <w:rPr>
          <w:rFonts w:ascii="Times New Roman" w:hAnsi="Times New Roman"/>
          <w:sz w:val="20"/>
        </w:rPr>
        <w:t xml:space="preserve">. If the Company becomes aware that it will be obligated to pay Additional Amounts with respect to any payment under or with respect to the Notes, then the Company will deliver to the Trustee at least thirty (30) days prior to the date of payment (unless the obligation to pay Additional Amounts arises after the thirtieth (30th) day prior to that payment date, in which case the Company will notify the Trustee promptly thereafter) an Officer’s Certificate that (i) states that Additional Amounts will be payable and the amount estimated to be so payable; and (ii) sets forth any other information reasonably necessary to enable the Paying Agent to pay Additional Amounts to the Holders on the relevant payment date. The Trustee will be entitled to rely solely on such Officer’s Certificate as conclusive proof that such payments are necessary. The Company will provide the Trustee with documentation satisfactory to the Trustee evidencing the payment of such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Tax Receipts</w:t>
      </w:r>
      <w:r>
        <w:rPr>
          <w:rFonts w:ascii="Times New Roman" w:hAnsi="Times New Roman"/>
          <w:sz w:val="20"/>
        </w:rPr>
        <w:t xml:space="preserve">. If the Company is required to make any deduction or withholding from any payments or deliveries with respect to the Notes, then (i) the Company will deliver to the Trustee documentation evidencing the remittance to the relevant tax authorities of the amounts so withheld or deducted within sixty (60) days after the date the payment of any Taxes so deducted or withheld is made; and (ii) the Trustee or the Company will provide a copy of such documentation, as applicable, to any Holder or beneficial owner of any Notes upon request.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Interpretation of Indenture and Notes</w:t>
      </w:r>
      <w:r>
        <w:rPr>
          <w:rFonts w:ascii="Times New Roman" w:hAnsi="Times New Roman"/>
          <w:sz w:val="20"/>
        </w:rPr>
        <w:t xml:space="preserve">. All references in this Indenture or the Notes to any payment on, or delivery with respect to, the Notes (including payment of the principal of, or the Fundamental Change Repurchase Price or Redemption Price for, or any interest on, or the delivery of any Conversion Consideration due upon Conversion of, any Note) will, to the extent that Additional Amounts are payable in respect thereof, be deemed to include the payment of such Additional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Survival of Obligations</w:t>
      </w:r>
      <w:r>
        <w:rPr>
          <w:rFonts w:ascii="Times New Roman" w:hAnsi="Times New Roman"/>
          <w:sz w:val="20"/>
        </w:rPr>
        <w:t xml:space="preserve">. The obligations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3.05</w:t>
      </w:r>
      <w:r>
        <w:rPr>
          <w:rFonts w:ascii="Times New Roman" w:hAnsi="Times New Roman"/>
          <w:sz w:val="20"/>
        </w:rPr>
        <w:t xml:space="preserve"> will survive any transfer of Notes by a Holder (or, in the case of a Global Note, a holder of a beneficial interest therein) and any termination, defeasance or discharge of this Indenture and will apply, </w:t>
      </w:r>
      <w:r>
        <w:rPr>
          <w:rFonts w:ascii="Times New Roman" w:hAnsi="Times New Roman"/>
          <w:i/>
          <w:sz w:val="20"/>
        </w:rPr>
        <w:t>mutatis mutandis</w:t>
      </w:r>
      <w:r>
        <w:rPr>
          <w:rFonts w:ascii="Times New Roman" w:hAnsi="Times New Roman"/>
          <w:sz w:val="20"/>
        </w:rPr>
        <w:t xml:space="preserve">, to any jurisdiction in which any Successor Entity is incorporated, organized, resident or doing business for tax purposes or any jurisdiction from or through which such Person or its Paying Agent makes any payment or deemed payment on the Notes and, in each case, any department, political subdivision or taxing authority thereof or therein.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3.06. COMPLIANCE AND DEFAULT CERTIFICATES.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Annual Compliance Certificate</w:t>
      </w:r>
      <w:r>
        <w:rPr>
          <w:rFonts w:ascii="Times New Roman" w:hAnsi="Times New Roman"/>
          <w:sz w:val="20"/>
        </w:rPr>
        <w:t xml:space="preserve">. Within one hundred and twenty (120) days after the end of each fiscal year of the Company, beginning with the first such fiscal year ending after the date of this Indenture, the Company will deliver an Officer’s Certificate to the Trustee stating (i) that the signatory thereto has supervised a review of the activities of the Company and its Subsidiaries during such fiscal year with a view towards determining whether any Default has occurred; and (ii) whether, to such signatory’s knowledge, a Default or Event of Default has occurred or is continuing (and, if so, describing all such Defaults or Events of Default and what action the Company is taking or proposes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Default Certificate</w:t>
      </w:r>
      <w:r>
        <w:rPr>
          <w:rFonts w:ascii="Times New Roman" w:hAnsi="Times New Roman"/>
          <w:sz w:val="20"/>
        </w:rPr>
        <w:t xml:space="preserve">. If a Default or Event of Default occurs, then the Company will, within thirty (30) days after the Company first obtains knowledge of its occurrence, deliver an Officer’s Certificate to the Trustee describing the same and what action the Company is taking or proposes to take with respect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deliver such Officer’s Certificate at any time after such Default is cured or waived.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3.07. STAY, EXTENSION AND USURY LAWS.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3.08. ACQUISITION OF NOTES BY THE COMPANY AND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2.18</w:t>
      </w:r>
      <w:r>
        <w:rPr>
          <w:rFonts w:ascii="Times New Roman" w:hAnsi="Times New Roman"/>
          <w:sz w:val="20"/>
        </w:rPr>
        <w:t xml:space="preserve">, Notes that the Company or any of its Subsidiaries have purchased or otherwise acquired will be deemed to remain outstanding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2.16</w:t>
      </w:r>
      <w:r>
        <w:rPr>
          <w:rFonts w:ascii="Times New Roman" w:hAnsi="Times New Roman"/>
          <w:sz w:val="20"/>
        </w:rPr>
        <w:t xml:space="preserve">) until such time as such Notes are delivered to the Trustee for cancellation. The Company will use commercially reasonable efforts to prevent any of its controlled Affiliates from acquiring any Note (or any beneficial interest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 REPURCHASE AND REDEMPTION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4.01. NO SINKING FUND. </w:t>
      </w:r>
    </w:p>
    <w:p>
      <w:pPr>
        <w:pStyle w:val="TextBody"/>
        <w:bidi w:val="0"/>
        <w:spacing w:before="120" w:after="0"/>
        <w:jc w:val="left"/>
        <w:rPr>
          <w:rFonts w:ascii="Times New Roman" w:hAnsi="Times New Roman"/>
          <w:sz w:val="20"/>
        </w:rPr>
      </w:pPr>
      <w:r>
        <w:rPr>
          <w:rFonts w:ascii="Times New Roman" w:hAnsi="Times New Roman"/>
          <w:sz w:val="20"/>
        </w:rPr>
        <w:t xml:space="preserve">No sinking fund is required to be provided for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4.02. OFFER TO REPURCHASE NOTES UPON A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Right of Holders to Require the Company to Repurchase Notes Upon a Fundamental Change</w:t>
      </w:r>
      <w:r>
        <w:rPr>
          <w:rFonts w:ascii="Times New Roman" w:hAnsi="Times New Roman"/>
          <w:sz w:val="20"/>
        </w:rPr>
        <w:t xml:space="preserve">. Subject to the other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if a Fundamental Change occurs, then the Company will be required to offer to each Holder to repurchase such Holder’s Notes (or any portion thereof in an Authorized Denomination) on the Fundamental Change Repurchase Date for such Fundamental Change for a cash purchase price equal to the Fundamental Change Repurchase Price (the “</w:t>
      </w:r>
      <w:r>
        <w:rPr>
          <w:rFonts w:ascii="Times New Roman" w:hAnsi="Times New Roman"/>
          <w:b/>
          <w:sz w:val="20"/>
        </w:rPr>
        <w:t>Fundamental Change Repurchase Right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Repurchase Prohibited in Certain Circumstances</w:t>
      </w:r>
      <w:r>
        <w:rPr>
          <w:rFonts w:ascii="Times New Roman" w:hAnsi="Times New Roman"/>
          <w:sz w:val="20"/>
        </w:rPr>
        <w:t xml:space="preserve">. If the principal amount of the Notes has been accelerated and such acceleration has not 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on such Fundamental Change Repurchase Date), then (i) the Company may not repurchase any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Fundamental Change Repurchase Date</w:t>
      </w:r>
      <w:r>
        <w:rPr>
          <w:rFonts w:ascii="Times New Roman" w:hAnsi="Times New Roman"/>
          <w:sz w:val="20"/>
        </w:rPr>
        <w:t xml:space="preserve">. The Fundamental Change Repurchase Date for any Fundamental Change will be a Business Day of the Company’s choosing that is no more than thirty five (35), nor less than twenty (20), Business Days after the date the Company sends the related Fundamental Change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Fundamental Change Repurchase Price</w:t>
      </w:r>
      <w:r>
        <w:rPr>
          <w:rFonts w:ascii="Times New Roman" w:hAnsi="Times New Roman"/>
          <w:sz w:val="20"/>
        </w:rPr>
        <w:t xml:space="preserve">. The Fundamental Change Repurchase Price for any Note to be 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and such Fundamental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Repurchase Date occurs on the Business Day immediately after such Interest Payment Date, then (x) accrued and unpaid interest on Notes to, but excluding, such Interest Payment Date will be paid,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on the next Business Day to Holders as of the Close of Business on the immediately preceding Regular Record Date; and (y) the Fundamental Change Repurchase Price will include interest on Notes to be repurchased from, and including, such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Fundamental Change Notice</w:t>
      </w:r>
      <w:r>
        <w:rPr>
          <w:rFonts w:ascii="Times New Roman" w:hAnsi="Times New Roman"/>
          <w:sz w:val="20"/>
        </w:rPr>
        <w:t>. On or before the twentieth (20th) calendar day after the effective date of a Fundamental Change, the Company will send to each Holder, the Trustee, the Conversion Agent and the Paying Agent a notice of such Fundamental Change (a “</w:t>
      </w:r>
      <w:r>
        <w:rPr>
          <w:rFonts w:ascii="Times New Roman" w:hAnsi="Times New Roman"/>
          <w:b/>
          <w:sz w:val="20"/>
        </w:rPr>
        <w:t>Fundamental Change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Such Fundamental Change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(i) briefly, the events causing such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such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(iii) the procedures that a Holder must follow to accept the offer to repurchase its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including the deadline for accepting such offer and the procedures for submitting and withdrawing a Fundamental Change Repurchase Notice; </w:t>
      </w:r>
    </w:p>
    <w:p>
      <w:pPr>
        <w:pStyle w:val="TextBody"/>
        <w:bidi w:val="0"/>
        <w:spacing w:before="120" w:after="0"/>
        <w:jc w:val="left"/>
        <w:rPr>
          <w:rFonts w:ascii="Times New Roman" w:hAnsi="Times New Roman"/>
          <w:sz w:val="20"/>
        </w:rPr>
      </w:pPr>
      <w:r>
        <w:rPr>
          <w:rFonts w:ascii="Times New Roman" w:hAnsi="Times New Roman"/>
          <w:sz w:val="20"/>
        </w:rPr>
        <w:t xml:space="preserve">(iv) the Fundamental Change Repurchase Date for such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(v) 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the name and address of the Paying Agent and the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(vii) the Conversion Rate in effect on the date of such Fundamental Change Notice and a description and quantification of any adjustments to the Conversion Rate that may result from such Fundamental Change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that Notes for which a Fundamental Change Repurchase Notice has been duly tendered and not duly withdrawn must be delivered to the Paying Agent for the Holder thereof to be entitled to receive the Fundamental Change Repurchase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(ix) that Notes (or any portion thereof) that are subject to a Fundamental Change Repurchase Notice that has been duly tendered may be Converted only if such Fundamental Change Repurchase Notice is withdrawn in accordance with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(x) the CUSIP and ISIN numbers, if any,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failure to deliver a Fundamental Change Notice nor any defect in a Fundamental Change Notice will limit the Fundamental Change Repurchase Right of any Holder or otherwise affect the validity of any proceedings relating to any Repurchase Upon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Procedures to Exercise the Fundamental Change Repurchase Right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Delivery of Fundamental Change Repurchase Notice and Notes to Be Repurchased</w:t>
      </w:r>
      <w:r>
        <w:rPr>
          <w:rFonts w:ascii="Times New Roman" w:hAnsi="Times New Roman"/>
          <w:sz w:val="20"/>
        </w:rPr>
        <w:t xml:space="preserve">. To exercise its Fundamental Change Repurchase Right for a Note following a Fundamental Change, the Holder thereof must deliver to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(1) before the Close of Business on the Business Day immediately before the related Fundamental Change Repurchase Date (or such later time as may be required by law), a duly completed, written Fundamental Change Repurchase Notice with respect to such Note; and </w:t>
      </w:r>
    </w:p>
    <w:p>
      <w:pPr>
        <w:pStyle w:val="TextBody"/>
        <w:bidi w:val="0"/>
        <w:spacing w:before="120" w:after="0"/>
        <w:jc w:val="left"/>
        <w:rPr>
          <w:rFonts w:ascii="Times New Roman" w:hAnsi="Times New Roman"/>
          <w:sz w:val="20"/>
        </w:rPr>
      </w:pPr>
      <w:r>
        <w:rPr>
          <w:rFonts w:ascii="Times New Roman" w:hAnsi="Times New Roman"/>
          <w:sz w:val="20"/>
        </w:rPr>
        <w:t xml:space="preserve">(2) such Note, duly endorsed for transfer (if such Note is a Physical Note) or by book-entry transfer (if such Note is a Global Note). </w:t>
      </w:r>
    </w:p>
    <w:p>
      <w:pPr>
        <w:pStyle w:val="TextBody"/>
        <w:bidi w:val="0"/>
        <w:spacing w:before="120" w:after="0"/>
        <w:jc w:val="left"/>
        <w:rPr>
          <w:rFonts w:ascii="Times New Roman" w:hAnsi="Times New Roman"/>
          <w:sz w:val="20"/>
        </w:rPr>
      </w:pPr>
      <w:r>
        <w:rPr>
          <w:rFonts w:ascii="Times New Roman" w:hAnsi="Times New Roman"/>
          <w:sz w:val="20"/>
        </w:rPr>
        <w:t xml:space="preserve">The Paying Agent will promptly deliver to the Company a copy of each Fundamental Change Repurchase Notice that it receives.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Contents of Fundamental Change Repurchase Notices</w:t>
      </w:r>
      <w:r>
        <w:rPr>
          <w:rFonts w:ascii="Times New Roman" w:hAnsi="Times New Roman"/>
          <w:sz w:val="20"/>
        </w:rPr>
        <w:t xml:space="preserve">. Each Fundamental Change Repurchase Notice with respect to a Note must state: </w:t>
      </w:r>
    </w:p>
    <w:p>
      <w:pPr>
        <w:pStyle w:val="TextBody"/>
        <w:bidi w:val="0"/>
        <w:spacing w:before="120" w:after="0"/>
        <w:jc w:val="left"/>
        <w:rPr>
          <w:rFonts w:ascii="Times New Roman" w:hAnsi="Times New Roman"/>
          <w:sz w:val="20"/>
        </w:rPr>
      </w:pPr>
      <w:r>
        <w:rPr>
          <w:rFonts w:ascii="Times New Roman" w:hAnsi="Times New Roman"/>
          <w:sz w:val="20"/>
        </w:rPr>
        <w:t xml:space="preserve">(1) if such Note is a Physical Note, the certificate number of such Note; </w:t>
      </w:r>
    </w:p>
    <w:p>
      <w:pPr>
        <w:pStyle w:val="TextBody"/>
        <w:bidi w:val="0"/>
        <w:spacing w:before="120" w:after="0"/>
        <w:jc w:val="left"/>
        <w:rPr>
          <w:rFonts w:ascii="Times New Roman" w:hAnsi="Times New Roman"/>
          <w:sz w:val="20"/>
        </w:rPr>
      </w:pPr>
      <w:r>
        <w:rPr>
          <w:rFonts w:ascii="Times New Roman" w:hAnsi="Times New Roman"/>
          <w:sz w:val="20"/>
        </w:rPr>
        <w:t xml:space="preserve">(2) the principal amount of such Note to be repurchased, which must be an Authorized Denomination; and </w:t>
      </w:r>
    </w:p>
    <w:p>
      <w:pPr>
        <w:pStyle w:val="TextBody"/>
        <w:bidi w:val="0"/>
        <w:spacing w:before="120" w:after="0"/>
        <w:jc w:val="left"/>
        <w:rPr>
          <w:rFonts w:ascii="Times New Roman" w:hAnsi="Times New Roman"/>
          <w:sz w:val="20"/>
        </w:rPr>
      </w:pPr>
      <w:r>
        <w:rPr>
          <w:rFonts w:ascii="Times New Roman" w:hAnsi="Times New Roman"/>
          <w:sz w:val="20"/>
        </w:rPr>
        <w:t xml:space="preserve">(3) that such Holder is exercising its Fundamental Change Repurchase Right with respect to such principal amount of such Note;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Withdrawal of Fundamental Change Repurchase Notice</w:t>
      </w:r>
      <w:r>
        <w:rPr>
          <w:rFonts w:ascii="Times New Roman" w:hAnsi="Times New Roman"/>
          <w:sz w:val="20"/>
        </w:rPr>
        <w:t xml:space="preserve">. A Holder that has delivered a Fundamental 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(1) if such Note is a Physical Note, the certificate number of such Note; </w:t>
      </w:r>
    </w:p>
    <w:p>
      <w:pPr>
        <w:pStyle w:val="TextBody"/>
        <w:bidi w:val="0"/>
        <w:spacing w:before="120" w:after="0"/>
        <w:jc w:val="left"/>
        <w:rPr>
          <w:rFonts w:ascii="Times New Roman" w:hAnsi="Times New Roman"/>
          <w:sz w:val="20"/>
        </w:rPr>
      </w:pPr>
      <w:r>
        <w:rPr>
          <w:rFonts w:ascii="Times New Roman" w:hAnsi="Times New Roman"/>
          <w:sz w:val="20"/>
        </w:rPr>
        <w:t xml:space="preserve">(2) the principal amount of such Note to be withdrawn, which must be an Authorized Denomination;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principal amount of such Note, if any, that remains subject to such Fundamental Change Repurchase Notice, which must be an Authorized Denomination;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Payment of the Fundamental Change Repurchase Price</w:t>
      </w:r>
      <w:r>
        <w:rPr>
          <w:rFonts w:ascii="Times New Roman" w:hAnsi="Times New Roman"/>
          <w:sz w:val="20"/>
        </w:rPr>
        <w:t xml:space="preserve">. Without limiting the Company’s obligation to deposit the Fundamental Change Repurchase Price within the time prescribed by </w:t>
      </w:r>
      <w:r>
        <w:rPr>
          <w:rFonts w:ascii="Times New Roman" w:hAnsi="Times New Roman"/>
          <w:b/>
          <w:sz w:val="20"/>
        </w:rPr>
        <w:t>Section</w:t>
      </w:r>
      <w:r>
        <w:rPr>
          <w:rFonts w:ascii="Times New Roman" w:hAnsi="Times New Roman"/>
          <w:sz w:val="20"/>
        </w:rPr>
        <w:t> </w:t>
      </w:r>
      <w:r>
        <w:rPr>
          <w:rFonts w:ascii="Times New Roman" w:hAnsi="Times New Roman"/>
          <w:b/>
          <w:sz w:val="20"/>
        </w:rPr>
        <w:t>3.01(B)</w:t>
      </w:r>
      <w:r>
        <w:rPr>
          <w:rFonts w:ascii="Times New Roman" w:hAnsi="Times New Roman"/>
          <w:sz w:val="20"/>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4.02(G)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Third Party May Conduct Repurchase Offer In Lieu of the Company</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the Company will be deemed to satisfy its obligations under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if (i) one or more third parties conduct any Repurchase Upon Fundamental Change and related offer to repurchase Notes otherwise required by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in a manner that would have satisfied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if conducted directly by the Company; and (ii) an owner of a beneficial interest in any Note repurchased by such third party or parties will not receive a lesser amount (as a result of withholding or similar taxes) than such owner would have received had the Company repurchased such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Requirement to Conduct an Offer to Repurchase Notes if the Fundamental Change Results in the Notes Becoming Convertible into an Amount of Cash Exceeding the Fundamental Change Repurchase Price</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the Company will not be required to send a Fundamental Change Notice pursuant to </w:t>
      </w:r>
      <w:r>
        <w:rPr>
          <w:rFonts w:ascii="Times New Roman" w:hAnsi="Times New Roman"/>
          <w:b/>
          <w:sz w:val="20"/>
        </w:rPr>
        <w:t>Section 4.02(E)</w:t>
      </w:r>
      <w:r>
        <w:rPr>
          <w:rFonts w:ascii="Times New Roman" w:hAnsi="Times New Roman"/>
          <w:sz w:val="20"/>
        </w:rPr>
        <w:t xml:space="preserve">, or offer to repurchase or repurchase any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in connection with a Common Share Change Event that constitutes a Fundamental Change pursuant to </w:t>
      </w:r>
      <w:r>
        <w:rPr>
          <w:rFonts w:ascii="Times New Roman" w:hAnsi="Times New Roman"/>
          <w:b/>
          <w:sz w:val="20"/>
        </w:rPr>
        <w:t>clause (B)(ii)</w:t>
      </w:r>
      <w:r>
        <w:rPr>
          <w:rFonts w:ascii="Times New Roman" w:hAnsi="Times New Roman"/>
          <w:sz w:val="20"/>
        </w:rPr>
        <w:t xml:space="preserve"> of the definition thereof (regardless of whether such Common Share Change Event also constitutes a Fundamental Change pursuant to any other clause of such definition), if (i) the Reference Property of such Common Share Change Event consists entirely of cash in U.S. dollars; (ii) immediately after such Fundamental Change, the Notes become Convertible,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5.09(A)</w:t>
      </w:r>
      <w:r>
        <w:rPr>
          <w:rFonts w:ascii="Times New Roman" w:hAnsi="Times New Roman"/>
          <w:sz w:val="20"/>
        </w:rPr>
        <w:t xml:space="preserve"> and, if applicable,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into consideration that consists solely of U.S. dollars in an amount per $1,000 aggregate principal amount of Notes that equals or exceeds the Fundamental Change Repurchase Price per $1,000 aggregate principal amount of Notes (calculated assuming that the same includes accrued and unpaid interest to, but excluding, the latest possible Fundamental Change Repurchase Date for such Fundamental Change); and (iii) the Company timely sends the notice relating to such Fundamental Change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5.01(C)(i)(3)(b)</w:t>
      </w:r>
      <w:r>
        <w:rPr>
          <w:rFonts w:ascii="Times New Roman" w:hAnsi="Times New Roman"/>
          <w:sz w:val="20"/>
        </w:rPr>
        <w:t xml:space="preserve"> and includes, in such notice, a statement that the Company is relying on this </w:t>
      </w:r>
      <w:r>
        <w:rPr>
          <w:rFonts w:ascii="Times New Roman" w:hAnsi="Times New Roman"/>
          <w:b/>
          <w:sz w:val="20"/>
        </w:rPr>
        <w:t>Section</w:t>
      </w:r>
      <w:r>
        <w:rPr>
          <w:rFonts w:ascii="Times New Roman" w:hAnsi="Times New Roman"/>
          <w:sz w:val="20"/>
        </w:rPr>
        <w:t> </w:t>
      </w:r>
      <w:r>
        <w:rPr>
          <w:rFonts w:ascii="Times New Roman" w:hAnsi="Times New Roman"/>
          <w:b/>
          <w:sz w:val="20"/>
        </w:rPr>
        <w:t>4.02(I)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Compliance with Applicable Securities Laws</w:t>
      </w:r>
      <w:r>
        <w:rPr>
          <w:rFonts w:ascii="Times New Roman" w:hAnsi="Times New Roman"/>
          <w:sz w:val="20"/>
        </w:rPr>
        <w:t xml:space="preserve">. To the extent applicable, the Company will comply, in all material respects, with all U.S. federal and state securities laws and Canadian provincial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that the Company’s obligations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conflict with any law or regulation that is applicable to the Company and enacted after the Issue Date, the Company’s compliance with such law or regulation will not be considered to be a Default of such obligations.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Repurchase in Part</w:t>
      </w:r>
      <w:r>
        <w:rPr>
          <w:rFonts w:ascii="Times New Roman" w:hAnsi="Times New Roman"/>
          <w:sz w:val="20"/>
        </w:rPr>
        <w:t xml:space="preserve">.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Notes may be repurchased pursuant to a Repurchase Upon Fundamental Change in part, but only in Authorized Denominations.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applying to the repurchase of a Note in whole will equally apply to the repurchase of a permitted portion of a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4.03. RIGHT OF THE COMPANY TO REDEEM THE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Right to Redeem Before August</w:t>
      </w:r>
      <w:r>
        <w:rPr>
          <w:rFonts w:ascii="Times New Roman" w:hAnsi="Times New Roman"/>
          <w:sz w:val="20"/>
        </w:rPr>
        <w:t> </w:t>
      </w:r>
      <w:r>
        <w:rPr>
          <w:rFonts w:ascii="Times New Roman" w:hAnsi="Times New Roman"/>
          <w:i/>
          <w:sz w:val="20"/>
        </w:rPr>
        <w:t>1, 2029 Except Pursuant to a Tax Redemption or Cleanup Redemption.</w:t>
      </w:r>
      <w:r>
        <w:rPr>
          <w:rFonts w:ascii="Times New Roman" w:hAnsi="Times New Roman"/>
          <w:sz w:val="20"/>
        </w:rPr>
        <w:t xml:space="preserve"> The Company may not redeem the Notes at its option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at any time before August 1, 2029, except pursuant to a Tax Redemption or a Cleanup Redemption.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 to Redeem the Notes on or After August</w:t>
      </w:r>
      <w:r>
        <w:rPr>
          <w:rFonts w:ascii="Times New Roman" w:hAnsi="Times New Roman"/>
          <w:sz w:val="20"/>
        </w:rPr>
        <w:t> </w:t>
      </w:r>
      <w:r>
        <w:rPr>
          <w:rFonts w:ascii="Times New Roman" w:hAnsi="Times New Roman"/>
          <w:i/>
          <w:sz w:val="20"/>
        </w:rPr>
        <w:t>1,</w:t>
      </w:r>
      <w:r>
        <w:rPr>
          <w:rFonts w:ascii="Times New Roman" w:hAnsi="Times New Roman"/>
          <w:sz w:val="20"/>
        </w:rPr>
        <w:t xml:space="preserve"> </w:t>
      </w:r>
      <w:r>
        <w:rPr>
          <w:rFonts w:ascii="Times New Roman" w:hAnsi="Times New Roman"/>
          <w:i/>
          <w:sz w:val="20"/>
        </w:rPr>
        <w:t>2029.</w:t>
      </w:r>
      <w:r>
        <w:rPr>
          <w:rFonts w:ascii="Times New Roman" w:hAnsi="Times New Roman"/>
          <w:sz w:val="20"/>
        </w:rPr>
        <w:t xml:space="preserve">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the Company has the right, at its election, to redeem all, or any portion in an Authorized Denomination, of the Notes, at any time, and from time to time, on a Redemption Date on or after August 1, 2029 and on or before the sixtieth (60th) Scheduled Trading Day immediately before the Maturity Date, for a cash purchase price equal to the Redemption Price, but only if (i) the Notes are Freely Tradable as of the Redemption Notice Date for such Redemption and all accrued and unpaid Additional Interest, if any, has been paid in full, as of the first Interest Payment Date occurring on or before such Redemption Notice Date; and (ii) the Last Reported Sale Price per Common Share exceeds one hundred and thirty percent (130%) of the Conversion Price on (x) each of at least twenty (20) Trading Days (whether or not consecutive) during the thirty (30)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consecutive Trading Days ending on, and including, the Trading Day immediately before such Redemption Notice Date; and (y) the Trading Day immediately before such Redemption Notice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call less than all of the outstanding Notes for Redemption unless the excess of the principal amount of Notes outstanding as of the time the Company sends the related Redemption Notice over the aggregate principal amount of Notes set forth in such Redemption Notice as being subject to such Redemption is at least fifty million dollars ($50,000,000). For the avoidance of doubt, the calling of any Notes for Provisional Redemption will constitute a Make-Whole Fundamental Change with respect to such Notes pursuant to </w:t>
      </w:r>
      <w:r>
        <w:rPr>
          <w:rFonts w:ascii="Times New Roman" w:hAnsi="Times New Roman"/>
          <w:b/>
          <w:sz w:val="20"/>
        </w:rPr>
        <w:t>clause (B)</w:t>
      </w:r>
      <w:r>
        <w:rPr>
          <w:rFonts w:ascii="Times New Roman" w:hAnsi="Times New Roman"/>
          <w:sz w:val="20"/>
        </w:rPr>
        <w:t xml:space="preserve"> of the definition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Right to Redeem the Notes After a Change in Tax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Generally. </w:t>
      </w:r>
      <w:r>
        <w:rPr>
          <w:rFonts w:ascii="Times New Roman" w:hAnsi="Times New Roman"/>
          <w:sz w:val="20"/>
        </w:rPr>
        <w:t xml:space="preserve">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without limiting the Company’s right to redeem any Notes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4.03(B)</w:t>
      </w:r>
      <w:r>
        <w:rPr>
          <w:rFonts w:ascii="Times New Roman" w:hAnsi="Times New Roman"/>
          <w:sz w:val="20"/>
        </w:rPr>
        <w:t xml:space="preserve">, the Company has the right, at its election, to redeem all, but not less than all, of the Notes, at any time, on a Redemption Date before the Maturity Date, for a cash purchase price equal to the Redemption Price, but only if the following conditions are satisfied: (1) the Company has (or, on the next Interest Payment Date, would) become obligated to pay any Additional Amounts to Holders as a result of any Change in Tax Law; (2) the Company cannot avoid such obligation by taking reasonable measures available to the Company; (3) the Company delivers to the Trustee (x) an Opinion of Counsel from outside legal counsel of recognized standing in the Relevant Taxing Jurisdiction attesting to </w:t>
      </w:r>
      <w:r>
        <w:rPr>
          <w:rFonts w:ascii="Times New Roman" w:hAnsi="Times New Roman"/>
          <w:b/>
          <w:sz w:val="20"/>
        </w:rPr>
        <w:t>clause (1)</w:t>
      </w:r>
      <w:r>
        <w:rPr>
          <w:rFonts w:ascii="Times New Roman" w:hAnsi="Times New Roman"/>
          <w:sz w:val="20"/>
        </w:rPr>
        <w:t xml:space="preserve"> above; and (y) an Officer’s Certificate attesting to </w:t>
      </w:r>
      <w:r>
        <w:rPr>
          <w:rFonts w:ascii="Times New Roman" w:hAnsi="Times New Roman"/>
          <w:b/>
          <w:sz w:val="20"/>
        </w:rPr>
        <w:t>clauses (1)</w:t>
      </w:r>
      <w:r>
        <w:rPr>
          <w:rFonts w:ascii="Times New Roman" w:hAnsi="Times New Roman"/>
          <w:sz w:val="20"/>
        </w:rPr>
        <w:t xml:space="preserve"> and </w:t>
      </w:r>
      <w:r>
        <w:rPr>
          <w:rFonts w:ascii="Times New Roman" w:hAnsi="Times New Roman"/>
          <w:b/>
          <w:sz w:val="20"/>
        </w:rPr>
        <w:t>(2)</w:t>
      </w:r>
      <w:r>
        <w:rPr>
          <w:rFonts w:ascii="Times New Roman" w:hAnsi="Times New Roman"/>
          <w:sz w:val="20"/>
        </w:rPr>
        <w:t xml:space="preserve"> above; and (4) if the Redemption Date is after the De-Legending Deadline Date of the Notes, the Notes are Freely Tradable, and all accrued and unpaid Additional Interest, if any, has been paid in full, as of the first Interest Payment Date occurring on or before the Redemption Notice Date. For the avoidance of doubt, the calling of any Notes for a Tax Redemption will constitute a Make-Whole Fundamental Change pursuant to </w:t>
      </w:r>
      <w:r>
        <w:rPr>
          <w:rFonts w:ascii="Times New Roman" w:hAnsi="Times New Roman"/>
          <w:b/>
          <w:sz w:val="20"/>
        </w:rPr>
        <w:t>clause (B)</w:t>
      </w:r>
      <w:r>
        <w:rPr>
          <w:rFonts w:ascii="Times New Roman" w:hAnsi="Times New Roman"/>
          <w:sz w:val="20"/>
        </w:rPr>
        <w:t xml:space="preserve"> of the definition thereof.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Tax Redemption Opt-Out Election</w:t>
      </w:r>
      <w:r>
        <w:rPr>
          <w:rFonts w:ascii="Times New Roman" w:hAnsi="Times New Roman"/>
          <w:sz w:val="20"/>
        </w:rPr>
        <w:t xml:space="preserve">. If the Company calls the Notes for a Tax Redemption, then,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or in </w:t>
      </w:r>
      <w:r>
        <w:rPr>
          <w:rFonts w:ascii="Times New Roman" w:hAnsi="Times New Roman"/>
          <w:b/>
          <w:sz w:val="20"/>
        </w:rPr>
        <w:t>Section</w:t>
      </w:r>
      <w:r>
        <w:rPr>
          <w:rFonts w:ascii="Times New Roman" w:hAnsi="Times New Roman"/>
          <w:sz w:val="20"/>
        </w:rPr>
        <w:t> </w:t>
      </w:r>
      <w:r>
        <w:rPr>
          <w:rFonts w:ascii="Times New Roman" w:hAnsi="Times New Roman"/>
          <w:b/>
          <w:sz w:val="20"/>
        </w:rPr>
        <w:t>3.05</w:t>
      </w:r>
      <w:r>
        <w:rPr>
          <w:rFonts w:ascii="Times New Roman" w:hAnsi="Times New Roman"/>
          <w:sz w:val="20"/>
        </w:rPr>
        <w:t>, each Holder will have the right to elect (a “</w:t>
      </w:r>
      <w:r>
        <w:rPr>
          <w:rFonts w:ascii="Times New Roman" w:hAnsi="Times New Roman"/>
          <w:b/>
          <w:sz w:val="20"/>
        </w:rPr>
        <w:t>Tax Redemption Opt-Out Election</w:t>
      </w:r>
      <w:r>
        <w:rPr>
          <w:rFonts w:ascii="Times New Roman" w:hAnsi="Times New Roman"/>
          <w:sz w:val="20"/>
        </w:rPr>
        <w:t xml:space="preserve">”) not to have such Holder’s Notes (or any portion thereof in an Authorized Denomination) redeemed pursuant to such Tax Redemption, in which case, from and after the Redemption Date for such Tax Redemption (or, if the Company fails to pay the Redemption Price due on such Redemption Date in full, from and after such time as the Company pays such Redemption Price in full), the Company will no longer have any obligation to pay any Additional Amounts with respect to such Notes solely as a result of such Change in Tax Law, and all future payments with respect to such Notes will be subject to the deduction or withholding of such Relevant Taxing Jurisdiction’s taxes required by law to be deducted or withheld as a result of such Change in Tax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Holder Converts such Notes with a Conversion Date occurring before such Redemption Date (or, if the Company fails to pay the Redemption Price due on such Redemption Date in full, such Notes are submitted for Conversion at any time until such time as the Company pays such Redemption Price in full), then the Company will be obligated to pay Additional Amounts, if any, with respect to such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Tax Redemption Opt-Out Election Notice</w:t>
      </w:r>
      <w:r>
        <w:rPr>
          <w:rFonts w:ascii="Times New Roman" w:hAnsi="Times New Roman"/>
          <w:sz w:val="20"/>
        </w:rPr>
        <w:t>. To make a Tax Redemption Opt-Out Election with respect to any Note (or any portion thereof in an Authorized Denomination), the Holder of such Note must (subject, in the case of a Global Note or any portion thereof, to the Depositary Procedures) deliver a notice (a “</w:t>
      </w:r>
      <w:r>
        <w:rPr>
          <w:rFonts w:ascii="Times New Roman" w:hAnsi="Times New Roman"/>
          <w:b/>
          <w:sz w:val="20"/>
        </w:rPr>
        <w:t>Tax Redemption Opt-Out Election Notice</w:t>
      </w:r>
      <w:r>
        <w:rPr>
          <w:rFonts w:ascii="Times New Roman" w:hAnsi="Times New Roman"/>
          <w:sz w:val="20"/>
        </w:rPr>
        <w:t xml:space="preserve">”) to the Paying Agent before the Close of Business on the second (2nd) Business Day immediately before the related Redemption Date, which notice must state: (x) if such Note is a Physical Note, the certificate number of such Note; (y) the principal amount of such Note as to which the Tax Redemption Opt-Out Election will apply, which must be an Authorized Denomination; and (z) that such Holder is making a Tax Redemption Opt-Out Election with respect to such Note (or such portion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Note is a Global Note, then such notice must comply with the Depositary Procedures (and any such notice delivered in compliance with the Depositary Procedures will be deemed to satisfy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4.03(C)(ii)(1)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Withdrawal of Tax Redemption Opt-Out Election Notice</w:t>
      </w:r>
      <w:r>
        <w:rPr>
          <w:rFonts w:ascii="Times New Roman" w:hAnsi="Times New Roman"/>
          <w:sz w:val="20"/>
        </w:rPr>
        <w:t xml:space="preserve">. A Holder that has delivered a Tax Redemption Opt-Out Election Notice with respect to any Note (or any portion thereof in an Authorized Denomination) may (subject, in the case of a Global Note or any portion thereof, to the Depositary Procedures) withdraw such Tax Redemption Opt-Out Election Notice by delivering a withdrawal notice to the Paying Agent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 which withdrawal notice must state: (x) if such Note is a Physical Note, the certificate number of such Note; (y) the principal amount of such Note as to which the Tax Redemption Opt-Out Election is being withdrawn, which must be an Authorized Denomination; and (z) that such Holder is withdrawing the Tax Redemption Opt-Out Election with respect to such Note (or such portion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4.03(C)(ii)(2)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Right to Convert Not Affected</w:t>
      </w:r>
      <w:r>
        <w:rPr>
          <w:rFonts w:ascii="Times New Roman" w:hAnsi="Times New Roman"/>
          <w:sz w:val="20"/>
        </w:rPr>
        <w:t xml:space="preserve">. For the avoidance of doubt, a Tax Redemption will not affect any Holder’s right to Convert any Notes (or the Company’s obligation, if the Conversion Date for such Conversion occurs before the applicable Redemption Date, to pay any Additional Amounts with respect to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Right to Redeem Pursuant to a Cleanup Redemption</w:t>
      </w:r>
      <w:r>
        <w:rPr>
          <w:rFonts w:ascii="Times New Roman" w:hAnsi="Times New Roman"/>
          <w:sz w:val="20"/>
        </w:rPr>
        <w:t xml:space="preserve">. Subject to the other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the Company has the right, at its election, to redeem (a “</w:t>
      </w:r>
      <w:r>
        <w:rPr>
          <w:rFonts w:ascii="Times New Roman" w:hAnsi="Times New Roman"/>
          <w:b/>
          <w:sz w:val="20"/>
        </w:rPr>
        <w:t>Cleanup Redemption</w:t>
      </w:r>
      <w:r>
        <w:rPr>
          <w:rFonts w:ascii="Times New Roman" w:hAnsi="Times New Roman"/>
          <w:sz w:val="20"/>
        </w:rPr>
        <w:t xml:space="preserve">”) all, but not less than all, of the Notes for cash, at any time, but only if the following conditions are satisfied: (i) the principal amount of the Notes outstanding at such time is less than ten percent (10%) of the aggregate principal amount of the Initial Notes issued pursuant to this Indenture; and (ii) if the Redemption Date is after the De-Legending Deadline Date of the Notes, the Notes are Freely Tradable and all accrued and unpaid Additional Interest, if any, has been paid in full as of the first Interest Payment Date occurring on or before such Redemption Notice Date. For the avoidance of doubt, the calling of any Notes for a Cleanup Redemption will constitute a Make-Whole Fundamental Change pursuant to </w:t>
      </w:r>
      <w:r>
        <w:rPr>
          <w:rFonts w:ascii="Times New Roman" w:hAnsi="Times New Roman"/>
          <w:b/>
          <w:sz w:val="20"/>
        </w:rPr>
        <w:t>clause (B)</w:t>
      </w:r>
      <w:r>
        <w:rPr>
          <w:rFonts w:ascii="Times New Roman" w:hAnsi="Times New Roman"/>
          <w:sz w:val="20"/>
        </w:rPr>
        <w:t xml:space="preserve"> of the definition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Redemption Prohibited in Certain Circumstances</w:t>
      </w:r>
      <w:r>
        <w:rPr>
          <w:rFonts w:ascii="Times New Roman" w:hAnsi="Times New Roman"/>
          <w:sz w:val="20"/>
        </w:rPr>
        <w:t xml:space="preserve">. If the principal amount of the Notes has been accelerated and such acceleration has not been rescinded on or before the applicable Redemption Date (including as a result of the payment of the related Redemption Price, and any related interest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4.03(G)</w:t>
      </w:r>
      <w:r>
        <w:rPr>
          <w:rFonts w:ascii="Times New Roman" w:hAnsi="Times New Roman"/>
          <w:sz w:val="20"/>
        </w:rPr>
        <w:t xml:space="preserve">, on such Redemption Date), then (i) the Company may not call for Redemption or otherwise redeem any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Redemption Date</w:t>
      </w:r>
      <w:r>
        <w:rPr>
          <w:rFonts w:ascii="Times New Roman" w:hAnsi="Times New Roman"/>
          <w:sz w:val="20"/>
        </w:rPr>
        <w:t xml:space="preserve">. The Redemption Date for any Redemption will be a day of the Company’s choosing that (i) is no more than eighty-five (85), nor less than sixty-five (65), Scheduled Trading Days after the Redemption Notice Date for such Redemption; and (ii) is, as of such Redemption Notice Date, scheduled to be a Business Day;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5.03(A)(i)(3)</w:t>
      </w:r>
      <w:r>
        <w:rPr>
          <w:rFonts w:ascii="Times New Roman" w:hAnsi="Times New Roman"/>
          <w:sz w:val="20"/>
        </w:rPr>
        <w:t xml:space="preserve">, the Company has elected to settle all Conversions of Notes with a Conversion Date that occurs on or after such Redemption Notice Date and on or before the second (2nd) Business Day immediately before the Redemption Date by Physical Settlement, then the Company may instead elect to choose a Redemption Date that is a Business Day no more than sixty (60), nor less than fifteen (15), calendar days after such Redemption Notice Date.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Redemption Price</w:t>
      </w:r>
      <w:r>
        <w:rPr>
          <w:rFonts w:ascii="Times New Roman" w:hAnsi="Times New Roman"/>
          <w:sz w:val="20"/>
        </w:rPr>
        <w:t xml:space="preserve">. The Redemption Price for any Note called for Redemption is an amount in cash equal to the principal amount of such Note plus accrued and unpaid interest on such Note to, but excluding, the Redemption Date for such Redemption;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on the next Business Day to Holders as of the Close of Business on the immediately preceding Regular Record Date; and (y) the Redemption Price will include interest on Notes to be redeemed from, and including, such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Redemption Notice</w:t>
      </w:r>
      <w:r>
        <w:rPr>
          <w:rFonts w:ascii="Times New Roman" w:hAnsi="Times New Roman"/>
          <w:sz w:val="20"/>
        </w:rPr>
        <w:t>. To call any Notes for Redemption, the Company must send to each Holder of such Notes a written notice of such Redemption (a “</w:t>
      </w:r>
      <w:r>
        <w:rPr>
          <w:rFonts w:ascii="Times New Roman" w:hAnsi="Times New Roman"/>
          <w:b/>
          <w:sz w:val="20"/>
        </w:rPr>
        <w:t>Redemption Notice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Redemption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(i) that such Notes have been called for Redemption, briefly describing the Company’s Redemption right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Date for such Redemption; </w:t>
      </w:r>
    </w:p>
    <w:p>
      <w:pPr>
        <w:pStyle w:val="TextBody"/>
        <w:bidi w:val="0"/>
        <w:spacing w:before="120" w:after="0"/>
        <w:jc w:val="left"/>
        <w:rPr>
          <w:rFonts w:ascii="Times New Roman" w:hAnsi="Times New Roman"/>
          <w:sz w:val="20"/>
        </w:rPr>
      </w:pPr>
      <w:r>
        <w:rPr>
          <w:rFonts w:ascii="Times New Roman" w:hAnsi="Times New Roman"/>
          <w:sz w:val="20"/>
        </w:rPr>
        <w:t xml:space="preserve">(iii) 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4.03(G)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name and address of the Paying Agent and the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(v) that Notes called for Redemption may be Converted at any time before the Close of Business on the second (2nd) Business Day immediately before the Redemption Date (or, if the Company fails to pay the Redemption Price due on such Redemption Date in full, at any time until such time as the Company pays such Redemption Price in full); </w:t>
      </w:r>
    </w:p>
    <w:p>
      <w:pPr>
        <w:pStyle w:val="TextBody"/>
        <w:bidi w:val="0"/>
        <w:spacing w:before="120" w:after="0"/>
        <w:jc w:val="left"/>
        <w:rPr>
          <w:rFonts w:ascii="Times New Roman" w:hAnsi="Times New Roman"/>
          <w:sz w:val="20"/>
        </w:rPr>
      </w:pPr>
      <w:r>
        <w:rPr>
          <w:rFonts w:ascii="Times New Roman" w:hAnsi="Times New Roman"/>
          <w:sz w:val="20"/>
        </w:rPr>
        <w:t xml:space="preserve">(vi) the Conversion Rate in effect on the Redemption Notice Date for such Redemption and a description and quantification of any adjustments to the Conversion Rate that may result from such Redemption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the Settlement Method that will apply to all Conversions of Notes with a Conversion Date that occurs on or after such Redemption Notice Date and on or before the second (2nd) Business Day immediately before such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(viii) the CUSIP and ISIN numbers, if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Redemption Notice Date, the Company will send a copy of such Redemption Notice to the Trustee, the Conversion Agent and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Special Requirement for Notice of Tax Redemption</w:t>
      </w:r>
      <w:r>
        <w:rPr>
          <w:rFonts w:ascii="Times New Roman" w:hAnsi="Times New Roman"/>
          <w:sz w:val="20"/>
        </w:rPr>
        <w:t xml:space="preserve">. A Redemption Notice relating to a Tax Redemption must be sent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4.03(H)</w:t>
      </w:r>
      <w:r>
        <w:rPr>
          <w:rFonts w:ascii="Times New Roman" w:hAnsi="Times New Roman"/>
          <w:sz w:val="20"/>
        </w:rPr>
        <w:t xml:space="preserve"> no earlier than one hundred and eighty (180) calendar days before the earliest date on which the Company would have been required to make the related payment or withholding (assuming a payment in respect of the Notes were then due), and the obligation to pay Additional Amounts must be in effect as of the date the Company sends such Redemption Notice and must be expected to remain in effect at the time of the next payment or delivery in respect of the Notes.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Selection and Conversion of Notes to Be Redeemed in Part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less than all Notes then outstanding are called for Redemption, then the Notes to be redeemed will be selected by the Company as follows: (1) in the case of Global Notes, in accordance with the Depositary Procedures; and (2) in the case of Physical Notes, pro rata, by lot or by such other method the Company considers fair and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only a portion of a Note is subject to Redemption (including as a result of a Tax Redemption Opt-Out Election Notice that applies to only a portion of such Note) and such Note is Converted in part, then the Converted portion of such Note will be deemed to be from the portion of such Note that was subject to Redemption.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Payment of the Redemption Price</w:t>
      </w:r>
      <w:r>
        <w:rPr>
          <w:rFonts w:ascii="Times New Roman" w:hAnsi="Times New Roman"/>
          <w:sz w:val="20"/>
        </w:rPr>
        <w:t xml:space="preserve">. Without limiting the Company’s obligation to deposit the Redemption Price by the time prescribed by </w:t>
      </w:r>
      <w:r>
        <w:rPr>
          <w:rFonts w:ascii="Times New Roman" w:hAnsi="Times New Roman"/>
          <w:b/>
          <w:sz w:val="20"/>
        </w:rPr>
        <w:t>Section</w:t>
      </w:r>
      <w:r>
        <w:rPr>
          <w:rFonts w:ascii="Times New Roman" w:hAnsi="Times New Roman"/>
          <w:sz w:val="20"/>
        </w:rPr>
        <w:t> </w:t>
      </w:r>
      <w:r>
        <w:rPr>
          <w:rFonts w:ascii="Times New Roman" w:hAnsi="Times New Roman"/>
          <w:b/>
          <w:sz w:val="20"/>
        </w:rPr>
        <w:t>3.01(B)</w:t>
      </w:r>
      <w:r>
        <w:rPr>
          <w:rFonts w:ascii="Times New Roman" w:hAnsi="Times New Roman"/>
          <w:sz w:val="20"/>
        </w:rPr>
        <w:t xml:space="preserve">, the Company will cause the Redemption Price for a Note (or portion thereof) subject to Redemption to be paid to the Holder thereof on or before the applicable Redemption Date. For the avoidance of doubt, interest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4.03(G)</w:t>
      </w:r>
      <w:r>
        <w:rPr>
          <w:rFonts w:ascii="Times New Roman" w:hAnsi="Times New Roman"/>
          <w:sz w:val="20"/>
        </w:rPr>
        <w:t xml:space="preserve"> on any Note (or portion thereof) subject to Redemption must be paid pursuant to such proviso.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Special Provisions for Partial Calls</w:t>
      </w:r>
      <w:r>
        <w:rPr>
          <w:rFonts w:ascii="Times New Roman" w:hAnsi="Times New Roman"/>
          <w:sz w:val="20"/>
        </w:rPr>
        <w:t xml:space="preserve">. If the Company elects to redeem less than all of the outstanding Notes pursuant to a Provisional Redemption, and the Holder of any Note, or any owner of a beneficial interest in any Global Note, is reasonably not able to determine, before the Close of Business on the sixty-second (62nd) Scheduled Trading Day (or, if,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5.03(A)(i)(3)</w:t>
      </w:r>
      <w:r>
        <w:rPr>
          <w:rFonts w:ascii="Times New Roman" w:hAnsi="Times New Roman"/>
          <w:sz w:val="20"/>
        </w:rPr>
        <w:t xml:space="preserve">, the Company has elected to settle all Conversions of Notes with a Conversion Date that occurs on or after the Redemption Notice Date for such Redemption and on or before the second (2nd) Business Day immediately before the Redemption Date by Physical Settlement, the tenth (10th) calendar day) immediately before the Redemption Date for such Provisional Redemption, whether such Note or beneficial interest, as applicable, is to be redeemed pursuant to such Provisional Redemption, then such Holder or owner, as applicable, will be entitled to Convert such Note or beneficial interest, as applicable, at any time before the Close of Business on the second (2nd) Business Day immediately before such Redemption Date, and each such Conversion will be deemed to be of a Note called for Provisional Redemption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5.01(C)(i)(4)</w:t>
      </w:r>
      <w:r>
        <w:rPr>
          <w:rFonts w:ascii="Times New Roman" w:hAnsi="Times New Roman"/>
          <w:sz w:val="20"/>
        </w:rPr>
        <w:t xml:space="preserve"> and </w:t>
      </w:r>
      <w:r>
        <w:rPr>
          <w:rFonts w:ascii="Times New Roman" w:hAnsi="Times New Roman"/>
          <w:b/>
          <w:sz w:val="20"/>
        </w:rPr>
        <w:t>5.07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Repurchases or Other Acquisitions Other Than by Redemption Not Affected</w:t>
      </w:r>
      <w:r>
        <w:rPr>
          <w:rFonts w:ascii="Times New Roman" w:hAnsi="Times New Roman"/>
          <w:sz w:val="20"/>
        </w:rPr>
        <w:t xml:space="preserve">. For the avoidance of doubt, nothing in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will limit or otherwise apply to any repurchase or other acquisition, by the Company or its Affiliates, or any other Person, of any Notes not by Redemption (including in open market transactions, private or public tender or exchange offers or otherwise).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5. THE CONVERSION OF NOTES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5.01. RIGHT TO CONVERT.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Subject to the provisions of this </w:t>
      </w:r>
      <w:r>
        <w:rPr>
          <w:rFonts w:ascii="Times New Roman" w:hAnsi="Times New Roman"/>
          <w:b/>
          <w:sz w:val="20"/>
        </w:rPr>
        <w:t>Article 5</w:t>
      </w:r>
      <w:r>
        <w:rPr>
          <w:rFonts w:ascii="Times New Roman" w:hAnsi="Times New Roman"/>
          <w:sz w:val="20"/>
        </w:rPr>
        <w:t xml:space="preserve">, each Holder may, at its option, Convert such Holder’s Notes into Conversion Consideration.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Conversions in Part</w:t>
      </w:r>
      <w:r>
        <w:rPr>
          <w:rFonts w:ascii="Times New Roman" w:hAnsi="Times New Roman"/>
          <w:sz w:val="20"/>
        </w:rPr>
        <w:t xml:space="preserve">. Subject to the terms of this Indenture, Notes may be Converted in part, but only in Authorized Denominations. Provisions of this </w:t>
      </w:r>
      <w:r>
        <w:rPr>
          <w:rFonts w:ascii="Times New Roman" w:hAnsi="Times New Roman"/>
          <w:b/>
          <w:sz w:val="20"/>
        </w:rPr>
        <w:t>Article 5</w:t>
      </w:r>
      <w:r>
        <w:rPr>
          <w:rFonts w:ascii="Times New Roman" w:hAnsi="Times New Roman"/>
          <w:sz w:val="20"/>
        </w:rPr>
        <w:t xml:space="preserve"> applying to the Conversion of a Note in whole will equally apply to Conversions of a permitted portion of a Note.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When Notes May Be Converted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5.01(C)(ii)</w:t>
      </w:r>
      <w:r>
        <w:rPr>
          <w:rFonts w:ascii="Times New Roman" w:hAnsi="Times New Roman"/>
          <w:sz w:val="20"/>
        </w:rPr>
        <w:t xml:space="preserve">, a Note may be Converted only in the following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Conversion Upon Satisfaction of Common Shares Sale Price Condition</w:t>
      </w:r>
      <w:r>
        <w:rPr>
          <w:rFonts w:ascii="Times New Roman" w:hAnsi="Times New Roman"/>
          <w:sz w:val="20"/>
        </w:rPr>
        <w:t xml:space="preserve">. A Holder may Convert its Notes during any calendar quarter (and only during such calendar quarter) commencing after the calendar quarter ending on September 30, 2026, if the Last Reported Sale Price per Common Share exceeds one hundred and thirty percent (130%) of the Conversion Price for each of at least twenty (20) Trading Days (whether or not consecutive) during the thirty (30) consecutive Trading Days ending on, and including, the last Trading Day of the immediately preceding calendar quarter.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Conversion Upon Satisfaction of Note Trading Price Condition</w:t>
      </w:r>
      <w:r>
        <w:rPr>
          <w:rFonts w:ascii="Times New Roman" w:hAnsi="Times New Roman"/>
          <w:sz w:val="20"/>
        </w:rPr>
        <w:t>. A Holder may Convert its Notes during the five (5) consecutive Business Days immediately after any ten (10) consecutive Trading Day period (such ten (10) consecutive Trading Day period, the “</w:t>
      </w:r>
      <w:r>
        <w:rPr>
          <w:rFonts w:ascii="Times New Roman" w:hAnsi="Times New Roman"/>
          <w:b/>
          <w:sz w:val="20"/>
        </w:rPr>
        <w:t>Measurement Period</w:t>
      </w:r>
      <w:r>
        <w:rPr>
          <w:rFonts w:ascii="Times New Roman" w:hAnsi="Times New Roman"/>
          <w:sz w:val="20"/>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Common Share on such Trading Day and the Conversion Rate on such Trading Day. The condition set forth in the preceding sentence is referred to in this Indenture as the “</w:t>
      </w:r>
      <w:r>
        <w:rPr>
          <w:rFonts w:ascii="Times New Roman" w:hAnsi="Times New Roman"/>
          <w:b/>
          <w:sz w:val="20"/>
        </w:rPr>
        <w:t>Trading Price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will be determined by the Bid Solicitation Agent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5.01(C)(i)(2)</w:t>
      </w:r>
      <w:r>
        <w:rPr>
          <w:rFonts w:ascii="Times New Roman" w:hAnsi="Times New Roman"/>
          <w:sz w:val="20"/>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holding at least three million dollars ($3,000,000) in aggregate principal amount of the Notes (or such lesser principal amount of Notes as may then be outstanding) provides the Company with reasonable evidence that the Trading Price per $1,000 principal amount of Notes would be less than ninety eight percent (98%) of the product of the Last Reported Sale Price per Common Share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Common Share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Common Share on such Trading Day and the Conversion Rate on such Trading Day, then the Company will notify the Holders, the Trustee and the Conversion Agent of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Conversion Upon Specified Corporate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Certain Distributions</w:t>
      </w:r>
      <w:r>
        <w:rPr>
          <w:rFonts w:ascii="Times New Roman" w:hAnsi="Times New Roman"/>
          <w:sz w:val="20"/>
        </w:rPr>
        <w:t xml:space="preserve">. If, before May 1, 2031, the Company elects to: </w:t>
      </w:r>
    </w:p>
    <w:p>
      <w:pPr>
        <w:pStyle w:val="TextBody"/>
        <w:bidi w:val="0"/>
        <w:spacing w:before="120" w:after="0"/>
        <w:jc w:val="left"/>
        <w:rPr>
          <w:rFonts w:ascii="Times New Roman" w:hAnsi="Times New Roman"/>
          <w:sz w:val="20"/>
        </w:rPr>
      </w:pPr>
      <w:r>
        <w:rPr>
          <w:rFonts w:ascii="Times New Roman" w:hAnsi="Times New Roman"/>
          <w:sz w:val="20"/>
        </w:rPr>
        <w:t xml:space="preserve">(I) distribute, to all or substantially all holders of Common Shares, any rights, options or warrants (other than rights issued pursuant to a shareholder rights plan, so long as such rights have not separated from the Common Shares and are not exercisable until the occurrence of a triggering event, except that such rights will be deemed to be distributed under this </w:t>
      </w:r>
      <w:r>
        <w:rPr>
          <w:rFonts w:ascii="Times New Roman" w:hAnsi="Times New Roman"/>
          <w:b/>
          <w:sz w:val="20"/>
        </w:rPr>
        <w:t>clause (I)</w:t>
      </w:r>
      <w:r>
        <w:rPr>
          <w:rFonts w:ascii="Times New Roman" w:hAnsi="Times New Roman"/>
          <w:sz w:val="20"/>
        </w:rPr>
        <w:t xml:space="preserve"> upon their separation from the Common Shares or upon the occurrence of such triggering event) entitling them, for a period of not more than sixty (60) calendar days after the record date of such distribution, to subscribe for or purchase Common Shares at a price per share that is less than the average of the Last Reported Sale Prices per Common Share for the ten (10) consecutive Trading Days ending on, and including, the Trading Day immediately before the date such distribution is announced (determined in the manner set forth in the third paragraph of </w:t>
      </w:r>
      <w:r>
        <w:rPr>
          <w:rFonts w:ascii="Times New Roman" w:hAnsi="Times New Roman"/>
          <w:b/>
          <w:sz w:val="20"/>
        </w:rPr>
        <w:t>Section</w:t>
      </w:r>
      <w:r>
        <w:rPr>
          <w:rFonts w:ascii="Times New Roman" w:hAnsi="Times New Roman"/>
          <w:sz w:val="20"/>
        </w:rPr>
        <w:t> </w:t>
      </w:r>
      <w:r>
        <w:rPr>
          <w:rFonts w:ascii="Times New Roman" w:hAnsi="Times New Roman"/>
          <w:b/>
          <w:sz w:val="20"/>
        </w:rPr>
        <w:t>5.05(A)(ii)</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distribute, to all or substantially all holders of Common Shares, assets or securities of the Company or rights to purchase the Company’s securities, which distribution per Common Share has a value, as reasonably determined by the Board of Directors, exceeding ten percent (10%) of the Last Reported Sale Price per Common Share on the Trading Day immediately before the date such distribution is announced, </w:t>
      </w:r>
    </w:p>
    <w:p>
      <w:pPr>
        <w:pStyle w:val="TextBody"/>
        <w:bidi w:val="0"/>
        <w:spacing w:before="120" w:after="0"/>
        <w:jc w:val="left"/>
        <w:rPr>
          <w:rFonts w:ascii="Times New Roman" w:hAnsi="Times New Roman"/>
          <w:sz w:val="20"/>
        </w:rPr>
      </w:pPr>
      <w:r>
        <w:rPr>
          <w:rFonts w:ascii="Times New Roman" w:hAnsi="Times New Roman"/>
          <w:sz w:val="20"/>
        </w:rPr>
        <w:t xml:space="preserve">then, in either case, (x) the Company will send notice of such distribution, and of the related right to Convert Notes, to Holders, the Trustee and the Conversion Agent at least sixty-five (65) Scheduled Trading Days before the Ex-Dividend Date for such distribution (or, if later in the case of any such separation of rights issued pursuant to a shareholder rights plan or the occurrence of any such triggering event under a shareholder rights plan, as soon as reasonably practicable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Notes will not become Convertible pursuant to </w:t>
      </w:r>
      <w:r>
        <w:rPr>
          <w:rFonts w:ascii="Times New Roman" w:hAnsi="Times New Roman"/>
          <w:b/>
          <w:sz w:val="20"/>
        </w:rPr>
        <w:t>clause (y)</w:t>
      </w:r>
      <w:r>
        <w:rPr>
          <w:rFonts w:ascii="Times New Roman" w:hAnsi="Times New Roman"/>
          <w:sz w:val="20"/>
        </w:rPr>
        <w:t xml:space="preserve"> above (but the Company will be required to send notice of such distribution pursuant to </w:t>
      </w:r>
      <w:r>
        <w:rPr>
          <w:rFonts w:ascii="Times New Roman" w:hAnsi="Times New Roman"/>
          <w:b/>
          <w:sz w:val="20"/>
        </w:rPr>
        <w:t>clause (x)</w:t>
      </w:r>
      <w:r>
        <w:rPr>
          <w:rFonts w:ascii="Times New Roman" w:hAnsi="Times New Roman"/>
          <w:sz w:val="20"/>
        </w:rPr>
        <w:t xml:space="preserve"> above) on account of such distribution if each Holder participates, at the same time and on the same terms as holders of Common Shares, and solely by virtue of being a Holder, in such distribution without having to Convert such Holder’s Notes and as if such Holder held a number of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equal to the product of (i) the Conversion Rate in effect on the record date for such distribution; and (ii) the aggregate principal amount (expressed in thousands) of Notes held by such Holder on such record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Company is then otherwise permitted to settle Conversions of Notes by Physical Settlement (and, for the avoidance of doubt, the Company has not elected another Settlement Method to apply,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5.03(A)(i)(1)</w:t>
      </w:r>
      <w:r>
        <w:rPr>
          <w:rFonts w:ascii="Times New Roman" w:hAnsi="Times New Roman"/>
          <w:sz w:val="20"/>
        </w:rPr>
        <w:t xml:space="preserve">), then the Company may instead elect to provide such notice at least ten (10) Scheduled Trading Days before such Ex-Dividend Date, in which case (x) the Company must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such notice must state that all such Conversions will be settled by Physical Settlement.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Certain Corporate Events</w:t>
      </w:r>
      <w:r>
        <w:rPr>
          <w:rFonts w:ascii="Times New Roman" w:hAnsi="Times New Roman"/>
          <w:sz w:val="20"/>
        </w:rPr>
        <w:t xml:space="preserve">. If a Fundamental Change, Make-Whole Fundamental Change (other than a Make-Whole Fundamental Change pursuant to </w:t>
      </w:r>
      <w:r>
        <w:rPr>
          <w:rFonts w:ascii="Times New Roman" w:hAnsi="Times New Roman"/>
          <w:b/>
          <w:sz w:val="20"/>
        </w:rPr>
        <w:t>clause (B)</w:t>
      </w:r>
      <w:r>
        <w:rPr>
          <w:rFonts w:ascii="Times New Roman" w:hAnsi="Times New Roman"/>
          <w:sz w:val="20"/>
        </w:rPr>
        <w:t xml:space="preserve"> of the definition thereof) or Common Share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or if such transaction or event is a Termination of Trading in connection with which the Company has elected to offer to repurchase the Notes as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to, but excluding, the related Fundamental Change Repurchase Date (including a Fundamental Change Repurchase Date that the Company has specified in connection with such an election));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does not provide the notice referred to in the immediately following sentence by the second (2nd) Business Day after such effective date, then the last day on which the Notes are Convertible pursuant to this sentence will be extended by the number of Business Days from, and including, the second (2nd) Business Day after such effective date to, but excluding, the date the Company provides such notice. No later than the second (2nd) Business Day after such effective date, the Company will send notice to the Holders, the Trustee and the Conversion Agent of such transaction or event, such effective date and the related right to Convert Notes.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Conversion Upon Redemption</w:t>
      </w:r>
      <w:r>
        <w:rPr>
          <w:rFonts w:ascii="Times New Roman" w:hAnsi="Times New Roman"/>
          <w:sz w:val="20"/>
        </w:rPr>
        <w:t xml:space="preserve">. If the Company calls any Note for Redemption, then the Holder of such Note may Convert such Note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Conversions During Free Convertibility Period</w:t>
      </w:r>
      <w:r>
        <w:rPr>
          <w:rFonts w:ascii="Times New Roman" w:hAnsi="Times New Roman"/>
          <w:sz w:val="20"/>
        </w:rPr>
        <w:t xml:space="preserve">. A Holder may Convert its Notes at any time from, and including, May 1, 2031 until the Close of Business on the second (2nd) Scheduled Trading Day immediately before the Maturity Date.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the Notes may become Convertible pursuant to any one or more of the preceding sub-paragraphs of this </w:t>
      </w:r>
      <w:r>
        <w:rPr>
          <w:rFonts w:ascii="Times New Roman" w:hAnsi="Times New Roman"/>
          <w:b/>
          <w:sz w:val="20"/>
        </w:rPr>
        <w:t>Section</w:t>
      </w:r>
      <w:r>
        <w:rPr>
          <w:rFonts w:ascii="Times New Roman" w:hAnsi="Times New Roman"/>
          <w:sz w:val="20"/>
        </w:rPr>
        <w:t> </w:t>
      </w:r>
      <w:r>
        <w:rPr>
          <w:rFonts w:ascii="Times New Roman" w:hAnsi="Times New Roman"/>
          <w:b/>
          <w:sz w:val="20"/>
        </w:rPr>
        <w:t>5.01(C)(i)</w:t>
      </w:r>
      <w:r>
        <w:rPr>
          <w:rFonts w:ascii="Times New Roman" w:hAnsi="Times New Roman"/>
          <w:sz w:val="20"/>
        </w:rPr>
        <w:t xml:space="preserve"> and the Notes ceasing to be Convertible pursuant to a particular sub-paragraph of this </w:t>
      </w:r>
      <w:r>
        <w:rPr>
          <w:rFonts w:ascii="Times New Roman" w:hAnsi="Times New Roman"/>
          <w:b/>
          <w:sz w:val="20"/>
        </w:rPr>
        <w:t>Section</w:t>
      </w:r>
      <w:r>
        <w:rPr>
          <w:rFonts w:ascii="Times New Roman" w:hAnsi="Times New Roman"/>
          <w:sz w:val="20"/>
        </w:rPr>
        <w:t> </w:t>
      </w:r>
      <w:r>
        <w:rPr>
          <w:rFonts w:ascii="Times New Roman" w:hAnsi="Times New Roman"/>
          <w:b/>
          <w:sz w:val="20"/>
        </w:rPr>
        <w:t>5.01(C)(i)</w:t>
      </w:r>
      <w:r>
        <w:rPr>
          <w:rFonts w:ascii="Times New Roman" w:hAnsi="Times New Roman"/>
          <w:sz w:val="20"/>
        </w:rPr>
        <w:t xml:space="preserve"> will not preclude the Notes from being Convertible pursuant to any other sub-paragraph of this </w:t>
      </w:r>
      <w:r>
        <w:rPr>
          <w:rFonts w:ascii="Times New Roman" w:hAnsi="Times New Roman"/>
          <w:b/>
          <w:sz w:val="20"/>
        </w:rPr>
        <w:t>Section</w:t>
      </w:r>
      <w:r>
        <w:rPr>
          <w:rFonts w:ascii="Times New Roman" w:hAnsi="Times New Roman"/>
          <w:sz w:val="20"/>
        </w:rPr>
        <w:t> </w:t>
      </w:r>
      <w:r>
        <w:rPr>
          <w:rFonts w:ascii="Times New Roman" w:hAnsi="Times New Roman"/>
          <w:b/>
          <w:sz w:val="20"/>
        </w:rPr>
        <w:t>5.01(C)(i)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Limitations and Closed Periods</w:t>
      </w:r>
      <w:r>
        <w:rPr>
          <w:rFonts w:ascii="Times New Roman" w:hAnsi="Times New Roman"/>
          <w:sz w:val="20"/>
        </w:rPr>
        <w:t xml:space="preserve">. Notwithstanding anything to the contrary in this Indenture or the Notes: </w:t>
      </w:r>
    </w:p>
    <w:p>
      <w:pPr>
        <w:pStyle w:val="TextBody"/>
        <w:bidi w:val="0"/>
        <w:spacing w:before="120" w:after="0"/>
        <w:jc w:val="left"/>
        <w:rPr>
          <w:rFonts w:ascii="Times New Roman" w:hAnsi="Times New Roman"/>
          <w:sz w:val="20"/>
        </w:rPr>
      </w:pPr>
      <w:r>
        <w:rPr>
          <w:rFonts w:ascii="Times New Roman" w:hAnsi="Times New Roman"/>
          <w:sz w:val="20"/>
        </w:rPr>
        <w:t xml:space="preserve">(1) Notes may be surrendered for Conversion only after the Open of Business and before the Close of Business on a day that is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(2) in no event may any Note be Converted after the Close of Business on the second (2nd) Scheduled Trading Day immediately before the Maturity Date; </w:t>
      </w:r>
    </w:p>
    <w:p>
      <w:pPr>
        <w:pStyle w:val="TextBody"/>
        <w:bidi w:val="0"/>
        <w:spacing w:before="120" w:after="0"/>
        <w:jc w:val="left"/>
        <w:rPr>
          <w:rFonts w:ascii="Times New Roman" w:hAnsi="Times New Roman"/>
          <w:sz w:val="20"/>
        </w:rPr>
      </w:pPr>
      <w:r>
        <w:rPr>
          <w:rFonts w:ascii="Times New Roman" w:hAnsi="Times New Roman"/>
          <w:sz w:val="20"/>
        </w:rPr>
        <w:t xml:space="preserve">(3) if the Company calls any Note for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then the Holder of such Note may not Convert such Note after the Close of Business on the second (2nd) Business Day immediately before the applicable Redemption Date, except to the extent the Company fails to pay the Redemption Price for such Note in accordance with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(4) if a Fundamental Change Repurchase Notice is validly delivered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with respect to any Note, then such Note may not be Converted, except to the extent (a) such Note is not subject to such notice; (b) such notice is withdrawn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or (c) the Company fails to pay the Fundamental Change Repurchase Price for such Note when required (or a third party fails to make such payment in lieu of the Company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4.02(H)</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5.02. CONVERSION PROCEDURES.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Global Notes</w:t>
      </w:r>
      <w:r>
        <w:rPr>
          <w:rFonts w:ascii="Times New Roman" w:hAnsi="Times New Roman"/>
          <w:sz w:val="20"/>
        </w:rPr>
        <w:t xml:space="preserve">. To Convert a beneficial interest in a Global Note that is Convertible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w:t>
      </w:r>
      <w:r>
        <w:rPr>
          <w:rFonts w:ascii="Times New Roman" w:hAnsi="Times New Roman"/>
          <w:sz w:val="20"/>
        </w:rPr>
        <w:t xml:space="preserve">, the owner of such beneficial interest must (1) comply with the Depositary Procedures for Converting such beneficial interest (at which time such Conversion will become irrevocable, unless the Company, in its sole and absolute discretion, agrees to permit such owner of such beneficial interest to withdraw such Conversion and such withdrawal is reasonably feasible pursuant to the Depositary Procedures); and (2) pay any amounts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5.02(E)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Physical Notes</w:t>
      </w:r>
      <w:r>
        <w:rPr>
          <w:rFonts w:ascii="Times New Roman" w:hAnsi="Times New Roman"/>
          <w:sz w:val="20"/>
        </w:rPr>
        <w:t xml:space="preserve">. To Convert all or a portion of a Physical Note that is Convertible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w:t>
      </w:r>
      <w:r>
        <w:rPr>
          <w:rFonts w:ascii="Times New Roman" w:hAnsi="Times New Roman"/>
          <w:sz w:val="20"/>
        </w:rPr>
        <w:t xml:space="preserve">, the Holder of such Note must (1) complete, manually sign and deliver to the Conversion Agent the Conversion Notice attached to such Physical Note or a facsimile of such Conversion Notice; (2) deliver such Physical Note to the Conversion Agent (at which time such Conversion will become irrevocable, unless the Company, in its sole and absolute discretion, agrees to permit such Holder to withdraw such Conversion); (3) furnish any endorsements and transfer documents that the Company or the Conversion Agent may require; and (4) pay any amounts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Effect of Converting a Note</w:t>
      </w:r>
      <w:r>
        <w:rPr>
          <w:rFonts w:ascii="Times New Roman" w:hAnsi="Times New Roman"/>
          <w:sz w:val="20"/>
        </w:rPr>
        <w:t xml:space="preserve">. At the Close of Business on the Conversion Date for a Note (or any portion thereof) to be Converted, such Note (or such portion) will (unless there occurs a Default in the delivery of the Conversion Consideration or interest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5.03(B)</w:t>
      </w:r>
      <w:r>
        <w:rPr>
          <w:rFonts w:ascii="Times New Roman" w:hAnsi="Times New Roman"/>
          <w:sz w:val="20"/>
        </w:rPr>
        <w:t xml:space="preserve"> or </w:t>
      </w:r>
      <w:r>
        <w:rPr>
          <w:rFonts w:ascii="Times New Roman" w:hAnsi="Times New Roman"/>
          <w:b/>
          <w:sz w:val="20"/>
        </w:rPr>
        <w:t>5.02(D)</w:t>
      </w:r>
      <w:r>
        <w:rPr>
          <w:rFonts w:ascii="Times New Roman" w:hAnsi="Times New Roman"/>
          <w:sz w:val="20"/>
        </w:rPr>
        <w:t xml:space="preserv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Holder of Record of Conversion Shares</w:t>
      </w:r>
      <w:r>
        <w:rPr>
          <w:rFonts w:ascii="Times New Roman" w:hAnsi="Times New Roman"/>
          <w:sz w:val="20"/>
        </w:rPr>
        <w:t xml:space="preserve">. The Person in whose name any Common Share is issuable upon Conversion of any 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Interest Payable Upon Conversion in Certain Circumstances</w:t>
      </w:r>
      <w:r>
        <w:rPr>
          <w:rFonts w:ascii="Times New Roman" w:hAnsi="Times New Roman"/>
          <w:sz w:val="20"/>
        </w:rPr>
        <w:t xml:space="preserve">. If the Conversion Date of a Note is after a Regular Record Date and 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Times New Roman" w:hAnsi="Times New Roman"/>
          <w:b/>
          <w:sz w:val="20"/>
        </w:rPr>
        <w:t>clause (i)</w:t>
      </w:r>
      <w:r>
        <w:rPr>
          <w:rFonts w:ascii="Times New Roman" w:hAnsi="Times New Roman"/>
          <w:sz w:val="20"/>
        </w:rPr>
        <w:t xml:space="preserve"> above;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Holder surrendering such Note for Conversion need not deliver such cash (v) if the Company has specified a Redemption Date that is after such Regular Record Date and on or before the second (2nd) Business Day immediately after such Interest Payment Date; (w) if such Conversion Date occurs after the Regular Record Date immediately before the Maturity Date; (x) if the Company has specified a Fundamental Change Repurchase Date (including a Fundamental Change Repurchase Date that the Company has specified in connection with its election to offer to repurchase the Notes as the sole remedy for an Event of Default arising from a Termination of Trading,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that is after such Regular Record Date and on or before the Business Day immediately after such Interest Payment Date; or (y) to the extent of any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or immediately before any Redemption Date or Fundamental Change Repurchase Date referred to in the proviso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preceding sentence, then the Company will pay, as provided above, the interest that would have accrued on such Note to, but excluding, the Maturity Date or other applicable Interest Payment Date, as applicable.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Taxes and Duties</w:t>
      </w:r>
      <w:r>
        <w:rPr>
          <w:rFonts w:ascii="Times New Roman" w:hAnsi="Times New Roman"/>
          <w:sz w:val="20"/>
        </w:rPr>
        <w:t xml:space="preserve">. If a Holder Converts a Note, the Company will pay any stamp, issue, registration, documentary, transfer or other taxes or duties, including interest, penalties and Additional Amounts with respect thereto, due on the issue or delivery of any Common Shares upon such Conversion, except any tax or duty that is due because such Holder requested such shares to be registered in a name other than the Holder’s name, in which case the Converting Holder will pay that tax or duty, including interest and penalties with respect thereto, and, until having received a sum sufficient to pay such tax or duty, the Conversion Agent may refuse to deliver any such shares to be issued in a name other than that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Conversion Agent to Notify Company of Conversions</w:t>
      </w:r>
      <w:r>
        <w:rPr>
          <w:rFonts w:ascii="Times New Roman" w:hAnsi="Times New Roman"/>
          <w:sz w:val="20"/>
        </w:rPr>
        <w:t xml:space="preserve">. If any Note is submitted for Conversion to the Conversion Agent or the Conversion 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5.03. SETTLEMENT UPON CONVERSION.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Settlement Method</w:t>
      </w:r>
      <w:r>
        <w:rPr>
          <w:rFonts w:ascii="Times New Roman" w:hAnsi="Times New Roman"/>
          <w:sz w:val="20"/>
        </w:rPr>
        <w:t xml:space="preserve">. Upon the Conversion of any Note, as provided in this </w:t>
      </w:r>
      <w:r>
        <w:rPr>
          <w:rFonts w:ascii="Times New Roman" w:hAnsi="Times New Roman"/>
          <w:b/>
          <w:sz w:val="20"/>
        </w:rPr>
        <w:t>Article 5</w:t>
      </w:r>
      <w:r>
        <w:rPr>
          <w:rFonts w:ascii="Times New Roman" w:hAnsi="Times New Roman"/>
          <w:sz w:val="20"/>
        </w:rPr>
        <w:t xml:space="preserve">, the Company will settle such Conversion by (x) delivering Common Shares, together, if applicable, with cash in lieu of fractional shares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5.03(B)(i)(1)</w:t>
      </w:r>
      <w:r>
        <w:rPr>
          <w:rFonts w:ascii="Times New Roman" w:hAnsi="Times New Roman"/>
          <w:sz w:val="20"/>
        </w:rPr>
        <w:t xml:space="preserve"> (a “</w:t>
      </w:r>
      <w:r>
        <w:rPr>
          <w:rFonts w:ascii="Times New Roman" w:hAnsi="Times New Roman"/>
          <w:b/>
          <w:sz w:val="20"/>
        </w:rPr>
        <w:t>Physical Settlement</w:t>
      </w:r>
      <w:r>
        <w:rPr>
          <w:rFonts w:ascii="Times New Roman" w:hAnsi="Times New Roman"/>
          <w:sz w:val="20"/>
        </w:rPr>
        <w:t xml:space="preserve">”); or (y) may chose by paying or delivering, as applicable either (1) solely cash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5.03(B)(i)(2)</w:t>
      </w:r>
      <w:r>
        <w:rPr>
          <w:rFonts w:ascii="Times New Roman" w:hAnsi="Times New Roman"/>
          <w:sz w:val="20"/>
        </w:rPr>
        <w:t xml:space="preserve"> (a “</w:t>
      </w:r>
      <w:r>
        <w:rPr>
          <w:rFonts w:ascii="Times New Roman" w:hAnsi="Times New Roman"/>
          <w:b/>
          <w:sz w:val="20"/>
        </w:rPr>
        <w:t>Cash Settlement</w:t>
      </w:r>
      <w:r>
        <w:rPr>
          <w:rFonts w:ascii="Times New Roman" w:hAnsi="Times New Roman"/>
          <w:sz w:val="20"/>
        </w:rPr>
        <w:t xml:space="preserve">”); or (2) a combination of cash and Common Shares, together, if applicable, with cash in lieu of fractional shares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5.03(B)(i)(3)</w:t>
      </w:r>
      <w:r>
        <w:rPr>
          <w:rFonts w:ascii="Times New Roman" w:hAnsi="Times New Roman"/>
          <w:sz w:val="20"/>
        </w:rPr>
        <w:t xml:space="preserve"> (a “</w:t>
      </w:r>
      <w:r>
        <w:rPr>
          <w:rFonts w:ascii="Times New Roman" w:hAnsi="Times New Roman"/>
          <w:b/>
          <w:sz w:val="20"/>
        </w:rPr>
        <w:t>Combination 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The Company’s Right to Elect Settlement Method</w:t>
      </w:r>
      <w:r>
        <w:rPr>
          <w:rFonts w:ascii="Times New Roman" w:hAnsi="Times New Roman"/>
          <w:sz w:val="20"/>
        </w:rPr>
        <w:t xml:space="preserve">. The Company will have the right to elect the Settlement Method applicable to any Conversion of a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subject to </w:t>
      </w:r>
      <w:r>
        <w:rPr>
          <w:rFonts w:ascii="Times New Roman" w:hAnsi="Times New Roman"/>
          <w:b/>
          <w:sz w:val="20"/>
        </w:rPr>
        <w:t>clause (3)</w:t>
      </w:r>
      <w:r>
        <w:rPr>
          <w:rFonts w:ascii="Times New Roman" w:hAnsi="Times New Roman"/>
          <w:sz w:val="20"/>
        </w:rPr>
        <w:t xml:space="preserve"> below, all Conversions of Notes with a Conversion Date that occurs on or after May 1, 2031 will be settled using the same Settlement Method, and the Company will send notice of such Settlement Method to Holders no later than the Open of Business on May 1, 2031; </w:t>
      </w:r>
    </w:p>
    <w:p>
      <w:pPr>
        <w:pStyle w:val="TextBody"/>
        <w:bidi w:val="0"/>
        <w:spacing w:before="120" w:after="0"/>
        <w:jc w:val="left"/>
        <w:rPr>
          <w:rFonts w:ascii="Times New Roman" w:hAnsi="Times New Roman"/>
          <w:sz w:val="20"/>
        </w:rPr>
      </w:pPr>
      <w:r>
        <w:rPr>
          <w:rFonts w:ascii="Times New Roman" w:hAnsi="Times New Roman"/>
          <w:sz w:val="20"/>
        </w:rPr>
        <w:t xml:space="preserve">(2) subject to </w:t>
      </w:r>
      <w:r>
        <w:rPr>
          <w:rFonts w:ascii="Times New Roman" w:hAnsi="Times New Roman"/>
          <w:b/>
          <w:sz w:val="20"/>
        </w:rPr>
        <w:t>clause (3)</w:t>
      </w:r>
      <w:r>
        <w:rPr>
          <w:rFonts w:ascii="Times New Roman" w:hAnsi="Times New Roman"/>
          <w:sz w:val="20"/>
        </w:rPr>
        <w:t xml:space="preserve"> below, if the Company elects a Settlement Method with respect to the Conversion of any Note whose Conversion Date occurs before May 1, 2031, then the Company will send notice of such Settlement Method to the Holder of such Note no later than the Close of Business on the Business Day immediately after such Conversion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if any Notes are called for Redemption, then (a) the Company will specify, in the related Redemption Notice (and, in the case of a Redemption of less than all outstanding Notes, in a notice simultaneously sent to all Holders of Notes not called for Redemption) sent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4.03(H)</w:t>
      </w:r>
      <w:r>
        <w:rPr>
          <w:rFonts w:ascii="Times New Roman" w:hAnsi="Times New Roman"/>
          <w:sz w:val="20"/>
        </w:rPr>
        <w:t xml:space="preserve">, the Settlement Method that will apply to all Conversions of Notes with a Conversion Date that occurs on or after the related Redemption Notice Date and on or before the second (2nd) Business Day immediately before the related Redemption Date; and (b) if such Redemption Date occurs on or after May 1, 2031, then such Settlement Method must be the same Settlement Method that, pursuant to </w:t>
      </w:r>
      <w:r>
        <w:rPr>
          <w:rFonts w:ascii="Times New Roman" w:hAnsi="Times New Roman"/>
          <w:b/>
          <w:sz w:val="20"/>
        </w:rPr>
        <w:t>clause (1)</w:t>
      </w:r>
      <w:r>
        <w:rPr>
          <w:rFonts w:ascii="Times New Roman" w:hAnsi="Times New Roman"/>
          <w:sz w:val="20"/>
        </w:rPr>
        <w:t xml:space="preserve"> above, applies to all Conversions of Notes with a Conversion Date that occurs on or after May 1, 2031; </w:t>
      </w:r>
    </w:p>
    <w:p>
      <w:pPr>
        <w:pStyle w:val="TextBody"/>
        <w:bidi w:val="0"/>
        <w:spacing w:before="120" w:after="0"/>
        <w:jc w:val="left"/>
        <w:rPr>
          <w:rFonts w:ascii="Times New Roman" w:hAnsi="Times New Roman"/>
          <w:sz w:val="20"/>
        </w:rPr>
      </w:pPr>
      <w:r>
        <w:rPr>
          <w:rFonts w:ascii="Times New Roman" w:hAnsi="Times New Roman"/>
          <w:sz w:val="20"/>
        </w:rPr>
        <w:t xml:space="preserve">(4) 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 w:hAnsi="Times New Roman"/>
          <w:b/>
          <w:sz w:val="20"/>
        </w:rPr>
        <w:t>clause (1)</w:t>
      </w:r>
      <w:r>
        <w:rPr>
          <w:rFonts w:ascii="Times New Roman" w:hAnsi="Times New Roman"/>
          <w:sz w:val="20"/>
        </w:rPr>
        <w:t xml:space="preserve"> or </w:t>
      </w:r>
      <w:r>
        <w:rPr>
          <w:rFonts w:ascii="Times New Roman" w:hAnsi="Times New Roman"/>
          <w:b/>
          <w:sz w:val="20"/>
        </w:rPr>
        <w:t>(3)</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(5) 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(6) 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 </w:t>
      </w:r>
    </w:p>
    <w:p>
      <w:pPr>
        <w:pStyle w:val="TextBody"/>
        <w:bidi w:val="0"/>
        <w:spacing w:before="120" w:after="0"/>
        <w:jc w:val="left"/>
        <w:rPr>
          <w:rFonts w:ascii="Times New Roman" w:hAnsi="Times New Roman"/>
          <w:sz w:val="20"/>
        </w:rPr>
      </w:pPr>
      <w:r>
        <w:rPr>
          <w:rFonts w:ascii="Times New Roman" w:hAnsi="Times New Roman"/>
          <w:sz w:val="20"/>
        </w:rPr>
        <w:t xml:space="preserve">(7) the Settlement Method will be subject to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4.03(F)</w:t>
      </w:r>
      <w:r>
        <w:rPr>
          <w:rFonts w:ascii="Times New Roman" w:hAnsi="Times New Roman"/>
          <w:sz w:val="20"/>
        </w:rPr>
        <w:t xml:space="preserve"> and </w:t>
      </w:r>
      <w:r>
        <w:rPr>
          <w:rFonts w:ascii="Times New Roman" w:hAnsi="Times New Roman"/>
          <w:b/>
          <w:sz w:val="20"/>
        </w:rPr>
        <w:t>5.01(C)(i)(3)(a)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or before the time the Company sends any notice referred to in the preceding sentence, the Company will send a copy of such notice to the Trustee and the Conversion Agent, but the failure to timely send such copy will not affect the validity of any Settlement Method election.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The Company</w:t>
      </w:r>
      <w:r>
        <w:rPr>
          <w:rFonts w:ascii="Times New Roman" w:hAnsi="Times New Roman"/>
          <w:sz w:val="20"/>
        </w:rPr>
        <w:t>’</w:t>
      </w:r>
      <w:r>
        <w:rPr>
          <w:rFonts w:ascii="Times New Roman" w:hAnsi="Times New Roman"/>
          <w:i/>
          <w:sz w:val="20"/>
        </w:rPr>
        <w:t>s Right to Irrevocably Fix or Eliminate Settlement Methods</w:t>
      </w:r>
      <w:r>
        <w:rPr>
          <w:rFonts w:ascii="Times New Roman" w:hAnsi="Times New Roman"/>
          <w:sz w:val="20"/>
        </w:rPr>
        <w:t xml:space="preserve">. The Company will have the right, exercisable at its election by sending notice of such exercise to the Holders (with a copy to the Trustee and the Conversion Agent),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Specified Dollar Amounts) with respect to all Conversions of Notes with a Conversion Date that occurs on or after the date such notice is sent to Holders, </w:t>
      </w:r>
      <w:r>
        <w:rPr>
          <w:rFonts w:ascii="Times New Roman" w:hAnsi="Times New Roman"/>
          <w:i/>
          <w:sz w:val="20"/>
        </w:rPr>
        <w:t>provided</w:t>
      </w:r>
      <w:r>
        <w:rPr>
          <w:rFonts w:ascii="Times New Roman" w:hAnsi="Times New Roman"/>
          <w:sz w:val="20"/>
        </w:rPr>
        <w:t xml:space="preserve">, in each case, that (v) the Settlement Method so elected pursuant to </w:t>
      </w:r>
      <w:r>
        <w:rPr>
          <w:rFonts w:ascii="Times New Roman" w:hAnsi="Times New Roman"/>
          <w:b/>
          <w:sz w:val="20"/>
        </w:rPr>
        <w:t>clause (1)</w:t>
      </w:r>
      <w:r>
        <w:rPr>
          <w:rFonts w:ascii="Times New Roman" w:hAnsi="Times New Roman"/>
          <w:sz w:val="20"/>
        </w:rPr>
        <w:t xml:space="preserve"> above, or the Settlement Method(s) remaining after any elimination pursuant to </w:t>
      </w:r>
      <w:r>
        <w:rPr>
          <w:rFonts w:ascii="Times New Roman" w:hAnsi="Times New Roman"/>
          <w:b/>
          <w:sz w:val="20"/>
        </w:rPr>
        <w:t>clause (2)</w:t>
      </w:r>
      <w:r>
        <w:rPr>
          <w:rFonts w:ascii="Times New Roman" w:hAnsi="Times New Roman"/>
          <w:sz w:val="20"/>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5.03(A)</w:t>
      </w:r>
      <w:r>
        <w:rPr>
          <w:rFonts w:ascii="Times New Roman" w:hAnsi="Times New Roman"/>
          <w:sz w:val="20"/>
        </w:rPr>
        <w:t xml:space="preserve">); (w) the Company will be precluded from irrevocably electing Cash Settlement or Combination Settlement pursuant to </w:t>
      </w:r>
      <w:r>
        <w:rPr>
          <w:rFonts w:ascii="Times New Roman" w:hAnsi="Times New Roman"/>
          <w:b/>
          <w:sz w:val="20"/>
        </w:rPr>
        <w:t>clause (1)</w:t>
      </w:r>
      <w:r>
        <w:rPr>
          <w:rFonts w:ascii="Times New Roman" w:hAnsi="Times New Roman"/>
          <w:sz w:val="20"/>
        </w:rPr>
        <w:t xml:space="preserve"> above on or before the date that is five (5) years plus one (1) day after the Last Original Issue Date of the Initial Notes; (x) no such irrevocable election or Default Settlement Method change will affect any Settlement Method theretofore elected (or deemed to be elected) with respect to any Note pursuant to this Indenture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8.01(G)</w:t>
      </w:r>
      <w:r>
        <w:rPr>
          <w:rFonts w:ascii="Times New Roman" w:hAnsi="Times New Roman"/>
          <w:sz w:val="20"/>
        </w:rPr>
        <w:t xml:space="preserve"> or this </w:t>
      </w:r>
      <w:r>
        <w:rPr>
          <w:rFonts w:ascii="Times New Roman" w:hAnsi="Times New Roman"/>
          <w:b/>
          <w:sz w:val="20"/>
        </w:rPr>
        <w:t>Section</w:t>
      </w:r>
      <w:r>
        <w:rPr>
          <w:rFonts w:ascii="Times New Roman" w:hAnsi="Times New Roman"/>
          <w:sz w:val="20"/>
        </w:rPr>
        <w:t> </w:t>
      </w:r>
      <w:r>
        <w:rPr>
          <w:rFonts w:ascii="Times New Roman" w:hAnsi="Times New Roman"/>
          <w:b/>
          <w:sz w:val="20"/>
        </w:rPr>
        <w:t>5.03(A)</w:t>
      </w:r>
      <w:r>
        <w:rPr>
          <w:rFonts w:ascii="Times New Roman" w:hAnsi="Times New Roman"/>
          <w:sz w:val="20"/>
        </w:rPr>
        <w:t xml:space="preserve">); (y) upon any such irrevocable election pursuant to </w:t>
      </w:r>
      <w:r>
        <w:rPr>
          <w:rFonts w:ascii="Times New Roman" w:hAnsi="Times New Roman"/>
          <w:b/>
          <w:sz w:val="20"/>
        </w:rPr>
        <w:t>clause (1)</w:t>
      </w:r>
      <w:r>
        <w:rPr>
          <w:rFonts w:ascii="Times New Roman" w:hAnsi="Times New Roman"/>
          <w:sz w:val="20"/>
        </w:rPr>
        <w:t xml:space="preserve"> above, the Default Settlement Method will automatically be deemed to be set to the Settlement Method so fixed; and (z) upon any such irrevocable election pursuant to </w:t>
      </w:r>
      <w:r>
        <w:rPr>
          <w:rFonts w:ascii="Times New Roman" w:hAnsi="Times New Roman"/>
          <w:b/>
          <w:sz w:val="20"/>
        </w:rPr>
        <w:t>clause (2)</w:t>
      </w:r>
      <w:r>
        <w:rPr>
          <w:rFonts w:ascii="Times New Roman" w:hAnsi="Times New Roman"/>
          <w:sz w:val="20"/>
        </w:rPr>
        <w:t xml:space="preserve"> above, the Company will, if needed, simultaneously change the Default Settlement Method to a Settlement Method that is consistent with such irrevocable election. Such notice, if sent, must set forth the applicable Settlement Method(s) so elected or eliminated, as applicable, and the Default Settlement Method applicable immediately after such election,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8.01(G)</w:t>
      </w:r>
      <w:r>
        <w:rPr>
          <w:rFonts w:ascii="Times New Roman" w:hAnsi="Times New Roman"/>
          <w:sz w:val="20"/>
        </w:rPr>
        <w:t xml:space="preserve"> (it being understood, however, that the Company may nonetheless choose to execute such an amendment at its option).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Requirement to Publicly Disclose the Fixed or Default Settlement Method.</w:t>
      </w:r>
      <w:r>
        <w:rPr>
          <w:rFonts w:ascii="Times New Roman" w:hAnsi="Times New Roman"/>
          <w:sz w:val="20"/>
        </w:rPr>
        <w:t xml:space="preserve"> If the Company changes the Default Settlement Method pursuant to </w:t>
      </w:r>
      <w:r>
        <w:rPr>
          <w:rFonts w:ascii="Times New Roman" w:hAnsi="Times New Roman"/>
          <w:b/>
          <w:sz w:val="20"/>
        </w:rPr>
        <w:t>clause (x)</w:t>
      </w:r>
      <w:r>
        <w:rPr>
          <w:rFonts w:ascii="Times New Roman" w:hAnsi="Times New Roman"/>
          <w:sz w:val="20"/>
        </w:rPr>
        <w:t xml:space="preserve"> of the proviso to the definition of such term or irrevocably fixes the Settlement Method(s)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5.03(A)(ii)</w:t>
      </w:r>
      <w:r>
        <w:rPr>
          <w:rFonts w:ascii="Times New Roman" w:hAnsi="Times New Roman"/>
          <w:sz w:val="20"/>
        </w:rPr>
        <w:t xml:space="preserve">, then the Company will either post the Default Settlement Method or fixed Settlement Method(s), as applicable, on its website or disclose the same in a Current Report on Form 8-K (or any successor form) that is filed with, or furnished to, the SEC.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Ineligible Consideration Upon Conversion</w:t>
      </w:r>
      <w:r>
        <w:rPr>
          <w:rFonts w:ascii="Times New Roman" w:hAnsi="Times New Roman"/>
          <w:sz w:val="20"/>
        </w:rPr>
        <w:t>. Notwithstanding anything to the contrary in this Indenture or the Notes, if, before the date that is five (5) years plus one (1) day after the Last Original Issue Date of any Notes, Holders of such Notes would otherwise be entitled to receive, upon Conversion of such Notes, any property (including cash) or securities that would not constitute “Prescribed Securities” for the purposes of clause 212(1)(b)(vii)(E) of the Canadian Tax Act as it applied for the 2007 taxation year (such property or securities being referred to as “</w:t>
      </w:r>
      <w:r>
        <w:rPr>
          <w:rFonts w:ascii="Times New Roman" w:hAnsi="Times New Roman"/>
          <w:b/>
          <w:sz w:val="20"/>
        </w:rPr>
        <w:t>Ineligible Consideration</w:t>
      </w:r>
      <w:r>
        <w:rPr>
          <w:rFonts w:ascii="Times New Roman" w:hAnsi="Times New Roman"/>
          <w:sz w:val="20"/>
        </w:rPr>
        <w:t xml:space="preserve">”), then such Holders will not be entitled to receive such Ineligible Consideration but the Company or the Successor Entity, as the case may be, will have the right (at the sole option of the Company or the Successor Entity, as the case may be) to deliver either such Ineligible Consideration or “Prescribed Securities,” for the purposes of clause 212(1)(b)(vii)(E) of the Canadian Tax Act as it applied for the 2007 taxation year, with a market value equal to the market value of such Ineligible Consideration;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elect to settle Conversions or change the Default Settlement Method to a Settlement Method other than one that will constitute “Prescribed Securities” before the date that is five (5) years plus one (1) day after the Last Original Issue Date of applicable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Conversion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5.03(B)(ii)</w:t>
      </w:r>
      <w:r>
        <w:rPr>
          <w:rFonts w:ascii="Times New Roman" w:hAnsi="Times New Roman"/>
          <w:sz w:val="20"/>
        </w:rPr>
        <w:t xml:space="preserve">, </w:t>
      </w:r>
      <w:r>
        <w:rPr>
          <w:rFonts w:ascii="Times New Roman" w:hAnsi="Times New Roman"/>
          <w:b/>
          <w:sz w:val="20"/>
        </w:rPr>
        <w:t>5.03(B)(iii)</w:t>
      </w:r>
      <w:r>
        <w:rPr>
          <w:rFonts w:ascii="Times New Roman" w:hAnsi="Times New Roman"/>
          <w:sz w:val="20"/>
        </w:rPr>
        <w:t xml:space="preserve"> and </w:t>
      </w:r>
      <w:r>
        <w:rPr>
          <w:rFonts w:ascii="Times New Roman" w:hAnsi="Times New Roman"/>
          <w:b/>
          <w:sz w:val="20"/>
        </w:rPr>
        <w:t>5.09(A)(2)</w:t>
      </w:r>
      <w:r>
        <w:rPr>
          <w:rFonts w:ascii="Times New Roman" w:hAnsi="Times New Roman"/>
          <w:sz w:val="20"/>
        </w:rPr>
        <w:t>, the type and amount of consideration (the “</w:t>
      </w:r>
      <w:r>
        <w:rPr>
          <w:rFonts w:ascii="Times New Roman" w:hAnsi="Times New Roman"/>
          <w:b/>
          <w:sz w:val="20"/>
        </w:rPr>
        <w:t>Conversion Consideration</w:t>
      </w:r>
      <w:r>
        <w:rPr>
          <w:rFonts w:ascii="Times New Roman" w:hAnsi="Times New Roman"/>
          <w:sz w:val="20"/>
        </w:rPr>
        <w:t xml:space="preserve">”) due in respect of each $1,000 principal amount of a Note to be Converted will be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Physical Settlement applies to such Conversion, a number of Common Shares equal to the Conversion Rate in effect on the Conversion Date for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(2) if Cash Settlement applies to such Conversion, cash in an amount equal to the sum of the Daily Conversion Values for each VWAP Trading Day in the Observation Period for such Conversion; or </w:t>
      </w:r>
    </w:p>
    <w:p>
      <w:pPr>
        <w:pStyle w:val="TextBody"/>
        <w:bidi w:val="0"/>
        <w:spacing w:before="120" w:after="0"/>
        <w:jc w:val="left"/>
        <w:rPr>
          <w:rFonts w:ascii="Times New Roman" w:hAnsi="Times New Roman"/>
          <w:sz w:val="20"/>
        </w:rPr>
      </w:pPr>
      <w:r>
        <w:rPr>
          <w:rFonts w:ascii="Times New Roman" w:hAnsi="Times New Roman"/>
          <w:sz w:val="20"/>
        </w:rPr>
        <w:t xml:space="preserve">(3) if Combination Settlement applies to such Conversion, consideration consisting of (a) a number of Common Shares equal to the sum of the Daily Share Amounts for each VWAP Trading Day in the Observation Period for such Conversion; and (b) an amount of cash equal to the sum of the Daily Cash Amounts for each VWAP Trading Day in such Observation Period.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Cash in Lieu of Fractional Shares</w:t>
      </w:r>
      <w:r>
        <w:rPr>
          <w:rFonts w:ascii="Times New Roman" w:hAnsi="Times New Roman"/>
          <w:sz w:val="20"/>
        </w:rPr>
        <w:t xml:space="preserve">. If Physical Settlement or Combination Settlement applies to the Conversion of any Note and the number of Common Shares deliverable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5.03(B)(i)</w:t>
      </w:r>
      <w:r>
        <w:rPr>
          <w:rFonts w:ascii="Times New Roman" w:hAnsi="Times New Roman"/>
          <w:sz w:val="20"/>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Conversion of Multiple Notes by a Single Holder</w:t>
      </w:r>
      <w:r>
        <w:rPr>
          <w:rFonts w:ascii="Times New Roman" w:hAnsi="Times New Roman"/>
          <w:sz w:val="20"/>
        </w:rPr>
        <w:t xml:space="preserve">. If a Holder Converts more than one (1) Note on a single 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Notice of Calculation of Conversion Consideration</w:t>
      </w:r>
      <w:r>
        <w:rPr>
          <w:rFonts w:ascii="Times New Roman" w:hAnsi="Times New Roman"/>
          <w:sz w:val="20"/>
        </w:rPr>
        <w:t xml:space="preserve">. If Cash Settlement or Combination Settlement applies to the Conversion 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Delivery of the Conversion Consideration</w:t>
      </w:r>
      <w:r>
        <w:rPr>
          <w:rFonts w:ascii="Times New Roman" w:hAnsi="Times New Roman"/>
          <w:sz w:val="20"/>
        </w:rPr>
        <w:t xml:space="preserve">. Except as set forth in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5.05(D)</w:t>
      </w:r>
      <w:r>
        <w:rPr>
          <w:rFonts w:ascii="Times New Roman" w:hAnsi="Times New Roman"/>
          <w:sz w:val="20"/>
        </w:rPr>
        <w:t xml:space="preserve"> and </w:t>
      </w:r>
      <w:r>
        <w:rPr>
          <w:rFonts w:ascii="Times New Roman" w:hAnsi="Times New Roman"/>
          <w:b/>
          <w:sz w:val="20"/>
        </w:rPr>
        <w:t>5.09</w:t>
      </w:r>
      <w:r>
        <w:rPr>
          <w:rFonts w:ascii="Times New Roman" w:hAnsi="Times New Roman"/>
          <w:sz w:val="20"/>
        </w:rPr>
        <w:t xml:space="preserve">, the Company will pay or deliver, as applicable, the Conversion Consideration due upon the Conversion of any Note to the Holder as follows: (i) if Cash Settlement or Combination Settlement applies to such Conversion, on or before the second (2nd) Business Day immediately after the last VWAP Trading Day of the Observation Period for such Conversion; and (ii) if Physical Settlement applies to such Conversion, on or before the second (2nd) Business Day immediately after the Conversion Date for such Conversion;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Physical Settlement applies to the Conversion of any Note with a Conversion Date that is after the Regular Record Date immediately before the Maturity Date, then, solely for purposes of such Conversion, (x) the Company will pay or deliver, as applicable, the Conversion Consideration due upon such Conversion on or before the Maturity Date (or, if the Maturity Date is not a Business Day, the next Business Day); and (y) the Conversion Date will instead be deemed to be the second (2nd) Scheduled Trading Day immediately before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Deemed Payment of Principal and Interest; Settlement of Accrued Interest Notwithstanding Conversion</w:t>
      </w:r>
      <w:r>
        <w:rPr>
          <w:rFonts w:ascii="Times New Roman" w:hAnsi="Times New Roman"/>
          <w:sz w:val="20"/>
        </w:rPr>
        <w:t xml:space="preserve">. If a Holder Converts a Note, then the Company will not adjust the Conversion Rate to account for any accrued and unpaid interest on such Note, and,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the Company’s delivery of the Conversion Consideration due in respect of such Conversion will be deemed to fully satisfy and discharge the Company’s obligation to pay the principal of, and accrued and unpaid interest, if any, on, such Note to, but excluding the Conversion Date. As a result,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any accrued and unpaid interest on a Converted Note will be deemed to be paid in full rather than cancelled, extinguished or forfeited. In addition,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if the Conversion Consideration for a Note consists of both cash and Common Shares, then accrued and unpaid interest that is deemed to be paid therewith will be deemed to be paid first out of such cash.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5.04. RESERVE AND STATUS OF COMMON SHARES ISSUED UPON CONVERSION.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Stock Reserve</w:t>
      </w:r>
      <w:r>
        <w:rPr>
          <w:rFonts w:ascii="Times New Roman" w:hAnsi="Times New Roman"/>
          <w:sz w:val="20"/>
        </w:rPr>
        <w:t xml:space="preserve">. At all times when any Notes are outstanding, the Company will reserve (out of its authorized and not outstanding Common Shares that are not reserved for other purposes) a number of Common Shares sufficient to permit the Conversion of all then-outstanding Notes, assuming (x) Physical Settlement will apply to such Conversion; and (y) the Conversion Rate is increased by the maximum amount pursuant to which the Conversion Rate may be increased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To the extent the Company delivers Common Shares held in its treasury in settlement of the Conversion of any Notes, each reference in this Indenture or the Notes to the issuance of Common Shares in connection therewith will be deemed to include such delivery,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Status of Conversion Shares; Listing</w:t>
      </w:r>
      <w:r>
        <w:rPr>
          <w:rFonts w:ascii="Times New Roman" w:hAnsi="Times New Roman"/>
          <w:sz w:val="20"/>
        </w:rPr>
        <w:t xml:space="preserve">. Each Conversion Share, if any, delivered upon Conversion of any Note will be a newly issued or treasury share (except that any Conversion Share delivered by a designated financial institution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Shares are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5.05. ADJUSTMENTS TO THE CONVERSION RATE.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Events Requiring an Adjustment to the Conversion Rate</w:t>
      </w:r>
      <w:r>
        <w:rPr>
          <w:rFonts w:ascii="Times New Roman" w:hAnsi="Times New Roman"/>
          <w:sz w:val="20"/>
        </w:rPr>
        <w:t xml:space="preserve">. The Conversion Rate will be adjusted from time to time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Stock Dividends, Splits and Combinations</w:t>
      </w:r>
      <w:r>
        <w:rPr>
          <w:rFonts w:ascii="Times New Roman" w:hAnsi="Times New Roman"/>
          <w:sz w:val="20"/>
        </w:rPr>
        <w:t xml:space="preserve">. If the Company issues solely Common Shares as a dividend or distribution on all or substantially all Common Shares, or if the Company effects a stock split or a stock combination of the Common Shares (in each case excluding an issuance solely pursuant to a Common Share Change Event,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will apply), then the Conversion Rate will be adjusted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1430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457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69"/>
        <w:gridCol w:w="142"/>
        <w:gridCol w:w="158"/>
        <w:gridCol w:w="142"/>
        <w:gridCol w:w="8885"/>
      </w:tblGrid>
      <w:tr>
        <w:trPr/>
        <w:tc>
          <w:tcPr>
            <w:tcW w:w="46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885" w:type="dxa"/>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i/>
              </w:rPr>
              <w:t>CR</w:t>
            </w:r>
            <w:r>
              <w:rPr/>
              <w:t>0</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the Conversion Rate in effect immediately before the Open of Business on the Ex-Dividend Date for such dividend or distribution, or immediately before the Open of Business on the effective date of such stock split or stock combination, as applicable;</w:t>
            </w:r>
          </w:p>
        </w:tc>
      </w:tr>
      <w:tr>
        <w:trPr>
          <w:trHeight w:val="120" w:hRule="atLeast"/>
        </w:trPr>
        <w:tc>
          <w:tcPr>
            <w:tcW w:w="469"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i/>
              </w:rPr>
              <w:t>CR</w:t>
            </w:r>
            <w:r>
              <w:rPr/>
              <w:t>1</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the Conversion Rate in effect immediately after the Open of Business on such Ex-Dividend Date or effective date, as applicable;</w:t>
            </w:r>
          </w:p>
        </w:tc>
      </w:tr>
      <w:tr>
        <w:trPr>
          <w:trHeight w:val="120" w:hRule="atLeast"/>
        </w:trPr>
        <w:tc>
          <w:tcPr>
            <w:tcW w:w="469"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i/>
              </w:rPr>
              <w:t>OS</w:t>
            </w:r>
            <w:r>
              <w:rPr/>
              <w:t>0</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the number of Common Shares outstanding immediately before the Open of Business on such Ex-Dividend Date or effective date, as applicable, without giving effect to such dividend, distribution, stock split or stock combination; and</w:t>
            </w:r>
          </w:p>
        </w:tc>
      </w:tr>
      <w:tr>
        <w:trPr>
          <w:trHeight w:val="120" w:hRule="atLeast"/>
        </w:trPr>
        <w:tc>
          <w:tcPr>
            <w:tcW w:w="469"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i/>
              </w:rPr>
              <w:t>OS</w:t>
            </w:r>
            <w:r>
              <w:rPr/>
              <w:t>1</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the number of Common Shares outstanding immediately after giving effect to such dividend, distribution, stock split or stock combination.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dividend, distribution, stock split or stock combination of the type described in this </w:t>
      </w:r>
      <w:r>
        <w:rPr>
          <w:rFonts w:ascii="Times New Roman" w:hAnsi="Times New Roman"/>
          <w:b/>
          <w:sz w:val="20"/>
        </w:rPr>
        <w:t>Section</w:t>
      </w:r>
      <w:r>
        <w:rPr>
          <w:rFonts w:ascii="Times New Roman" w:hAnsi="Times New Roman"/>
          <w:sz w:val="20"/>
        </w:rPr>
        <w:t> </w:t>
      </w:r>
      <w:r>
        <w:rPr>
          <w:rFonts w:ascii="Times New Roman" w:hAnsi="Times New Roman"/>
          <w:b/>
          <w:sz w:val="20"/>
        </w:rPr>
        <w:t>5.05(A)(i)</w:t>
      </w:r>
      <w:r>
        <w:rPr>
          <w:rFonts w:ascii="Times New Roman" w:hAnsi="Times New Roman"/>
          <w:sz w:val="20"/>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Rights, Options and Warrants</w:t>
      </w:r>
      <w:r>
        <w:rPr>
          <w:rFonts w:ascii="Times New Roman" w:hAnsi="Times New Roman"/>
          <w:sz w:val="20"/>
        </w:rPr>
        <w:t xml:space="preserve">. If the Company distributes, to all or substantially all holders of Common Shares, rights, options or warrants (other than rights issued or otherwise distributed pursuant to a shareholder rights plan, as to which </w:t>
      </w:r>
      <w:r>
        <w:rPr>
          <w:rFonts w:ascii="Times New Roman" w:hAnsi="Times New Roman"/>
          <w:b/>
          <w:sz w:val="20"/>
        </w:rPr>
        <w:t>Sections 5.05(A)(iii)(1)</w:t>
      </w:r>
      <w:r>
        <w:rPr>
          <w:rFonts w:ascii="Times New Roman" w:hAnsi="Times New Roman"/>
          <w:sz w:val="20"/>
        </w:rPr>
        <w:t xml:space="preserve"> and </w:t>
      </w:r>
      <w:r>
        <w:rPr>
          <w:rFonts w:ascii="Times New Roman" w:hAnsi="Times New Roman"/>
          <w:b/>
          <w:sz w:val="20"/>
        </w:rPr>
        <w:t>5.05(F)</w:t>
      </w:r>
      <w:r>
        <w:rPr>
          <w:rFonts w:ascii="Times New Roman" w:hAnsi="Times New Roman"/>
          <w:sz w:val="20"/>
        </w:rPr>
        <w:t xml:space="preserve"> will apply) entitling such holders, for a period of not more than sixty (60) calendar days after the record date of such distribution, to subscribe for or purchase Common Shares at a price per share that is less than the average of the Last Reported Sale Prices per Common Share for the ten (10) consecutive Trading Days ending on, and including, the Trading Day immediately before the date such distribution is announced, then the Conversion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276350"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763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70"/>
        <w:gridCol w:w="142"/>
        <w:gridCol w:w="158"/>
        <w:gridCol w:w="142"/>
        <w:gridCol w:w="8884"/>
      </w:tblGrid>
      <w:tr>
        <w:trPr/>
        <w:tc>
          <w:tcPr>
            <w:tcW w:w="47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884" w:type="dxa"/>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i/>
              </w:rPr>
              <w:t>CR</w:t>
            </w:r>
            <w:r>
              <w:rPr/>
              <w:t>0</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r>
              <w:rPr/>
              <w:t>the Conversion Rate in effect immediately before the Open of Business on the Ex-Dividend Date for such distribution;</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i/>
              </w:rPr>
              <w:t>CR</w:t>
            </w:r>
            <w:r>
              <w:rPr/>
              <w:t>1</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r>
              <w:rPr/>
              <w:t>the Conversion Rate in effect immediately after the Open of Business on such Ex-Dividend Date;</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OS</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r>
              <w:rPr/>
              <w:t>the number of Common Shares outstanding immediately before the Open of Business on such Ex-Dividend Date;</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i/>
              </w:rPr>
            </w:pPr>
            <w:r>
              <w:rPr>
                <w:i/>
              </w:rPr>
              <w:t>X</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r>
              <w:rPr/>
              <w:t>the total number of Common Shares issuable pursuant to such rights, options or warrants; and</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i/>
              </w:rPr>
            </w:pPr>
            <w:r>
              <w:rPr>
                <w:i/>
              </w:rPr>
              <w:t>Y</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r>
              <w:rPr/>
              <w:t>a number of Common Shares obtained by dividing (x) the aggregate price payable to exercise such rights, options or warrants by (y) the average of the Last Reported Sale Prices per Common Share for the ten (10) consecutive Trading Days ending on, and including, the Trading Day immediately before the date such distribution is announced.</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Common Shares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Common Shares actually delivered upon exercise of such rights, options or warrants.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5.05(A)(ii)</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5.01(C)(i)(3)(a)(I)</w:t>
      </w:r>
      <w:r>
        <w:rPr>
          <w:rFonts w:ascii="Times New Roman" w:hAnsi="Times New Roman"/>
          <w:sz w:val="20"/>
        </w:rPr>
        <w:t xml:space="preserve">, in determining whether any rights, options or warrants entitle holders of Common Shares to subscribe for or purchase Common Shares at a price per share that is less than the average of the Last Reported Sale Prices per Common Share for the ten (10) consecutive Trading Days ending on, and including, the Trading Day immediately before the date the distribution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 and in a commercially reasonable manner.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Spin-Offs and Other Distributed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Distributions Other than Spin-Offs</w:t>
      </w:r>
      <w:r>
        <w:rPr>
          <w:rFonts w:ascii="Times New Roman" w:hAnsi="Times New Roman"/>
          <w:sz w:val="20"/>
        </w:rPr>
        <w:t xml:space="preserve">. If the Company distributes its Capital Shares, evidences of its indebtedness or other assets or property of the Company, or rights, options or warrants to acquire Capital Shares of the Company or other securities, to all or substantially all holders of the Common Shares, excluding: </w:t>
      </w:r>
    </w:p>
    <w:p>
      <w:pPr>
        <w:pStyle w:val="TextBody"/>
        <w:bidi w:val="0"/>
        <w:spacing w:before="120" w:after="0"/>
        <w:jc w:val="left"/>
        <w:rPr>
          <w:rFonts w:ascii="Times New Roman" w:hAnsi="Times New Roman"/>
          <w:sz w:val="20"/>
        </w:rPr>
      </w:pPr>
      <w:r>
        <w:rPr>
          <w:rFonts w:ascii="Times New Roman" w:hAnsi="Times New Roman"/>
          <w:sz w:val="20"/>
        </w:rPr>
        <w:t xml:space="preserve">(u) dividends, distributions, rights, options or warrants for which an adjustment to the Conversion Rate is required (or would be required without regard to </w:t>
      </w:r>
      <w:r>
        <w:rPr>
          <w:rFonts w:ascii="Times New Roman" w:hAnsi="Times New Roman"/>
          <w:b/>
          <w:sz w:val="20"/>
        </w:rPr>
        <w:t>Section</w:t>
      </w:r>
      <w:r>
        <w:rPr>
          <w:rFonts w:ascii="Times New Roman" w:hAnsi="Times New Roman"/>
          <w:sz w:val="20"/>
        </w:rPr>
        <w:t> </w:t>
      </w:r>
      <w:r>
        <w:rPr>
          <w:rFonts w:ascii="Times New Roman" w:hAnsi="Times New Roman"/>
          <w:b/>
          <w:sz w:val="20"/>
        </w:rPr>
        <w:t>5.05(C)</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w:t>
      </w:r>
      <w:r>
        <w:rPr>
          <w:rFonts w:ascii="Times New Roman" w:hAnsi="Times New Roman"/>
          <w:sz w:val="20"/>
        </w:rPr>
        <w:t xml:space="preserve"> or </w:t>
      </w:r>
      <w:r>
        <w:rPr>
          <w:rFonts w:ascii="Times New Roman" w:hAnsi="Times New Roman"/>
          <w:b/>
          <w:sz w:val="20"/>
        </w:rPr>
        <w:t>5.05(A)(ii)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dividends or distributions paid exclusively in cash for which an adjustment to the Conversion Rate is required (or would be required without regard to </w:t>
      </w:r>
      <w:r>
        <w:rPr>
          <w:rFonts w:ascii="Times New Roman" w:hAnsi="Times New Roman"/>
          <w:b/>
          <w:sz w:val="20"/>
        </w:rPr>
        <w:t>Section</w:t>
      </w:r>
      <w:r>
        <w:rPr>
          <w:rFonts w:ascii="Times New Roman" w:hAnsi="Times New Roman"/>
          <w:sz w:val="20"/>
        </w:rPr>
        <w:t> </w:t>
      </w:r>
      <w:r>
        <w:rPr>
          <w:rFonts w:ascii="Times New Roman" w:hAnsi="Times New Roman"/>
          <w:b/>
          <w:sz w:val="20"/>
        </w:rPr>
        <w:t>5.05(C)</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 rights issued or otherwise distributed pursuant to a shareholder rights plan,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5.05(F)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Spin-Offs for which an adjustment to the Conversion Rate is required (or would be required without regard to </w:t>
      </w:r>
      <w:r>
        <w:rPr>
          <w:rFonts w:ascii="Times New Roman" w:hAnsi="Times New Roman"/>
          <w:b/>
          <w:sz w:val="20"/>
        </w:rPr>
        <w:t>Section</w:t>
      </w:r>
      <w:r>
        <w:rPr>
          <w:rFonts w:ascii="Times New Roman" w:hAnsi="Times New Roman"/>
          <w:sz w:val="20"/>
        </w:rPr>
        <w:t> </w:t>
      </w:r>
      <w:r>
        <w:rPr>
          <w:rFonts w:ascii="Times New Roman" w:hAnsi="Times New Roman"/>
          <w:b/>
          <w:sz w:val="20"/>
        </w:rPr>
        <w:t>5.05(C)</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5.05(A)(iii)(2)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(y) a distribution solely pursuant to a tender offer or exchange offer for Common Shares,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will apply; and </w:t>
      </w:r>
    </w:p>
    <w:p>
      <w:pPr>
        <w:pStyle w:val="TextBody"/>
        <w:bidi w:val="0"/>
        <w:spacing w:before="120" w:after="0"/>
        <w:jc w:val="left"/>
        <w:rPr>
          <w:rFonts w:ascii="Times New Roman" w:hAnsi="Times New Roman"/>
          <w:sz w:val="20"/>
        </w:rPr>
      </w:pPr>
      <w:r>
        <w:rPr>
          <w:rFonts w:ascii="Times New Roman" w:hAnsi="Times New Roman"/>
          <w:sz w:val="20"/>
        </w:rPr>
        <w:t xml:space="preserve">(z) a distribution solely pursuant to a Common Share Change Event,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will apply, </w:t>
      </w:r>
    </w:p>
    <w:p>
      <w:pPr>
        <w:pStyle w:val="TextBody"/>
        <w:bidi w:val="0"/>
        <w:spacing w:before="120" w:after="0"/>
        <w:jc w:val="left"/>
        <w:rPr>
          <w:rFonts w:ascii="Times New Roman" w:hAnsi="Times New Roman"/>
          <w:sz w:val="20"/>
        </w:rPr>
      </w:pPr>
      <w:r>
        <w:rPr>
          <w:rFonts w:ascii="Times New Roman" w:hAnsi="Times New Roman"/>
          <w:sz w:val="20"/>
        </w:rPr>
        <w:t xml:space="preserve">then the Conversion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46685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66850" cy="4095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553"/>
        <w:gridCol w:w="141"/>
        <w:gridCol w:w="158"/>
        <w:gridCol w:w="141"/>
        <w:gridCol w:w="8395"/>
      </w:tblGrid>
      <w:tr>
        <w:trPr/>
        <w:tc>
          <w:tcPr>
            <w:tcW w:w="55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395" w:type="dxa"/>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283"/>
              <w:jc w:val="left"/>
              <w:rPr/>
            </w:pPr>
            <w:r>
              <w:rPr>
                <w:i/>
              </w:rPr>
              <w:t>CR</w:t>
            </w:r>
            <w:r>
              <w:rPr/>
              <w:t>0</w:t>
            </w:r>
          </w:p>
        </w:tc>
        <w:tc>
          <w:tcPr>
            <w:tcW w:w="141"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283"/>
              <w:jc w:val="left"/>
              <w:rPr/>
            </w:pPr>
            <w:r>
              <w:rPr/>
              <w:t>the Conversion Rate in effect immediately before the Open of Business on the Ex-Dividend Date for such distribution;</w:t>
            </w:r>
          </w:p>
        </w:tc>
      </w:tr>
      <w:tr>
        <w:trPr>
          <w:trHeight w:val="120" w:hRule="atLeast"/>
        </w:trPr>
        <w:tc>
          <w:tcPr>
            <w:tcW w:w="553" w:type="dxa"/>
            <w:tcBorders/>
            <w:vAlign w:val="center"/>
          </w:tcPr>
          <w:p>
            <w:pPr>
              <w:pStyle w:val="TableContents"/>
              <w:bidi w:val="0"/>
              <w:spacing w:before="0" w:after="283"/>
              <w:jc w:val="left"/>
              <w:rPr>
                <w:sz w:val="4"/>
                <w:szCs w:val="4"/>
              </w:rPr>
            </w:pPr>
            <w:r>
              <w:rPr>
                <w:sz w:val="4"/>
                <w:szCs w:val="4"/>
              </w:rPr>
            </w:r>
          </w:p>
        </w:tc>
        <w:tc>
          <w:tcPr>
            <w:tcW w:w="299" w:type="dxa"/>
            <w:gridSpan w:val="2"/>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283"/>
              <w:jc w:val="left"/>
              <w:rPr/>
            </w:pPr>
            <w:r>
              <w:rPr>
                <w:i/>
              </w:rPr>
              <w:t>CR</w:t>
            </w:r>
            <w:r>
              <w:rPr/>
              <w:t>1</w:t>
            </w:r>
          </w:p>
        </w:tc>
        <w:tc>
          <w:tcPr>
            <w:tcW w:w="141"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283"/>
              <w:jc w:val="left"/>
              <w:rPr/>
            </w:pPr>
            <w:r>
              <w:rPr/>
              <w:t>the Conversion Rate in effect immediately after the Open of Business on such Ex-Dividend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- 60 - </w:t>
      </w:r>
      <w:r>
        <w:br w:type="page"/>
      </w:r>
    </w:p>
    <w:p>
      <w:pPr>
        <w:pStyle w:val="HorizontalLine"/>
        <w:pBdr>
          <w:bottom w:val="double" w:sz="6" w:space="0" w:color="808080"/>
        </w:pBdr>
        <w:bidi w:val="0"/>
        <w:jc w:val="left"/>
        <w:rPr/>
      </w:pPr>
      <w:r>
        <w:rPr/>
      </w:r>
    </w:p>
    <w:tbl>
      <w:tblPr>
        <w:tblW w:w="4600" w:type="pct"/>
        <w:jc w:val="right"/>
        <w:tblInd w:w="0" w:type="dxa"/>
        <w:tblLayout w:type="fixed"/>
        <w:tblCellMar>
          <w:top w:w="0" w:type="dxa"/>
          <w:left w:w="0" w:type="dxa"/>
          <w:bottom w:w="0" w:type="dxa"/>
          <w:right w:w="0" w:type="dxa"/>
        </w:tblCellMar>
      </w:tblPr>
      <w:tblGrid>
        <w:gridCol w:w="570"/>
        <w:gridCol w:w="138"/>
        <w:gridCol w:w="155"/>
        <w:gridCol w:w="138"/>
        <w:gridCol w:w="8387"/>
      </w:tblGrid>
      <w:tr>
        <w:trPr/>
        <w:tc>
          <w:tcPr>
            <w:tcW w:w="57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8387" w:type="dxa"/>
            <w:tcBorders/>
            <w:vAlign w:val="center"/>
          </w:tcPr>
          <w:p>
            <w:pPr>
              <w:pStyle w:val="TableContents"/>
              <w:bidi w:val="0"/>
              <w:spacing w:before="0" w:after="283"/>
              <w:jc w:val="left"/>
              <w:rPr>
                <w:sz w:val="4"/>
                <w:szCs w:val="4"/>
              </w:rPr>
            </w:pPr>
            <w:r>
              <w:rPr>
                <w:sz w:val="4"/>
                <w:szCs w:val="4"/>
              </w:rPr>
            </w:r>
          </w:p>
        </w:tc>
      </w:tr>
      <w:tr>
        <w:trPr/>
        <w:tc>
          <w:tcPr>
            <w:tcW w:w="570" w:type="dxa"/>
            <w:tcBorders/>
          </w:tcPr>
          <w:p>
            <w:pPr>
              <w:pStyle w:val="TableContents"/>
              <w:bidi w:val="0"/>
              <w:spacing w:before="0" w:after="283"/>
              <w:jc w:val="left"/>
              <w:rPr>
                <w:i/>
              </w:rPr>
            </w:pPr>
            <w:r>
              <w:rPr>
                <w:i/>
              </w:rPr>
              <w:t>SP</w:t>
            </w:r>
          </w:p>
        </w:tc>
        <w:tc>
          <w:tcPr>
            <w:tcW w:w="138"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38" w:type="dxa"/>
            <w:tcBorders/>
            <w:vAlign w:val="bottom"/>
          </w:tcPr>
          <w:p>
            <w:pPr>
              <w:pStyle w:val="TableContents"/>
              <w:bidi w:val="0"/>
              <w:spacing w:before="0" w:after="283"/>
              <w:jc w:val="left"/>
              <w:rPr/>
            </w:pPr>
            <w:r>
              <w:rPr/>
              <w:t>  </w:t>
            </w:r>
          </w:p>
        </w:tc>
        <w:tc>
          <w:tcPr>
            <w:tcW w:w="8387" w:type="dxa"/>
            <w:tcBorders/>
          </w:tcPr>
          <w:p>
            <w:pPr>
              <w:pStyle w:val="TableContents"/>
              <w:bidi w:val="0"/>
              <w:spacing w:before="0" w:after="283"/>
              <w:jc w:val="left"/>
              <w:rPr/>
            </w:pPr>
            <w:r>
              <w:rPr/>
              <w:t>the average of the Last Reported Sale Prices per Common Share for the ten (10) consecutive Trading Days ending on, and including, the Trading Day immediately before such Ex-Dividend Date; and</w:t>
            </w:r>
          </w:p>
        </w:tc>
      </w:tr>
      <w:tr>
        <w:trPr>
          <w:trHeight w:val="120" w:hRule="atLeast"/>
        </w:trPr>
        <w:tc>
          <w:tcPr>
            <w:tcW w:w="570" w:type="dxa"/>
            <w:tcBorders/>
            <w:vAlign w:val="center"/>
          </w:tcPr>
          <w:p>
            <w:pPr>
              <w:pStyle w:val="TableContents"/>
              <w:bidi w:val="0"/>
              <w:spacing w:before="0" w:after="283"/>
              <w:jc w:val="left"/>
              <w:rPr>
                <w:sz w:val="4"/>
                <w:szCs w:val="4"/>
              </w:rPr>
            </w:pPr>
            <w:r>
              <w:rPr>
                <w:sz w:val="4"/>
                <w:szCs w:val="4"/>
              </w:rPr>
            </w:r>
          </w:p>
        </w:tc>
        <w:tc>
          <w:tcPr>
            <w:tcW w:w="293" w:type="dxa"/>
            <w:gridSpan w:val="2"/>
            <w:tcBorders/>
            <w:vAlign w:val="center"/>
          </w:tcPr>
          <w:p>
            <w:pPr>
              <w:pStyle w:val="TableContents"/>
              <w:bidi w:val="0"/>
              <w:spacing w:before="0" w:after="283"/>
              <w:jc w:val="left"/>
              <w:rPr>
                <w:sz w:val="4"/>
                <w:szCs w:val="4"/>
              </w:rPr>
            </w:pPr>
            <w:r>
              <w:rPr>
                <w:sz w:val="4"/>
                <w:szCs w:val="4"/>
              </w:rPr>
            </w:r>
          </w:p>
        </w:tc>
        <w:tc>
          <w:tcPr>
            <w:tcW w:w="8525" w:type="dxa"/>
            <w:gridSpan w:val="2"/>
            <w:tcBorders/>
            <w:vAlign w:val="center"/>
          </w:tcPr>
          <w:p>
            <w:pPr>
              <w:pStyle w:val="TableContents"/>
              <w:bidi w:val="0"/>
              <w:spacing w:before="0" w:after="283"/>
              <w:jc w:val="left"/>
              <w:rPr>
                <w:sz w:val="4"/>
                <w:szCs w:val="4"/>
              </w:rPr>
            </w:pPr>
            <w:r>
              <w:rPr>
                <w:sz w:val="4"/>
                <w:szCs w:val="4"/>
              </w:rPr>
            </w:r>
          </w:p>
        </w:tc>
      </w:tr>
      <w:tr>
        <w:trPr/>
        <w:tc>
          <w:tcPr>
            <w:tcW w:w="570" w:type="dxa"/>
            <w:tcBorders/>
          </w:tcPr>
          <w:p>
            <w:pPr>
              <w:pStyle w:val="TableContents"/>
              <w:bidi w:val="0"/>
              <w:spacing w:before="0" w:after="283"/>
              <w:jc w:val="left"/>
              <w:rPr>
                <w:i/>
              </w:rPr>
            </w:pPr>
            <w:r>
              <w:rPr>
                <w:i/>
              </w:rPr>
              <w:t>FMV</w:t>
            </w:r>
          </w:p>
        </w:tc>
        <w:tc>
          <w:tcPr>
            <w:tcW w:w="138"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38" w:type="dxa"/>
            <w:tcBorders/>
            <w:vAlign w:val="bottom"/>
          </w:tcPr>
          <w:p>
            <w:pPr>
              <w:pStyle w:val="TableContents"/>
              <w:bidi w:val="0"/>
              <w:spacing w:before="0" w:after="283"/>
              <w:jc w:val="left"/>
              <w:rPr/>
            </w:pPr>
            <w:r>
              <w:rPr/>
              <w:t>  </w:t>
            </w:r>
          </w:p>
        </w:tc>
        <w:tc>
          <w:tcPr>
            <w:tcW w:w="8387" w:type="dxa"/>
            <w:tcBorders/>
          </w:tcPr>
          <w:p>
            <w:pPr>
              <w:pStyle w:val="TableContents"/>
              <w:bidi w:val="0"/>
              <w:spacing w:before="0" w:after="283"/>
              <w:jc w:val="left"/>
              <w:rPr/>
            </w:pPr>
            <w:r>
              <w:rPr/>
              <w:t>the fair market value (as determined by the Company in good faith and in a commercially reasonable manner), as of such Ex-Dividend Date, of the Capital Shares, evidences of indebtedness, assets, property, rights, options or warrants distributed per Common Share pursuant to such distribution;</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w:t>
      </w:r>
      <w:r>
        <w:rPr>
          <w:rFonts w:ascii="Times New Roman" w:hAnsi="Times New Roman"/>
          <w:i/>
          <w:sz w:val="20"/>
        </w:rPr>
        <w:t>FMV</w:t>
      </w:r>
      <w:r>
        <w:rPr>
          <w:rFonts w:ascii="Times New Roman" w:hAnsi="Times New Roman"/>
          <w:sz w:val="20"/>
        </w:rPr>
        <w:t xml:space="preserve"> is equal to or greater than </w:t>
      </w:r>
      <w:r>
        <w:rPr>
          <w:rFonts w:ascii="Times New Roman" w:hAnsi="Times New Roman"/>
          <w:i/>
          <w:sz w:val="20"/>
        </w:rPr>
        <w:t>SP</w:t>
      </w:r>
      <w:r>
        <w:rPr>
          <w:rFonts w:ascii="Times New Roman" w:hAnsi="Times New Roman"/>
          <w:sz w:val="20"/>
        </w:rPr>
        <w:t xml:space="preserve">, then, in lieu of the foregoing adjustment to the Conversion Rate, each Holder will receive, for each $1,000 principal amount of Notes held by such Holder on the record date for such distribution, at the same time and on the same terms as holders of Common Shares, and without having to Convert its Notes, the amount and kind of Capital Shares, evidences of indebtedness, assets, property, rights, options or warrants that such Holder would have received if such Holder had owned, on such record date, a number of Common Shares equal to the Conversion Rate in effect on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distribution is not so paid or made, the Conversion Rate will be readjusted to the Conversion Rate that would then be in effect had the adjustment been made on the basis of only the distribution, if any, actually made or paid.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Spin-Offs</w:t>
      </w:r>
      <w:r>
        <w:rPr>
          <w:rFonts w:ascii="Times New Roman" w:hAnsi="Times New Roman"/>
          <w:sz w:val="20"/>
        </w:rPr>
        <w:t xml:space="preserve">. If the Company distributes or dividends Capital Shares of any class or series, or similar equity interests, of or relating to an Affiliate, a Subsidiary or other business unit of the Company to all or substantially all holders of the Common Shares (other than solely pursuant to (x) a Common Share Change Event,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will apply; or (y) a tender offer or exchange offer for Common Shares,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will apply), and such Capital Shares or equity interests are listed or quoted (or will be listed or quoted upon the consummation of the transaction) on a U.S. national securities exchange (a “</w:t>
      </w:r>
      <w:r>
        <w:rPr>
          <w:rFonts w:ascii="Times New Roman" w:hAnsi="Times New Roman"/>
          <w:b/>
          <w:sz w:val="20"/>
        </w:rPr>
        <w:t>Spin-Off</w:t>
      </w:r>
      <w:r>
        <w:rPr>
          <w:rFonts w:ascii="Times New Roman" w:hAnsi="Times New Roman"/>
          <w:sz w:val="20"/>
        </w:rPr>
        <w:t xml:space="preserve">”), then the Conversion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485900"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85900" cy="4095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545"/>
        <w:gridCol w:w="139"/>
        <w:gridCol w:w="155"/>
        <w:gridCol w:w="139"/>
        <w:gridCol w:w="8410"/>
      </w:tblGrid>
      <w:tr>
        <w:trPr/>
        <w:tc>
          <w:tcPr>
            <w:tcW w:w="54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410" w:type="dxa"/>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283"/>
              <w:jc w:val="left"/>
              <w:rPr/>
            </w:pPr>
            <w:r>
              <w:rPr>
                <w:i/>
              </w:rPr>
              <w:t>CR</w:t>
            </w:r>
            <w:r>
              <w:rPr/>
              <w:t>0</w:t>
            </w:r>
          </w:p>
        </w:tc>
        <w:tc>
          <w:tcPr>
            <w:tcW w:w="139"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39" w:type="dxa"/>
            <w:tcBorders/>
            <w:vAlign w:val="bottom"/>
          </w:tcPr>
          <w:p>
            <w:pPr>
              <w:pStyle w:val="TableContents"/>
              <w:bidi w:val="0"/>
              <w:spacing w:before="0" w:after="283"/>
              <w:jc w:val="left"/>
              <w:rPr/>
            </w:pPr>
            <w:r>
              <w:rPr/>
              <w:t>  </w:t>
            </w:r>
          </w:p>
        </w:tc>
        <w:tc>
          <w:tcPr>
            <w:tcW w:w="8410" w:type="dxa"/>
            <w:tcBorders/>
          </w:tcPr>
          <w:p>
            <w:pPr>
              <w:pStyle w:val="TableContents"/>
              <w:bidi w:val="0"/>
              <w:spacing w:before="0" w:after="283"/>
              <w:jc w:val="left"/>
              <w:rPr/>
            </w:pPr>
            <w:r>
              <w:rPr/>
              <w:t>the Conversion Rate in effect immediately before the Close of Business on the last Trading Day of the Spin-Off Valuation Period for such Spin-Off;</w:t>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294" w:type="dxa"/>
            <w:gridSpan w:val="2"/>
            <w:tcBorders/>
            <w:vAlign w:val="center"/>
          </w:tcPr>
          <w:p>
            <w:pPr>
              <w:pStyle w:val="TableContents"/>
              <w:bidi w:val="0"/>
              <w:spacing w:before="0" w:after="283"/>
              <w:jc w:val="left"/>
              <w:rPr>
                <w:sz w:val="4"/>
                <w:szCs w:val="4"/>
              </w:rPr>
            </w:pPr>
            <w:r>
              <w:rPr>
                <w:sz w:val="4"/>
                <w:szCs w:val="4"/>
              </w:rPr>
            </w:r>
          </w:p>
        </w:tc>
        <w:tc>
          <w:tcPr>
            <w:tcW w:w="8549"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283"/>
              <w:jc w:val="left"/>
              <w:rPr/>
            </w:pPr>
            <w:r>
              <w:rPr>
                <w:i/>
              </w:rPr>
              <w:t>CR</w:t>
            </w:r>
            <w:r>
              <w:rPr/>
              <w:t>1</w:t>
            </w:r>
          </w:p>
        </w:tc>
        <w:tc>
          <w:tcPr>
            <w:tcW w:w="139"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39" w:type="dxa"/>
            <w:tcBorders/>
            <w:vAlign w:val="bottom"/>
          </w:tcPr>
          <w:p>
            <w:pPr>
              <w:pStyle w:val="TableContents"/>
              <w:bidi w:val="0"/>
              <w:spacing w:before="0" w:after="283"/>
              <w:jc w:val="left"/>
              <w:rPr/>
            </w:pPr>
            <w:r>
              <w:rPr/>
              <w:t>  </w:t>
            </w:r>
          </w:p>
        </w:tc>
        <w:tc>
          <w:tcPr>
            <w:tcW w:w="8410" w:type="dxa"/>
            <w:tcBorders/>
          </w:tcPr>
          <w:p>
            <w:pPr>
              <w:pStyle w:val="TableContents"/>
              <w:bidi w:val="0"/>
              <w:spacing w:before="0" w:after="283"/>
              <w:jc w:val="left"/>
              <w:rPr/>
            </w:pPr>
            <w:r>
              <w:rPr/>
              <w:t>the Conversion Rate in effect immediately after the Close of Business on the last Trading Day of the Spin-Off Valuation Period;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- 61 - </w:t>
      </w:r>
      <w:r>
        <w:br w:type="page"/>
      </w:r>
    </w:p>
    <w:p>
      <w:pPr>
        <w:pStyle w:val="HorizontalLine"/>
        <w:pBdr>
          <w:bottom w:val="double" w:sz="6" w:space="0" w:color="808080"/>
        </w:pBdr>
        <w:bidi w:val="0"/>
        <w:jc w:val="left"/>
        <w:rPr/>
      </w:pPr>
      <w:r>
        <w:rPr/>
      </w:r>
    </w:p>
    <w:tbl>
      <w:tblPr>
        <w:tblW w:w="4600" w:type="pct"/>
        <w:jc w:val="right"/>
        <w:tblInd w:w="0" w:type="dxa"/>
        <w:tblLayout w:type="fixed"/>
        <w:tblCellMar>
          <w:top w:w="0" w:type="dxa"/>
          <w:left w:w="0" w:type="dxa"/>
          <w:bottom w:w="0" w:type="dxa"/>
          <w:right w:w="0" w:type="dxa"/>
        </w:tblCellMar>
      </w:tblPr>
      <w:tblGrid>
        <w:gridCol w:w="570"/>
        <w:gridCol w:w="138"/>
        <w:gridCol w:w="155"/>
        <w:gridCol w:w="138"/>
        <w:gridCol w:w="8387"/>
      </w:tblGrid>
      <w:tr>
        <w:trPr/>
        <w:tc>
          <w:tcPr>
            <w:tcW w:w="57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8387" w:type="dxa"/>
            <w:tcBorders/>
            <w:vAlign w:val="center"/>
          </w:tcPr>
          <w:p>
            <w:pPr>
              <w:pStyle w:val="TableContents"/>
              <w:bidi w:val="0"/>
              <w:spacing w:before="0" w:after="283"/>
              <w:jc w:val="left"/>
              <w:rPr>
                <w:sz w:val="4"/>
                <w:szCs w:val="4"/>
              </w:rPr>
            </w:pPr>
            <w:r>
              <w:rPr>
                <w:sz w:val="4"/>
                <w:szCs w:val="4"/>
              </w:rPr>
            </w:r>
          </w:p>
        </w:tc>
      </w:tr>
      <w:tr>
        <w:trPr/>
        <w:tc>
          <w:tcPr>
            <w:tcW w:w="570" w:type="dxa"/>
            <w:tcBorders/>
          </w:tcPr>
          <w:p>
            <w:pPr>
              <w:pStyle w:val="TableContents"/>
              <w:bidi w:val="0"/>
              <w:spacing w:before="0" w:after="283"/>
              <w:jc w:val="left"/>
              <w:rPr>
                <w:i/>
              </w:rPr>
            </w:pPr>
            <w:r>
              <w:rPr>
                <w:i/>
              </w:rPr>
              <w:t>FMV</w:t>
            </w:r>
          </w:p>
        </w:tc>
        <w:tc>
          <w:tcPr>
            <w:tcW w:w="138"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38" w:type="dxa"/>
            <w:tcBorders/>
            <w:vAlign w:val="bottom"/>
          </w:tcPr>
          <w:p>
            <w:pPr>
              <w:pStyle w:val="TableContents"/>
              <w:bidi w:val="0"/>
              <w:spacing w:before="0" w:after="283"/>
              <w:jc w:val="left"/>
              <w:rPr/>
            </w:pPr>
            <w:r>
              <w:rPr/>
              <w:t>  </w:t>
            </w:r>
          </w:p>
        </w:tc>
        <w:tc>
          <w:tcPr>
            <w:tcW w:w="8387" w:type="dxa"/>
            <w:tcBorders/>
          </w:tcPr>
          <w:p>
            <w:pPr>
              <w:pStyle w:val="TableContents"/>
              <w:bidi w:val="0"/>
              <w:spacing w:before="0" w:after="283"/>
              <w:jc w:val="left"/>
              <w:rPr/>
            </w:pPr>
            <w:r>
              <w:rPr/>
              <w:t>the product of (x) the average of the Last Reported Sale Prices per share or unit of the Capital Shares or equity interests distributed in such Spin-Off over the ten (10) consecutive Trading Day period (the “</w:t>
            </w:r>
            <w:r>
              <w:rPr>
                <w:b/>
              </w:rPr>
              <w:t>Spin-Off Valuation Period</w:t>
            </w:r>
            <w:r>
              <w:rPr/>
              <w:t>”) beginning on, and including, the Ex-Dividend Date for such Spin-Off (such average to be determined as if references to Common Shares in the definitions of Last Reported Sale Price, Trading Day and Market Disruption Event were instead references to such Capital Shares or equity interests); and (y) the number of shares or units of such Capital Shares or equity interests distributed per Common Share in such Spin-Off; and</w:t>
            </w:r>
          </w:p>
        </w:tc>
      </w:tr>
      <w:tr>
        <w:trPr>
          <w:trHeight w:val="120" w:hRule="atLeast"/>
        </w:trPr>
        <w:tc>
          <w:tcPr>
            <w:tcW w:w="570" w:type="dxa"/>
            <w:tcBorders/>
            <w:vAlign w:val="center"/>
          </w:tcPr>
          <w:p>
            <w:pPr>
              <w:pStyle w:val="TableContents"/>
              <w:bidi w:val="0"/>
              <w:spacing w:before="0" w:after="283"/>
              <w:jc w:val="left"/>
              <w:rPr>
                <w:sz w:val="4"/>
                <w:szCs w:val="4"/>
              </w:rPr>
            </w:pPr>
            <w:r>
              <w:rPr>
                <w:sz w:val="4"/>
                <w:szCs w:val="4"/>
              </w:rPr>
            </w:r>
          </w:p>
        </w:tc>
        <w:tc>
          <w:tcPr>
            <w:tcW w:w="293" w:type="dxa"/>
            <w:gridSpan w:val="2"/>
            <w:tcBorders/>
            <w:vAlign w:val="center"/>
          </w:tcPr>
          <w:p>
            <w:pPr>
              <w:pStyle w:val="TableContents"/>
              <w:bidi w:val="0"/>
              <w:spacing w:before="0" w:after="283"/>
              <w:jc w:val="left"/>
              <w:rPr>
                <w:sz w:val="4"/>
                <w:szCs w:val="4"/>
              </w:rPr>
            </w:pPr>
            <w:r>
              <w:rPr>
                <w:sz w:val="4"/>
                <w:szCs w:val="4"/>
              </w:rPr>
            </w:r>
          </w:p>
        </w:tc>
        <w:tc>
          <w:tcPr>
            <w:tcW w:w="8525" w:type="dxa"/>
            <w:gridSpan w:val="2"/>
            <w:tcBorders/>
            <w:vAlign w:val="center"/>
          </w:tcPr>
          <w:p>
            <w:pPr>
              <w:pStyle w:val="TableContents"/>
              <w:bidi w:val="0"/>
              <w:spacing w:before="0" w:after="283"/>
              <w:jc w:val="left"/>
              <w:rPr>
                <w:sz w:val="4"/>
                <w:szCs w:val="4"/>
              </w:rPr>
            </w:pPr>
            <w:r>
              <w:rPr>
                <w:sz w:val="4"/>
                <w:szCs w:val="4"/>
              </w:rPr>
            </w:r>
          </w:p>
        </w:tc>
      </w:tr>
      <w:tr>
        <w:trPr/>
        <w:tc>
          <w:tcPr>
            <w:tcW w:w="570" w:type="dxa"/>
            <w:tcBorders/>
          </w:tcPr>
          <w:p>
            <w:pPr>
              <w:pStyle w:val="TableContents"/>
              <w:bidi w:val="0"/>
              <w:spacing w:before="0" w:after="283"/>
              <w:jc w:val="left"/>
              <w:rPr>
                <w:i/>
              </w:rPr>
            </w:pPr>
            <w:r>
              <w:rPr>
                <w:i/>
              </w:rPr>
              <w:t>SP</w:t>
            </w:r>
          </w:p>
        </w:tc>
        <w:tc>
          <w:tcPr>
            <w:tcW w:w="138"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38" w:type="dxa"/>
            <w:tcBorders/>
            <w:vAlign w:val="bottom"/>
          </w:tcPr>
          <w:p>
            <w:pPr>
              <w:pStyle w:val="TableContents"/>
              <w:bidi w:val="0"/>
              <w:spacing w:before="0" w:after="283"/>
              <w:jc w:val="left"/>
              <w:rPr/>
            </w:pPr>
            <w:r>
              <w:rPr/>
              <w:t>  </w:t>
            </w:r>
          </w:p>
        </w:tc>
        <w:tc>
          <w:tcPr>
            <w:tcW w:w="8387" w:type="dxa"/>
            <w:tcBorders/>
          </w:tcPr>
          <w:p>
            <w:pPr>
              <w:pStyle w:val="TableContents"/>
              <w:bidi w:val="0"/>
              <w:spacing w:before="0" w:after="283"/>
              <w:jc w:val="left"/>
              <w:rPr/>
            </w:pPr>
            <w:r>
              <w:rPr/>
              <w:t>the average of the Last Reported Sale Prices per Common Share for each Trading Day in the Spin-Off Valuation Period.</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5.05(A)(iii)(2)</w:t>
      </w:r>
      <w:r>
        <w:rPr>
          <w:rFonts w:ascii="Times New Roman" w:hAnsi="Times New Roman"/>
          <w:sz w:val="20"/>
        </w:rPr>
        <w:t xml:space="preserve">,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dividend or distribution of the type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5.05(A)(iii)(2)</w:t>
      </w:r>
      <w:r>
        <w:rPr>
          <w:rFonts w:ascii="Times New Roman" w:hAnsi="Times New Roman"/>
          <w:sz w:val="20"/>
        </w:rPr>
        <w:t xml:space="preserve"> is declared but not made or paid, the Conversion Rate will be readjusted to the Conversion Rate that would then be in effect had the adjustment been made on the basis of only the dividend or distribution, if any, actually made or paid.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Cash Dividends or Distributions</w:t>
      </w:r>
      <w:r>
        <w:rPr>
          <w:rFonts w:ascii="Times New Roman" w:hAnsi="Times New Roman"/>
          <w:sz w:val="20"/>
        </w:rPr>
        <w:t xml:space="preserve">. If any cash dividend or distribution is made to all or substantially all holders of Common Shares, then the Conversion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238250" cy="409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69"/>
        <w:gridCol w:w="142"/>
        <w:gridCol w:w="158"/>
        <w:gridCol w:w="142"/>
        <w:gridCol w:w="8885"/>
      </w:tblGrid>
      <w:tr>
        <w:trPr/>
        <w:tc>
          <w:tcPr>
            <w:tcW w:w="46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885" w:type="dxa"/>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i/>
              </w:rPr>
              <w:t>CR</w:t>
            </w:r>
            <w:r>
              <w:rPr/>
              <w:t>0</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the Conversion Rate in effect immediately before the Open of Business on the Ex-Dividend Date for such dividend or distribution;</w:t>
            </w:r>
          </w:p>
        </w:tc>
      </w:tr>
      <w:tr>
        <w:trPr>
          <w:trHeight w:val="120" w:hRule="atLeast"/>
        </w:trPr>
        <w:tc>
          <w:tcPr>
            <w:tcW w:w="469"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pPr>
            <w:r>
              <w:rPr>
                <w:i/>
              </w:rPr>
              <w:t>CR</w:t>
            </w:r>
            <w:r>
              <w:rPr/>
              <w:t>1</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the Conversion Rate in effect immediately after the Open of Business on such Ex-Dividend Date;</w:t>
            </w:r>
          </w:p>
        </w:tc>
      </w:tr>
      <w:tr>
        <w:trPr>
          <w:trHeight w:val="120" w:hRule="atLeast"/>
        </w:trPr>
        <w:tc>
          <w:tcPr>
            <w:tcW w:w="469"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i/>
              </w:rPr>
            </w:pPr>
            <w:r>
              <w:rPr>
                <w:i/>
              </w:rPr>
              <w:t>SP</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the Last Reported Sale Price per Common Share on the Trading Day immediately before such Ex-Dividend Date; and</w:t>
            </w:r>
          </w:p>
        </w:tc>
      </w:tr>
      <w:tr>
        <w:trPr>
          <w:trHeight w:val="120" w:hRule="atLeast"/>
        </w:trPr>
        <w:tc>
          <w:tcPr>
            <w:tcW w:w="469"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283"/>
              <w:jc w:val="left"/>
              <w:rPr>
                <w:i/>
              </w:rPr>
            </w:pPr>
            <w:r>
              <w:rPr>
                <w:i/>
              </w:rPr>
              <w:t>D</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the cash amount distributed per Common Share in such dividend or distribution;</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w:t>
      </w:r>
      <w:r>
        <w:rPr>
          <w:rFonts w:ascii="Times New Roman" w:hAnsi="Times New Roman"/>
          <w:i/>
          <w:sz w:val="20"/>
        </w:rPr>
        <w:t>D</w:t>
      </w:r>
      <w:r>
        <w:rPr>
          <w:rFonts w:ascii="Times New Roman" w:hAnsi="Times New Roman"/>
          <w:sz w:val="20"/>
        </w:rPr>
        <w:t xml:space="preserve"> is equal to or greater than </w:t>
      </w:r>
      <w:r>
        <w:rPr>
          <w:rFonts w:ascii="Times New Roman" w:hAnsi="Times New Roman"/>
          <w:i/>
          <w:sz w:val="20"/>
        </w:rPr>
        <w:t>SP</w:t>
      </w:r>
      <w:r>
        <w:rPr>
          <w:rFonts w:ascii="Times New Roman" w:hAnsi="Times New Roman"/>
          <w:sz w:val="20"/>
        </w:rPr>
        <w:t xml:space="preserve">, then, in lieu of the foregoing adjustment to the Conversion Rate, each Holder will receive, for each $1,000 principal amount of Notes held by such Holder on the record date for such dividend or distribution, at the same time and on the same terms as holders of Common Shares, and without having to Convert its Notes, the amount of cash that such Holder would have received in such dividend or distribution if such Holder had owned, on such record date, a number of Common Shares equal to the Conversion Rate in effect on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dividend or distribution is declared but not made or paid, the Conversion Rate will be readjusted to the Conversion Rate that would then be in effect had the adjustment been made on the basis of only the dividend or distribution, if any, actually made or paid.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Tender Offers or Exchange Offers</w:t>
      </w:r>
      <w:r>
        <w:rPr>
          <w:rFonts w:ascii="Times New Roman" w:hAnsi="Times New Roman"/>
          <w:sz w:val="20"/>
        </w:rPr>
        <w:t>. If the Company or any of its Subsidiaries makes a payment in respect of a tender offer or exchange offer for Common Shares (other than solely pursuant to an odd-lot tender offer pursuant to Rule 13e-4(h)(5) under the Exchange Act), and the value (determined as of the Expiration Time by the Company in good faith and in a commercially reasonable manner) of the cash and other consideration paid per Common Share in such tender or exchange offer exceeds the Last Reported Sale Price per Common Share on the Trading Day immediately after the last date (the “</w:t>
      </w:r>
      <w:r>
        <w:rPr>
          <w:rFonts w:ascii="Times New Roman" w:hAnsi="Times New Roman"/>
          <w:b/>
          <w:sz w:val="20"/>
        </w:rPr>
        <w:t>Expiration Date</w:t>
      </w:r>
      <w:r>
        <w:rPr>
          <w:rFonts w:ascii="Times New Roman" w:hAnsi="Times New Roman"/>
          <w:sz w:val="20"/>
        </w:rPr>
        <w:t xml:space="preserve">”) on which tenders or exchanges may be made pursuant to such tender or exchange offer (as it may be amended), then the Conversion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790700"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90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70"/>
        <w:gridCol w:w="142"/>
        <w:gridCol w:w="158"/>
        <w:gridCol w:w="142"/>
        <w:gridCol w:w="8884"/>
      </w:tblGrid>
      <w:tr>
        <w:trPr/>
        <w:tc>
          <w:tcPr>
            <w:tcW w:w="47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884" w:type="dxa"/>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i/>
              </w:rPr>
              <w:t>CR</w:t>
            </w:r>
            <w:r>
              <w:rPr/>
              <w:t>0</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r>
              <w:rPr/>
              <w:t>the Conversion Rate in effect immediately before the Close of Business on the last Trading Day of the Tender/Exchange Offer Valuation Period for such tender or exchange offer;</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i/>
              </w:rPr>
              <w:t>CR</w:t>
            </w:r>
            <w:r>
              <w:rPr/>
              <w:t>1</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r>
              <w:rPr/>
              <w:t>the Conversion Rate in effect immediately after the Close of Business on the last Trading Day of the Tender/Exchange Offer Valuation Period;</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i/>
              </w:rPr>
            </w:pPr>
            <w:r>
              <w:rPr>
                <w:i/>
              </w:rPr>
              <w:t>AC</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r>
              <w:rPr/>
              <w:t>the aggregate value (determined as of the time (the “</w:t>
            </w:r>
            <w:r>
              <w:rPr>
                <w:b/>
              </w:rPr>
              <w:t>Expiration Time</w:t>
            </w:r>
            <w:r>
              <w:rPr/>
              <w:t>”) such tender or exchange offer expires by the Company in good faith and in a commercially reasonable manner) of all cash and other consideration paid for Common Shares purchased or exchanged in such tender or exchange offer;</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i/>
              </w:rPr>
              <w:t>OS</w:t>
            </w:r>
            <w:r>
              <w:rPr/>
              <w:t>0</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r>
              <w:rPr/>
              <w:t>the number of Common Shares outstanding immediately before the Expiration Time (including all Common Shares accepted for purchase or exchange in such tender or exchange offer);</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i/>
              </w:rPr>
              <w:t>OS</w:t>
            </w:r>
            <w:r>
              <w:rPr/>
              <w:t>1</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r>
              <w:rPr/>
              <w:t>the number of Common Shares outstanding immediately after the Expiration Time (excluding all Common Shares accepted for purchase or exchange in such tender or exchange offer); and</w:t>
            </w:r>
          </w:p>
        </w:tc>
      </w:tr>
      <w:tr>
        <w:trPr>
          <w:trHeight w:val="120" w:hRule="atLeast"/>
        </w:trPr>
        <w:tc>
          <w:tcPr>
            <w:tcW w:w="470" w:type="dxa"/>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902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i/>
              </w:rPr>
            </w:pPr>
            <w:r>
              <w:rPr>
                <w:i/>
              </w:rPr>
              <w:t>SP</w:t>
            </w:r>
          </w:p>
        </w:tc>
        <w:tc>
          <w:tcPr>
            <w:tcW w:w="142"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2"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r>
              <w:rPr/>
              <w:t>the average of the Last Reported Sale Prices per Common Share over the ten (10) consecutive Trading Day period (the “</w:t>
            </w:r>
            <w:r>
              <w:rPr>
                <w:b/>
              </w:rPr>
              <w:t>Tender/Exchange Offer Valuation Period</w:t>
            </w:r>
            <w:r>
              <w:rPr/>
              <w:t>”) beginning on, and including, the Trading Day immediately after the Expiration Date;</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Conversion Rate will in no event be adjusted down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except to the extent provided in the immediately following paragraph.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tender or exchange offer is announced but not consummated (including as a result of being precluded from consummating such tender or exchange offer under applicable law), or any purchases or exchanges of Common Shares in such tender or exchange offer are rescinded, the Conversion Rate will be readjusted to the Conversion Rate that would then be in effect had the adjustment been made on the basis of only the purchases or exchanges of Common Shares, if any, actually made, and not rescinded, in such tender or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Adjustments in Certain Cases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Where Holders Participate in the Transaction or Event Without Conversion</w:t>
      </w:r>
      <w:r>
        <w:rPr>
          <w:rFonts w:ascii="Times New Roman" w:hAnsi="Times New Roman"/>
          <w:sz w:val="20"/>
        </w:rPr>
        <w:t xml:space="preserve">.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Company will not be obligated to adjust the Conversion Rate on account of a transaction or other event otherwise requiring an adjustment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(other than a stock split or combination of the type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5.05(A)(i)</w:t>
      </w:r>
      <w:r>
        <w:rPr>
          <w:rFonts w:ascii="Times New Roman" w:hAnsi="Times New Roman"/>
          <w:sz w:val="20"/>
        </w:rPr>
        <w:t xml:space="preserve"> or a tender or exchange offer of the type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if each Holder participates, at the same time and on the same terms as holders of Common Shares, and solely by virtue of being a Holder of Notes, in such transaction or event without having to Convert such Holder’s Notes and as if such Holder held a number of Common Shares equal to the product of (i) the Conversion Rate in effect on the related record date; and (ii) the aggregate principal amount (expressed in thousands) of Notes held by such Holder on such date.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Certain Events</w:t>
      </w:r>
      <w:r>
        <w:rPr>
          <w:rFonts w:ascii="Times New Roman" w:hAnsi="Times New Roman"/>
          <w:sz w:val="20"/>
        </w:rPr>
        <w:t xml:space="preserve">. The Company will not be required to adjust the Conversion Rate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5.05</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Without limiting the foregoing, the Company will not be obligated to adjust the Conversion Rate on account of: </w:t>
      </w:r>
    </w:p>
    <w:p>
      <w:pPr>
        <w:pStyle w:val="TextBody"/>
        <w:bidi w:val="0"/>
        <w:spacing w:before="120" w:after="0"/>
        <w:jc w:val="left"/>
        <w:rPr>
          <w:rFonts w:ascii="Times New Roman" w:hAnsi="Times New Roman"/>
          <w:sz w:val="20"/>
        </w:rPr>
      </w:pPr>
      <w:r>
        <w:rPr>
          <w:rFonts w:ascii="Times New Roman" w:hAnsi="Times New Roman"/>
          <w:sz w:val="20"/>
        </w:rPr>
        <w:t xml:space="preserve">(1) except as otherwise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5.05</w:t>
      </w:r>
      <w:r>
        <w:rPr>
          <w:rFonts w:ascii="Times New Roman" w:hAnsi="Times New Roman"/>
          <w:sz w:val="20"/>
        </w:rPr>
        <w:t xml:space="preserve">, the sale of Common Shares for a purchase price that is less than the market price per Common Share or less than the Conversion Price; </w:t>
      </w:r>
    </w:p>
    <w:p>
      <w:pPr>
        <w:pStyle w:val="TextBody"/>
        <w:bidi w:val="0"/>
        <w:spacing w:before="120" w:after="0"/>
        <w:jc w:val="left"/>
        <w:rPr>
          <w:rFonts w:ascii="Times New Roman" w:hAnsi="Times New Roman"/>
          <w:sz w:val="20"/>
        </w:rPr>
      </w:pPr>
      <w:r>
        <w:rPr>
          <w:rFonts w:ascii="Times New Roman" w:hAnsi="Times New Roman"/>
          <w:sz w:val="20"/>
        </w:rPr>
        <w:t xml:space="preserve">(2) the issuance of any Common Shares pursuant to any present or future plan providing for the reinvestment of dividends or interest payable on the Company’s securities and the investment of additional optional amounts in Common Shares under any such plan; </w:t>
      </w:r>
    </w:p>
    <w:p>
      <w:pPr>
        <w:pStyle w:val="TextBody"/>
        <w:bidi w:val="0"/>
        <w:spacing w:before="120" w:after="0"/>
        <w:jc w:val="left"/>
        <w:rPr>
          <w:rFonts w:ascii="Times New Roman" w:hAnsi="Times New Roman"/>
          <w:sz w:val="20"/>
        </w:rPr>
      </w:pPr>
      <w:r>
        <w:rPr>
          <w:rFonts w:ascii="Times New Roman" w:hAnsi="Times New Roman"/>
          <w:sz w:val="20"/>
        </w:rPr>
        <w:t xml:space="preserve">(3) the issuance of any Common Shares or options or rights to purchase Common Shares pursuant to any present or future employee, director or consultant benefit plan or incentive plan or program (including pursuant to any evergreen plan) of, or assumed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(4) the issuance of any Common Shares pursuant to any option, warrant, right or convertible or exchangeable security of the Company not described in </w:t>
      </w:r>
      <w:r>
        <w:rPr>
          <w:rFonts w:ascii="Times New Roman" w:hAnsi="Times New Roman"/>
          <w:b/>
          <w:sz w:val="20"/>
        </w:rPr>
        <w:t>clause (3)</w:t>
      </w:r>
      <w:r>
        <w:rPr>
          <w:rFonts w:ascii="Times New Roman" w:hAnsi="Times New Roman"/>
          <w:sz w:val="20"/>
        </w:rPr>
        <w:t xml:space="preserve"> above and outstanding as of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(5) for a third-party tender offer by any party other than a tender offer by the Company or one or more of its Subsidiaries as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(6) upon the repurchase of any Common Shares pursuant to an open market share purchase program or other buy-back transaction, including structured or derivative transactions such as accelerated share repurchase transactions or similar forward derivatives, or other buy-back transactions, in each case that are not a tender offer or exchange offer of the kind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solely a change in the par value of the Common Shares; or </w:t>
      </w:r>
    </w:p>
    <w:p>
      <w:pPr>
        <w:pStyle w:val="TextBody"/>
        <w:bidi w:val="0"/>
        <w:spacing w:before="120" w:after="0"/>
        <w:jc w:val="left"/>
        <w:rPr>
          <w:rFonts w:ascii="Times New Roman" w:hAnsi="Times New Roman"/>
          <w:sz w:val="20"/>
        </w:rPr>
      </w:pPr>
      <w:r>
        <w:rPr>
          <w:rFonts w:ascii="Times New Roman" w:hAnsi="Times New Roman"/>
          <w:sz w:val="20"/>
        </w:rPr>
        <w:t xml:space="preserve">(8) accrued and unpaid interest on the Notes.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Adjustment Deferral</w:t>
      </w:r>
      <w:r>
        <w:rPr>
          <w:rFonts w:ascii="Times New Roman" w:hAnsi="Times New Roman"/>
          <w:sz w:val="20"/>
        </w:rPr>
        <w:t xml:space="preserve">. If an adjustment to the Conversion Rate otherwise required by this </w:t>
      </w:r>
      <w:r>
        <w:rPr>
          <w:rFonts w:ascii="Times New Roman" w:hAnsi="Times New Roman"/>
          <w:b/>
          <w:sz w:val="20"/>
        </w:rPr>
        <w:t>Article 5</w:t>
      </w:r>
      <w:r>
        <w:rPr>
          <w:rFonts w:ascii="Times New Roman" w:hAnsi="Times New Roman"/>
          <w:sz w:val="20"/>
        </w:rPr>
        <w:t xml:space="preserve"> would result in a change of less than one percent (1%) to the Conversion Rate, then, notwithstanding anything to the contrary in this </w:t>
      </w:r>
      <w:r>
        <w:rPr>
          <w:rFonts w:ascii="Times New Roman" w:hAnsi="Times New Roman"/>
          <w:b/>
          <w:sz w:val="20"/>
        </w:rPr>
        <w:t>Article 5</w:t>
      </w:r>
      <w:r>
        <w:rPr>
          <w:rFonts w:ascii="Times New Roman" w:hAnsi="Times New Roman"/>
          <w:sz w:val="20"/>
        </w:rPr>
        <w:t xml:space="preserve">, the Company may, at its election, defer such adjustment, except that all such deferred adjustments must be given effect immediately upon the earliest of the following: (i) when all such deferred adjustments would result in a change of at least one percent (1%) to the Conversion Rate; (ii) the Conversion Date of, or any VWAP Trading Day of an Observation Period for, any Note; (iii) the date a Fundamental Change or Make-Whole Fundamental Change occurs; (iv) the date the Company calls any Notes for Redemption; and (v) May 1, 2031.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Adjustments Not Yet Effective</w:t>
      </w:r>
      <w:r>
        <w:rPr>
          <w:rFonts w:ascii="Times New Roman" w:hAnsi="Times New Roman"/>
          <w:sz w:val="20"/>
        </w:rPr>
        <w:t xml:space="preserve">. Notwithstanding anything to the contrary in this Indenture or the Notes, if: </w:t>
      </w:r>
    </w:p>
    <w:p>
      <w:pPr>
        <w:pStyle w:val="TextBody"/>
        <w:bidi w:val="0"/>
        <w:spacing w:before="120" w:after="0"/>
        <w:jc w:val="left"/>
        <w:rPr>
          <w:rFonts w:ascii="Times New Roman" w:hAnsi="Times New Roman"/>
          <w:sz w:val="20"/>
        </w:rPr>
      </w:pPr>
      <w:r>
        <w:rPr>
          <w:rFonts w:ascii="Times New Roman" w:hAnsi="Times New Roman"/>
          <w:sz w:val="20"/>
        </w:rPr>
        <w:t xml:space="preserve">(i) a Note is to be Converted and Physical Settlement or Combination Settlement applies to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(ii) the record date, effective date or Expiration Time for any event that requires an adjustment to the Conversion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(iii) the Conversion Consideration due upon such Conversion includes any whole Common Shares (in the case of Physical Settlement) or due in respect of such VWAP Trading Day includes any whole or fractional Common Shares (in the case of Combination Settlement); and </w:t>
      </w:r>
    </w:p>
    <w:p>
      <w:pPr>
        <w:pStyle w:val="TextBody"/>
        <w:bidi w:val="0"/>
        <w:spacing w:before="120" w:after="0"/>
        <w:jc w:val="left"/>
        <w:rPr>
          <w:rFonts w:ascii="Times New Roman" w:hAnsi="Times New Roman"/>
          <w:sz w:val="20"/>
        </w:rPr>
      </w:pPr>
      <w:r>
        <w:rPr>
          <w:rFonts w:ascii="Times New Roman" w:hAnsi="Times New Roman"/>
          <w:sz w:val="20"/>
        </w:rPr>
        <w:t xml:space="preserve">(iv) such shares are not entitled to participate in such event (because they were not held on the related record date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Conversion Rate Adjustments Where Converting Holders Participate in the Relevant Transaction or Event</w:t>
      </w:r>
      <w:r>
        <w:rPr>
          <w:rFonts w:ascii="Times New Roman" w:hAnsi="Times New Roman"/>
          <w:sz w:val="20"/>
        </w:rPr>
        <w:t xml:space="preserve">. Notwithstanding anything to the contrary in this Indenture or the Notes, if: </w:t>
      </w:r>
    </w:p>
    <w:p>
      <w:pPr>
        <w:pStyle w:val="TextBody"/>
        <w:bidi w:val="0"/>
        <w:spacing w:before="120" w:after="0"/>
        <w:jc w:val="left"/>
        <w:rPr>
          <w:rFonts w:ascii="Times New Roman" w:hAnsi="Times New Roman"/>
          <w:sz w:val="20"/>
        </w:rPr>
      </w:pPr>
      <w:r>
        <w:rPr>
          <w:rFonts w:ascii="Times New Roman" w:hAnsi="Times New Roman"/>
          <w:sz w:val="20"/>
        </w:rPr>
        <w:t xml:space="preserve">(i) a Conversion Rate adjustment for any dividend or distribution becomes effective on any Ex-Dividend Date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Note is to be Converted pursuant to Physical Settlement or Combination Settlement; </w:t>
      </w:r>
    </w:p>
    <w:p>
      <w:pPr>
        <w:pStyle w:val="TextBody"/>
        <w:bidi w:val="0"/>
        <w:spacing w:before="120" w:after="0"/>
        <w:jc w:val="left"/>
        <w:rPr>
          <w:rFonts w:ascii="Times New Roman" w:hAnsi="Times New Roman"/>
          <w:sz w:val="20"/>
        </w:rPr>
      </w:pPr>
      <w:r>
        <w:rPr>
          <w:rFonts w:ascii="Times New Roman" w:hAnsi="Times New Roman"/>
          <w:sz w:val="20"/>
        </w:rPr>
        <w:t xml:space="preserve">(iii) the Conversion Date for such Conversion (in the case of Physical Settlement) or any VWAP Trading Day in the Observation Period for such Conversion (in the case of Combination Settlement) occurs on or after such Ex-Dividend Date and on or before the related record date; </w:t>
      </w:r>
    </w:p>
    <w:p>
      <w:pPr>
        <w:pStyle w:val="TextBody"/>
        <w:bidi w:val="0"/>
        <w:spacing w:before="120" w:after="0"/>
        <w:jc w:val="left"/>
        <w:rPr>
          <w:rFonts w:ascii="Times New Roman" w:hAnsi="Times New Roman"/>
          <w:sz w:val="20"/>
        </w:rPr>
      </w:pPr>
      <w:r>
        <w:rPr>
          <w:rFonts w:ascii="Times New Roman" w:hAnsi="Times New Roman"/>
          <w:sz w:val="20"/>
        </w:rPr>
        <w:t xml:space="preserve">(iv) the Conversion Consideration due upon such Conversion includes any whole Common Shares (in the case of Physical Settlement) or due in respect of such VWAP Trading Day includes any whole or fractional Common Shares (in the case of Combination Settlement), in each case based on a Conversion Rate that is adjusted for such dividend or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(v) such shares would be entitled to participate in such dividend or distribution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then (x) in the case of Physical Settlement, such Conversion Rate adjustment will not be given effect for such Conversion and the Common Shares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Common Shares had such shares been entitled to participate in such dividend or distribution; and (y) in the case of Combination Settlement, the Conversion Rate adjustment relating to such Ex-Dividend Date will be made for such Conversion in respect of such VWAP Trading Day, but the Common Shares issuable with respect to such VWAP Trading Day based on such adjusted Conversion Rate will not be entitled to participate in such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Shareholder</w:t>
      </w:r>
      <w:r>
        <w:rPr>
          <w:rFonts w:ascii="Times New Roman" w:hAnsi="Times New Roman"/>
          <w:sz w:val="20"/>
        </w:rPr>
        <w:t xml:space="preserve"> </w:t>
      </w:r>
      <w:r>
        <w:rPr>
          <w:rFonts w:ascii="Times New Roman" w:hAnsi="Times New Roman"/>
          <w:i/>
          <w:sz w:val="20"/>
        </w:rPr>
        <w:t>Rights Plans</w:t>
      </w:r>
      <w:r>
        <w:rPr>
          <w:rFonts w:ascii="Times New Roman" w:hAnsi="Times New Roman"/>
          <w:sz w:val="20"/>
        </w:rPr>
        <w:t xml:space="preserve">. If any Common Shares are to be issued upon Conversion of any Note and, at the time of such Conversion, the Company has in effect any shareholder rights plan, then the Holder of such Note will be entitled to receive, in addition to, and concurrently with the delivery of, the Conversion Consideration otherwise payable under this Indenture upon such Conversion, the rights set forth in such shareholder rights plan, unless such rights have separated from the Common Shares at such time, in which case, and only in such case, the Conversion Rate will be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5.05(A)(iii)(1)</w:t>
      </w:r>
      <w:r>
        <w:rPr>
          <w:rFonts w:ascii="Times New Roman" w:hAnsi="Times New Roman"/>
          <w:sz w:val="20"/>
        </w:rPr>
        <w:t xml:space="preserve"> on account of such separation as if, at the time of such separation, the Company had made a distribution of the type referred to in such Section to all holders of the Common Shares, subject to potential readjustment in accordance with the last paragraph of </w:t>
      </w:r>
      <w:r>
        <w:rPr>
          <w:rFonts w:ascii="Times New Roman" w:hAnsi="Times New Roman"/>
          <w:b/>
          <w:sz w:val="20"/>
        </w:rPr>
        <w:t>Section</w:t>
      </w:r>
      <w:r>
        <w:rPr>
          <w:rFonts w:ascii="Times New Roman" w:hAnsi="Times New Roman"/>
          <w:sz w:val="20"/>
        </w:rPr>
        <w:t> </w:t>
      </w:r>
      <w:r>
        <w:rPr>
          <w:rFonts w:ascii="Times New Roman" w:hAnsi="Times New Roman"/>
          <w:b/>
          <w:sz w:val="20"/>
        </w:rPr>
        <w:t>5.05(A)(iii)(1)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Limitation on Effecting Transactions Resulting in Certain Adjustments</w:t>
      </w:r>
      <w:r>
        <w:rPr>
          <w:rFonts w:ascii="Times New Roman" w:hAnsi="Times New Roman"/>
          <w:sz w:val="20"/>
        </w:rPr>
        <w:t xml:space="preserve">. The Company will not engage in or be a party to any transaction or event that would require the Conversion Rate to be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to an amount that would result in the Conversion Price per Common Share being less than the par value per Common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Equitable Adjustments to Prices</w:t>
      </w:r>
      <w:r>
        <w:rPr>
          <w:rFonts w:ascii="Times New Roman" w:hAnsi="Times New Roman"/>
          <w:sz w:val="20"/>
        </w:rPr>
        <w:t xml:space="preserve">. Whenever any provision of this Indenture requires the Company to calculate the average of the Last Reported Sale Prices, or any function thereof, over a period of multiple days (including to calculate the Share Price or an adjustment to the Conversion Rate), or to calculate Daily VWAPs, Daily Conversion Values, Daily Cash Amounts or Daily Share Amounts over an Observation Period, the Company will, if appropriate, make proportionate adjustments to such calculations to account for any adjustment to the Conversion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that becomes effective, or any event requiring such an adjustment to the Conversion Rate where the Ex-Dividend Date or effective date, as applicable, of such event occurs, at any time during such period or Observation Period,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Calculation of Number of Outstanding Shares of Common Shares</w:t>
      </w:r>
      <w:r>
        <w:rPr>
          <w:rFonts w:ascii="Times New Roman" w:hAnsi="Times New Roman"/>
          <w:sz w:val="20"/>
        </w:rPr>
        <w:t xml:space="preserve">.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number of Common Shares outstanding at any time will (i) include shares issuable in respect of scrip certificates issued in lieu of fractions of Common Shares; and (ii) exclude Common Shares held in the Company’s treasury (unless the Company pays any dividend or makes any distribution on Common Shares held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Calculations</w:t>
      </w:r>
      <w:r>
        <w:rPr>
          <w:rFonts w:ascii="Times New Roman" w:hAnsi="Times New Roman"/>
          <w:sz w:val="20"/>
        </w:rPr>
        <w:t xml:space="preserve">. All calculations with respect to the Conversion Rate and adjustments thereto will be made to the nearest 1/10,000th of a Common Share (with 5/100,000ths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Notice of Conversion Rate Adjustments</w:t>
      </w:r>
      <w:r>
        <w:rPr>
          <w:rFonts w:ascii="Times New Roman" w:hAnsi="Times New Roman"/>
          <w:sz w:val="20"/>
        </w:rPr>
        <w:t xml:space="preserve">. Upon the effectiveness of any adjustment to the Conversion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5.06. VOLUNTARY ADJUSTMENTS.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To the extent permitted by law and applicable stock exchange rules, the Company, from time to time, may (but is not required to) increase the Conversion Rate by any amount if (i) the Board of Directors determines that such increase is either (x) in the best interest of the Company; or (y) advisable to avoid or diminish any income tax imposed on holders of Common Shares or rights to purchase Common Shares as a result of any dividend or distribution of shares (or rights to acquire shares) of Common Shares or any similar event; (ii) such increase is in effect for a period of at least twenty (20) Business Days; and (iii) such increase is irrevocable during such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Voluntary Increases</w:t>
      </w:r>
      <w:r>
        <w:rPr>
          <w:rFonts w:ascii="Times New Roman" w:hAnsi="Times New Roman"/>
          <w:sz w:val="20"/>
        </w:rPr>
        <w:t xml:space="preserve">. If the Board of Directors determines to increase the Conversion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5.06(A)</w:t>
      </w:r>
      <w:r>
        <w:rPr>
          <w:rFonts w:ascii="Times New Roman" w:hAnsi="Times New Roman"/>
          <w:sz w:val="20"/>
        </w:rPr>
        <w:t xml:space="preserve">, then, no later than the first Business Day of the related twenty (20) Business Day period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5.06(A)</w:t>
      </w:r>
      <w:r>
        <w:rPr>
          <w:rFonts w:ascii="Times New Roman" w:hAnsi="Times New Roman"/>
          <w:sz w:val="20"/>
        </w:rPr>
        <w:t xml:space="preserve">, the Company will send notice to each Holder, the Trustee and the Conversion Agent of such increase, the amount thereof and the period during which such increase will be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5.07. ADJUSTMENTS TO THE CONVERSION RATE IN CONNECTION WITH A MAKE-WHOLE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If a Make-Whole Fundamental Change occurs and the Conversion Date for the Conversion of a Note occurs during the related Make-Whole Fundamental Change Conversion Period, then,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the Conversion Rate applicable to such Conversion will be increased by a number of shares (the “</w:t>
      </w:r>
      <w:r>
        <w:rPr>
          <w:rFonts w:ascii="Times New Roman" w:hAnsi="Times New Roman"/>
          <w:b/>
          <w:sz w:val="20"/>
        </w:rPr>
        <w:t>Additional Shares</w:t>
      </w:r>
      <w:r>
        <w:rPr>
          <w:rFonts w:ascii="Times New Roman" w:hAnsi="Times New Roman"/>
          <w:sz w:val="20"/>
        </w:rPr>
        <w:t xml:space="preserve">”) set forth in the table below corresponding (after interpolation as provided in, and subject to, the provisions below) to the Make-Whole Fundamental Change Effective Date and the Share Price of such Make-Whole Fundamental Change: </w:t>
      </w:r>
    </w:p>
    <w:p>
      <w:pPr>
        <w:pStyle w:val="TextBody"/>
        <w:bidi w:val="0"/>
        <w:spacing w:before="0" w:after="0"/>
        <w:jc w:val="left"/>
        <w:rPr/>
      </w:pPr>
      <w:r>
        <w:rPr/>
        <w:t> </w:t>
      </w:r>
    </w:p>
    <w:tbl>
      <w:tblPr>
        <w:tblW w:w="12920" w:type="dxa"/>
        <w:jc w:val="center"/>
        <w:tblInd w:w="0" w:type="dxa"/>
        <w:tblLayout w:type="fixed"/>
        <w:tblCellMar>
          <w:top w:w="0" w:type="dxa"/>
          <w:left w:w="0" w:type="dxa"/>
          <w:bottom w:w="0" w:type="dxa"/>
          <w:right w:w="0" w:type="dxa"/>
        </w:tblCellMar>
      </w:tblPr>
      <w:tblGrid>
        <w:gridCol w:w="158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440" w:type="dxa"/>
            <w:gridSpan w:val="4"/>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40" w:type="dxa"/>
            <w:gridSpan w:val="42"/>
            <w:tcBorders>
              <w:bottom w:val="single" w:sz="8" w:space="0" w:color="000000"/>
            </w:tcBorders>
            <w:tcMar>
              <w:bottom w:w="28" w:type="dxa"/>
            </w:tcMar>
            <w:vAlign w:val="bottom"/>
          </w:tcPr>
          <w:p>
            <w:pPr>
              <w:pStyle w:val="TableContents"/>
              <w:bidi w:val="0"/>
              <w:spacing w:before="0" w:after="283"/>
              <w:jc w:val="center"/>
              <w:rPr>
                <w:b/>
              </w:rPr>
            </w:pPr>
            <w:r>
              <w:rPr>
                <w:b/>
              </w:rPr>
              <w:t>Share Price</w:t>
            </w:r>
          </w:p>
        </w:tc>
        <w:tc>
          <w:tcPr>
            <w:tcW w:w="60"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Make-Whole</w:t>
              <w:br/>
              <w:t>Fundamental Change</w:t>
              <w:br/>
              <w:t>Effective Date</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$40.51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$52.67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$75.00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$350.00</w:t>
            </w:r>
          </w:p>
        </w:tc>
        <w:tc>
          <w:tcPr>
            <w:tcW w:w="60"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7, 2026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4.9368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3.9380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3.4984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3.1024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2.9210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2.5042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1.8997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1.2883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0.6684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0.3552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0.1689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August 1, 2027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4.9368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3.2846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2.9127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2.5826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2.4316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2.0848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1.5827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1.0756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0.5627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0.3039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0.1489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 2028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4.9368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2.5811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2.2771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2.0186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1.9005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1.6295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1.2379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0.8432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0.4448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0.2441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0.1235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August 1, 2029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4.9368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1.8198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1.5802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1.3180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1.1302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0.8588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0.5859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0.3113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0.1731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0.0900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 2030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4.9368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1.0111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0.8227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0.7286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0.6860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0.5880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0.4469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0.3054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0.1633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0.0920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0.0491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August 1, 2031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4.9368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such Make-Whole Fundamental Change Effective Date or Share Price is not set forth in the table above, then: </w:t>
      </w:r>
    </w:p>
    <w:p>
      <w:pPr>
        <w:pStyle w:val="TextBody"/>
        <w:bidi w:val="0"/>
        <w:spacing w:before="120" w:after="0"/>
        <w:jc w:val="left"/>
        <w:rPr>
          <w:rFonts w:ascii="Times New Roman" w:hAnsi="Times New Roman"/>
          <w:sz w:val="20"/>
        </w:rPr>
      </w:pPr>
      <w:r>
        <w:rPr>
          <w:rFonts w:ascii="Times New Roman" w:hAnsi="Times New Roman"/>
          <w:sz w:val="20"/>
        </w:rPr>
        <w:t xml:space="preserve">(i) if such Share Price is between two Share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Share Prices in the table above or the earlier and later dates in the table above, based on a 365- or 366-day year, as applicable; and </w:t>
      </w:r>
    </w:p>
    <w:p>
      <w:pPr>
        <w:pStyle w:val="TextBody"/>
        <w:bidi w:val="0"/>
        <w:spacing w:before="120" w:after="0"/>
        <w:jc w:val="left"/>
        <w:rPr>
          <w:rFonts w:ascii="Times New Roman" w:hAnsi="Times New Roman"/>
          <w:sz w:val="20"/>
        </w:rPr>
      </w:pPr>
      <w:r>
        <w:rPr>
          <w:rFonts w:ascii="Times New Roman" w:hAnsi="Times New Roman"/>
          <w:sz w:val="20"/>
        </w:rPr>
        <w:t xml:space="preserve">(ii) if the Share Price is greater than $350.00 (subject to adjustment in the same manner as the Share Prices set forth in the column headings of the table above are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5.07(B)</w:t>
      </w:r>
      <w:r>
        <w:rPr>
          <w:rFonts w:ascii="Times New Roman" w:hAnsi="Times New Roman"/>
          <w:sz w:val="20"/>
        </w:rPr>
        <w:t xml:space="preserve">), or less than $33.76 (subject to adjustment in the same manner), per share, then no Additional Shares will be added to the Conversion 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Indenture or the Notes, in no event will the Conversion Rate be increased to an amount that exceeds 29.6208 Common Shares per $1,000 principal amount of Notes, which amount is subject to adjustment in the same manner as, and at the same time and for the same events for which, the Conversion Rate is required to be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but subject to </w:t>
      </w:r>
      <w:r>
        <w:rPr>
          <w:rFonts w:ascii="Times New Roman" w:hAnsi="Times New Roman"/>
          <w:b/>
          <w:sz w:val="20"/>
        </w:rPr>
        <w:t>Section</w:t>
      </w:r>
      <w:r>
        <w:rPr>
          <w:rFonts w:ascii="Times New Roman" w:hAnsi="Times New Roman"/>
          <w:sz w:val="20"/>
        </w:rPr>
        <w:t> </w:t>
      </w:r>
      <w:r>
        <w:rPr>
          <w:rFonts w:ascii="Times New Roman" w:hAnsi="Times New Roman"/>
          <w:b/>
          <w:sz w:val="20"/>
        </w:rPr>
        <w:t>4.03(L)</w:t>
      </w:r>
      <w:r>
        <w:rPr>
          <w:rFonts w:ascii="Times New Roman" w:hAnsi="Times New Roman"/>
          <w:sz w:val="20"/>
        </w:rPr>
        <w:t xml:space="preserve">, (x) the sending of a Redemption Notice for a Provisional Redemption will constitute a Make-Whole Fundamental Change only with respect to the Notes called (or deemed to be called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4.03(L)</w:t>
      </w:r>
      <w:r>
        <w:rPr>
          <w:rFonts w:ascii="Times New Roman" w:hAnsi="Times New Roman"/>
          <w:sz w:val="20"/>
        </w:rPr>
        <w:t xml:space="preserve">) for Provisional Redemption pursuant to such Redemption Notice, and not with respect to any other Notes; and (y) the Conversion Rate applicable to the Notes not so called (or deemed to be called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4.03(L)</w:t>
      </w:r>
      <w:r>
        <w:rPr>
          <w:rFonts w:ascii="Times New Roman" w:hAnsi="Times New Roman"/>
          <w:sz w:val="20"/>
        </w:rPr>
        <w:t xml:space="preserve">) for Provisional Redemption will not be subject to increase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on account of such Redemption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Adjustment of Share</w:t>
      </w:r>
      <w:r>
        <w:rPr>
          <w:rFonts w:ascii="Times New Roman" w:hAnsi="Times New Roman"/>
          <w:sz w:val="20"/>
        </w:rPr>
        <w:t xml:space="preserve"> </w:t>
      </w:r>
      <w:r>
        <w:rPr>
          <w:rFonts w:ascii="Times New Roman" w:hAnsi="Times New Roman"/>
          <w:i/>
          <w:sz w:val="20"/>
        </w:rPr>
        <w:t>Prices and Number of Additional Shares</w:t>
      </w:r>
      <w:r>
        <w:rPr>
          <w:rFonts w:ascii="Times New Roman" w:hAnsi="Times New Roman"/>
          <w:sz w:val="20"/>
        </w:rPr>
        <w:t>. The Share Prices in the first row (</w:t>
      </w:r>
      <w:r>
        <w:rPr>
          <w:rFonts w:ascii="Times New Roman" w:hAnsi="Times New Roman"/>
          <w:i/>
          <w:sz w:val="20"/>
        </w:rPr>
        <w:t>i.e.</w:t>
      </w:r>
      <w:r>
        <w:rPr>
          <w:rFonts w:ascii="Times New Roman" w:hAnsi="Times New Roman"/>
          <w:sz w:val="20"/>
        </w:rPr>
        <w:t xml:space="preserve">, the column headers) of the table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5.07(A)</w:t>
      </w:r>
      <w:r>
        <w:rPr>
          <w:rFonts w:ascii="Times New Roman" w:hAnsi="Times New Roman"/>
          <w:sz w:val="20"/>
        </w:rPr>
        <w:t xml:space="preserve"> will be adjusted in the same manner as, and at the same time and for the same events for which, the Conversion Price is adjusted as a result of the operation of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numbers of Additional Shares in the table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5.07(A)</w:t>
      </w:r>
      <w:r>
        <w:rPr>
          <w:rFonts w:ascii="Times New Roman" w:hAnsi="Times New Roman"/>
          <w:sz w:val="20"/>
        </w:rPr>
        <w:t xml:space="preserve"> will be adjusted in the same manner as, and at the same time and for the same events for which, the Conversion Rate is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the Occurrence of a Make-Whole Fundamental Change</w:t>
      </w:r>
      <w:r>
        <w:rPr>
          <w:rFonts w:ascii="Times New Roman" w:hAnsi="Times New Roman"/>
          <w:sz w:val="20"/>
        </w:rPr>
        <w:t xml:space="preserve">. The Company will notify the Holders, the Trustee and the Conversion Agent of each Make-Whole Fundamental Change (i) occurring pursuant to </w:t>
      </w:r>
      <w:r>
        <w:rPr>
          <w:rFonts w:ascii="Times New Roman" w:hAnsi="Times New Roman"/>
          <w:b/>
          <w:sz w:val="20"/>
        </w:rPr>
        <w:t>clause (A)</w:t>
      </w:r>
      <w:r>
        <w:rPr>
          <w:rFonts w:ascii="Times New Roman" w:hAnsi="Times New Roman"/>
          <w:sz w:val="20"/>
        </w:rPr>
        <w:t xml:space="preserve"> of the definition thereof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5.01(C)(i)(3)(b)</w:t>
      </w:r>
      <w:r>
        <w:rPr>
          <w:rFonts w:ascii="Times New Roman" w:hAnsi="Times New Roman"/>
          <w:sz w:val="20"/>
        </w:rPr>
        <w:t xml:space="preserve">; and (ii) occurring pursuant to </w:t>
      </w:r>
      <w:r>
        <w:rPr>
          <w:rFonts w:ascii="Times New Roman" w:hAnsi="Times New Roman"/>
          <w:b/>
          <w:sz w:val="20"/>
        </w:rPr>
        <w:t>clause (B)</w:t>
      </w:r>
      <w:r>
        <w:rPr>
          <w:rFonts w:ascii="Times New Roman" w:hAnsi="Times New Roman"/>
          <w:sz w:val="20"/>
        </w:rPr>
        <w:t xml:space="preserve"> of the definition thereof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4.03(H)</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5.08. EXCHANGE IN LIEU OF CONVERSION.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Article 5</w:t>
      </w:r>
      <w:r>
        <w:rPr>
          <w:rFonts w:ascii="Times New Roman" w:hAnsi="Times New Roman"/>
          <w:sz w:val="20"/>
        </w:rPr>
        <w:t xml:space="preserve">, and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 </w:t>
      </w:r>
    </w:p>
    <w:p>
      <w:pPr>
        <w:pStyle w:val="TextBody"/>
        <w:bidi w:val="0"/>
        <w:spacing w:before="240" w:after="0"/>
        <w:jc w:val="left"/>
        <w:rPr>
          <w:rFonts w:ascii="Times New Roman" w:hAnsi="Times New Roman"/>
          <w:sz w:val="20"/>
        </w:rPr>
      </w:pPr>
      <w:r>
        <w:rPr>
          <w:rFonts w:ascii="Times New Roman" w:hAnsi="Times New Roman"/>
          <w:sz w:val="20"/>
        </w:rPr>
        <w:t xml:space="preserve">(A) 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 w:hAnsi="Times New Roman"/>
          <w:b/>
          <w:sz w:val="20"/>
        </w:rPr>
        <w:t>Article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 </w:t>
      </w:r>
    </w:p>
    <w:p>
      <w:pPr>
        <w:pStyle w:val="TextBody"/>
        <w:bidi w:val="0"/>
        <w:spacing w:before="240" w:after="0"/>
        <w:jc w:val="left"/>
        <w:rPr>
          <w:rFonts w:ascii="Times New Roman" w:hAnsi="Times New Roman"/>
          <w:sz w:val="20"/>
        </w:rPr>
      </w:pPr>
      <w:r>
        <w:rPr>
          <w:rFonts w:ascii="Times New Roman" w:hAnsi="Times New Roman"/>
          <w:sz w:val="20"/>
        </w:rPr>
        <w:t xml:space="preserve">(C) such Note will not cease to be outstanding by reason of such exchange in lieu of Conversion;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financial institution does not accept such Note or fails to timely deliver such Conversion Consideration, then the Company will be responsible for delivering such Conversion Consideration in the manner and at the time provided in this </w:t>
      </w:r>
      <w:r>
        <w:rPr>
          <w:rFonts w:ascii="Times New Roman" w:hAnsi="Times New Roman"/>
          <w:b/>
          <w:sz w:val="20"/>
        </w:rPr>
        <w:t>Article 5</w:t>
      </w:r>
      <w:r>
        <w:rPr>
          <w:rFonts w:ascii="Times New Roman" w:hAnsi="Times New Roman"/>
          <w:sz w:val="20"/>
        </w:rPr>
        <w:t xml:space="preserve"> as if the Company had not elected to make an exchange in lieu of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5.09. EFFECT OF COMMON SHARE CHANGE EVENT.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If there occurs any: </w:t>
      </w:r>
    </w:p>
    <w:p>
      <w:pPr>
        <w:pStyle w:val="TextBody"/>
        <w:bidi w:val="0"/>
        <w:spacing w:before="120" w:after="0"/>
        <w:jc w:val="left"/>
        <w:rPr>
          <w:rFonts w:ascii="Times New Roman" w:hAnsi="Times New Roman"/>
          <w:sz w:val="20"/>
        </w:rPr>
      </w:pPr>
      <w:r>
        <w:rPr>
          <w:rFonts w:ascii="Times New Roman" w:hAnsi="Times New Roman"/>
          <w:sz w:val="20"/>
        </w:rPr>
        <w:t xml:space="preserve">(i) recapitalization, reclassification or change of the Common Shares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(x) changes solely resulting from a subdivision or combination of the Common Shares, (y) a change only in par value or from par value to no par value or no par value to par value and (z) stock splits and stock combinations that do not involve the issuance of any other series or class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 consolidation, amalgamation, merger, combination, arrangement or binding or statutory share exchange involving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sale, lease or other transfer of all or substantially all of the assets of the Company and its Subsidiaries, taken as a whole, to any Person; or </w:t>
      </w:r>
    </w:p>
    <w:p>
      <w:pPr>
        <w:pStyle w:val="TextBody"/>
        <w:bidi w:val="0"/>
        <w:spacing w:before="120" w:after="0"/>
        <w:jc w:val="left"/>
        <w:rPr>
          <w:rFonts w:ascii="Times New Roman" w:hAnsi="Times New Roman"/>
          <w:sz w:val="20"/>
        </w:rPr>
      </w:pPr>
      <w:r>
        <w:rPr>
          <w:rFonts w:ascii="Times New Roman" w:hAnsi="Times New Roman"/>
          <w:sz w:val="20"/>
        </w:rPr>
        <w:t xml:space="preserve">(iv) other similar event, </w:t>
      </w:r>
    </w:p>
    <w:p>
      <w:pPr>
        <w:pStyle w:val="TextBody"/>
        <w:bidi w:val="0"/>
        <w:spacing w:before="240" w:after="0"/>
        <w:jc w:val="left"/>
        <w:rPr>
          <w:rFonts w:ascii="Times New Roman" w:hAnsi="Times New Roman"/>
          <w:sz w:val="20"/>
        </w:rPr>
      </w:pPr>
      <w:r>
        <w:rPr>
          <w:rFonts w:ascii="Times New Roman" w:hAnsi="Times New Roman"/>
          <w:sz w:val="20"/>
        </w:rPr>
        <w:t>and, as a result of which, the Common Shares are converted into, or are exchanged for, or represent solely the right to receive, other securities, cash or other property, or any combination of the foregoing (such an event, a “</w:t>
      </w:r>
      <w:r>
        <w:rPr>
          <w:rFonts w:ascii="Times New Roman" w:hAnsi="Times New Roman"/>
          <w:b/>
          <w:sz w:val="20"/>
        </w:rPr>
        <w:t>Common Share Change Event</w:t>
      </w:r>
      <w:r>
        <w:rPr>
          <w:rFonts w:ascii="Times New Roman" w:hAnsi="Times New Roman"/>
          <w:sz w:val="20"/>
        </w:rPr>
        <w:t>,” and such other securities, cash or property, the “</w:t>
      </w:r>
      <w:r>
        <w:rPr>
          <w:rFonts w:ascii="Times New Roman" w:hAnsi="Times New Roman"/>
          <w:b/>
          <w:sz w:val="20"/>
        </w:rPr>
        <w:t>Reference Property</w:t>
      </w:r>
      <w:r>
        <w:rPr>
          <w:rFonts w:ascii="Times New Roman" w:hAnsi="Times New Roman"/>
          <w:sz w:val="20"/>
        </w:rPr>
        <w:t>,” and the amount and kind of Reference Property that a holder of one (1) Common Share would be entitled to receive on account of such Common Share Change Event (without giving effect to any arrangement not to issue or deliver a fractional portion of any security or other property), a “</w:t>
      </w:r>
      <w:r>
        <w:rPr>
          <w:rFonts w:ascii="Times New Roman" w:hAnsi="Times New Roman"/>
          <w:b/>
          <w:sz w:val="20"/>
        </w:rPr>
        <w:t>Reference Property Unit</w:t>
      </w:r>
      <w:r>
        <w:rPr>
          <w:rFonts w:ascii="Times New Roman" w:hAnsi="Times New Roman"/>
          <w:sz w:val="20"/>
        </w:rPr>
        <w:t xml:space="preserve">”), then, notwithstanding anything to the contrary in this Indenture or the Notes, </w:t>
      </w:r>
    </w:p>
    <w:p>
      <w:pPr>
        <w:pStyle w:val="TextBody"/>
        <w:bidi w:val="0"/>
        <w:spacing w:before="120" w:after="0"/>
        <w:jc w:val="left"/>
        <w:rPr>
          <w:rFonts w:ascii="Times New Roman" w:hAnsi="Times New Roman"/>
          <w:sz w:val="20"/>
        </w:rPr>
      </w:pPr>
      <w:r>
        <w:rPr>
          <w:rFonts w:ascii="Times New Roman" w:hAnsi="Times New Roman"/>
          <w:sz w:val="20"/>
        </w:rPr>
        <w:t xml:space="preserve">(1) from and after the effective time of such Common Share Change Event, (I) the Conversion Consideration due upon Conversion of any Note, and the conditions to any such Conversion, will be determined in the same manner as if each reference to any number of Common Shares in this </w:t>
      </w:r>
      <w:r>
        <w:rPr>
          <w:rFonts w:ascii="Times New Roman" w:hAnsi="Times New Roman"/>
          <w:b/>
          <w:sz w:val="20"/>
        </w:rPr>
        <w:t>Article 5</w:t>
      </w:r>
      <w:r>
        <w:rPr>
          <w:rFonts w:ascii="Times New Roman" w:hAnsi="Times New Roman"/>
          <w:sz w:val="20"/>
        </w:rPr>
        <w:t xml:space="preserve"> (or in any related definitions) were instead a reference to the same number of Reference Property Units; (II)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4.03(B)</w:t>
      </w:r>
      <w:r>
        <w:rPr>
          <w:rFonts w:ascii="Times New Roman" w:hAnsi="Times New Roman"/>
          <w:sz w:val="20"/>
        </w:rPr>
        <w:t xml:space="preserve">, each reference to any number of Common Shares in such Section (or in any related definitions) will instead be deemed to be a reference to the same number of Reference Property Units; and (III) for purposes of the definitions of “Fundamental Change,” “Make-Whole Fundamental Change” and “Termination of Trading,” references to “Common Shares” and the Company’s “common equity” will be deemed to refer to the common equity (including depositary receipts representing common equity), if any, forming part of such Reference Property; </w:t>
      </w:r>
    </w:p>
    <w:p>
      <w:pPr>
        <w:pStyle w:val="TextBody"/>
        <w:bidi w:val="0"/>
        <w:spacing w:before="120" w:after="0"/>
        <w:jc w:val="left"/>
        <w:rPr>
          <w:rFonts w:ascii="Times New Roman" w:hAnsi="Times New Roman"/>
          <w:sz w:val="20"/>
        </w:rPr>
      </w:pPr>
      <w:r>
        <w:rPr>
          <w:rFonts w:ascii="Times New Roman" w:hAnsi="Times New Roman"/>
          <w:sz w:val="20"/>
        </w:rPr>
        <w:t xml:space="preserve">(2) if such Reference Property Unit consists entirely of cash, then (I) each Conversion of any Note with a Conversion Date that occurs on or after the effective date of such Common Share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if applicable); and (y) the amount of cash constituting such Reference Property Unit; and (II) the Company will settle each such Conversion no later than the tenth (10th) Business Day after the relevant Conversion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If the Reference Property consists of more than a single type of consideration to be determined based in part upon any form of shareholder election, then the composition of the Reference Property Unit will be deemed to be the weighted average of the types and amounts of consideration actually received, per Common Share, by the holders of Common Shares. The Company will notify Holders, the Trustee and the Conversion Agent of such weighted average as soon as practicable after such determination is made.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if, prior to the date that is five (5) years plus one (1) day from the Last Original Issue Date of any Notes, Holders of such Notes would otherwise be entitled to receive, upon Conversion of such Notes, Ineligible Consideration, then such Holders will not be entitled to receive such Ineligible Consideration and the Successor Person will have the right (at the sole option of the Successor Person) to deliver either such Ineligible Consideration or “Prescribed Securities,” for the purposes of clause 212(1)(b)(vii)(E) of the Canadian Tax Act as it applied for the 2007 taxation year, with a market value equal to the market value of such Ineligible Consideration. </w:t>
      </w:r>
    </w:p>
    <w:p>
      <w:pPr>
        <w:pStyle w:val="TextBody"/>
        <w:bidi w:val="0"/>
        <w:spacing w:before="240" w:after="0"/>
        <w:jc w:val="left"/>
        <w:rPr>
          <w:rFonts w:ascii="Times New Roman" w:hAnsi="Times New Roman"/>
          <w:sz w:val="20"/>
        </w:rPr>
      </w:pPr>
      <w:r>
        <w:rPr>
          <w:rFonts w:ascii="Times New Roman" w:hAnsi="Times New Roman"/>
          <w:sz w:val="20"/>
        </w:rPr>
        <w:t>Subject to the last sentence of this paragraph, at or before the effective time of such Common Share Change Event, the Company and the resulting, surviving or transferee Person (if not the Company) of such Common Share Change Event (the “</w:t>
      </w:r>
      <w:r>
        <w:rPr>
          <w:rFonts w:ascii="Times New Roman" w:hAnsi="Times New Roman"/>
          <w:b/>
          <w:sz w:val="20"/>
        </w:rPr>
        <w:t>Successor Person</w:t>
      </w:r>
      <w:r>
        <w:rPr>
          <w:rFonts w:ascii="Times New Roman" w:hAnsi="Times New Roman"/>
          <w:sz w:val="20"/>
        </w:rPr>
        <w:t xml:space="preserve">”) will execute and deliver to the Trustee a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8.01(F)</w:t>
      </w:r>
      <w:r>
        <w:rPr>
          <w:rFonts w:ascii="Times New Roman" w:hAnsi="Times New Roman"/>
          <w:sz w:val="20"/>
        </w:rPr>
        <w:t xml:space="preserve">, which supplemental indenture will (x) provide for subsequent Conversions of Notes in the manner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(y) provide for subsequent adjustments to the Conversion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in a manner consistent with this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and (z) contain such other provisions, if any, that the Company reasonably determines are appropriate to preserve the economic interests of the Holders and to give effect to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5.09(A)</w:t>
      </w:r>
      <w:r>
        <w:rPr>
          <w:rFonts w:ascii="Times New Roman" w:hAnsi="Times New Roman"/>
          <w:sz w:val="20"/>
        </w:rPr>
        <w:t xml:space="preserve">.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 Notwithstanding anything to the contrary in this paragraph, no such supplemental indenture is required (but the Company may nonetheless choose to execute such a supplemental indenture at its option) if (x) the Company is the resulting, surviving or transferee Person of such Common Share Change Event; and (ii) the Reference Property of such Common Share Change Event does not include consideration other than cash or securities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Common Share</w:t>
      </w:r>
      <w:r>
        <w:rPr>
          <w:rFonts w:ascii="Times New Roman" w:hAnsi="Times New Roman"/>
          <w:sz w:val="20"/>
        </w:rPr>
        <w:t xml:space="preserve"> </w:t>
      </w:r>
      <w:r>
        <w:rPr>
          <w:rFonts w:ascii="Times New Roman" w:hAnsi="Times New Roman"/>
          <w:i/>
          <w:sz w:val="20"/>
        </w:rPr>
        <w:t>Change Events</w:t>
      </w:r>
      <w:r>
        <w:rPr>
          <w:rFonts w:ascii="Times New Roman" w:hAnsi="Times New Roman"/>
          <w:sz w:val="20"/>
        </w:rPr>
        <w:t xml:space="preserve">. The Company will provide notice of each Common Share Change Event to Holders, the Trustee and the Conversion Agent in the manner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5.01(C)(i)(3)(b)</w:t>
      </w:r>
      <w:r>
        <w:rPr>
          <w:rFonts w:ascii="Times New Roman" w:hAnsi="Times New Roman"/>
          <w:sz w:val="20"/>
        </w:rPr>
        <w:t xml:space="preserve"> (or, in the case of a Common Share Change Event that satisfies the provision set forth in the second parenthetical in </w:t>
      </w:r>
      <w:r>
        <w:rPr>
          <w:rFonts w:ascii="Times New Roman" w:hAnsi="Times New Roman"/>
          <w:b/>
          <w:sz w:val="20"/>
        </w:rPr>
        <w:t>Section</w:t>
      </w:r>
      <w:r>
        <w:rPr>
          <w:rFonts w:ascii="Times New Roman" w:hAnsi="Times New Roman"/>
          <w:sz w:val="20"/>
        </w:rPr>
        <w:t> </w:t>
      </w:r>
      <w:r>
        <w:rPr>
          <w:rFonts w:ascii="Times New Roman" w:hAnsi="Times New Roman"/>
          <w:b/>
          <w:sz w:val="20"/>
        </w:rPr>
        <w:t>5.01(C)(i)(3)(b)</w:t>
      </w:r>
      <w:r>
        <w:rPr>
          <w:rFonts w:ascii="Times New Roman" w:hAnsi="Times New Roman"/>
          <w:sz w:val="20"/>
        </w:rPr>
        <w:t xml:space="preserve">, no later than the second (2nd) Business Day after the effective date of such Common Share Change Event).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Compliance Covenant</w:t>
      </w:r>
      <w:r>
        <w:rPr>
          <w:rFonts w:ascii="Times New Roman" w:hAnsi="Times New Roman"/>
          <w:sz w:val="20"/>
        </w:rPr>
        <w:t xml:space="preserve">. The Company will not become a party to any Common Share Change Event unless its terms are consistent with this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SUCCESSORS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6.01. WHEN THE COMPANY MAY MERGE,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The Company will not consolidate or amalgamate,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(a “</w:t>
      </w:r>
      <w:r>
        <w:rPr>
          <w:rFonts w:ascii="Times New Roman" w:hAnsi="Times New Roman"/>
          <w:b/>
          <w:sz w:val="20"/>
        </w:rPr>
        <w:t>Business Combination Event</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(i) the resulting, surviving or transferee Person either (x) is the Company or (y) if not the Company, is a corporation (or, if such Business Combination Event is an Exempted Fundamental Change, is a corporation, limited liability company, limited partnership or other similar entity) (such corporation, limited liability company, limited partnership or other similar entity, as applicable, the “</w:t>
      </w:r>
      <w:r>
        <w:rPr>
          <w:rFonts w:ascii="Times New Roman" w:hAnsi="Times New Roman"/>
          <w:b/>
          <w:sz w:val="20"/>
        </w:rPr>
        <w:t>Successor Entity</w:t>
      </w:r>
      <w:r>
        <w:rPr>
          <w:rFonts w:ascii="Times New Roman" w:hAnsi="Times New Roman"/>
          <w:sz w:val="20"/>
        </w:rPr>
        <w:t xml:space="preserve">”) duly organized and existing under the laws of the United States of America, any State thereof or the District of Columbia, or under the laws of Canada or any province or territory thereof, that expressly assumes (by executing and delivering to the Trustee, at or before the effective time of such Business Combination Event, a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8.01(E)</w:t>
      </w:r>
      <w:r>
        <w:rPr>
          <w:rFonts w:ascii="Times New Roman" w:hAnsi="Times New Roman"/>
          <w:sz w:val="20"/>
        </w:rPr>
        <w:t xml:space="preserve">) all of the Company’s obligations under this Indenture and the Notes (including, for the avoidance of doubt, the obligation to pay Additional Amounts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3.05</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after giving effect to such Business Combination Event, no Default or Event of Default will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Officer’s Certificate and Opinion of Counsel to the Trustee</w:t>
      </w:r>
      <w:r>
        <w:rPr>
          <w:rFonts w:ascii="Times New Roman" w:hAnsi="Times New Roman"/>
          <w:sz w:val="20"/>
        </w:rPr>
        <w:t xml:space="preserve">. At or before the effective time of any Business Combination Event, the Company will deliver to the Trustee an Officer’s Certificate and Opinion of Counsel, each stating that (i) such Business Combination Event (and, if applicable, the related supplemental indenture) comply with </w:t>
      </w:r>
      <w:r>
        <w:rPr>
          <w:rFonts w:ascii="Times New Roman" w:hAnsi="Times New Roman"/>
          <w:b/>
          <w:sz w:val="20"/>
        </w:rPr>
        <w:t>Section</w:t>
      </w:r>
      <w:r>
        <w:rPr>
          <w:rFonts w:ascii="Times New Roman" w:hAnsi="Times New Roman"/>
          <w:sz w:val="20"/>
        </w:rPr>
        <w:t> </w:t>
      </w:r>
      <w:r>
        <w:rPr>
          <w:rFonts w:ascii="Times New Roman" w:hAnsi="Times New Roman"/>
          <w:b/>
          <w:sz w:val="20"/>
        </w:rPr>
        <w:t>6.01(A)</w:t>
      </w:r>
      <w:r>
        <w:rPr>
          <w:rFonts w:ascii="Times New Roman" w:hAnsi="Times New Roman"/>
          <w:sz w:val="20"/>
        </w:rPr>
        <w:t xml:space="preserve">; and (ii) all conditions precedent to such Business Combination Event provided in this Indenture have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6.02. SUCCESSOR ENTITY SUBSTITUTED.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any Business Combination Event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6.03. EXCLUSION FOR ASSET TRANSFERS WITH WHOLLY 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Article 6</w:t>
      </w:r>
      <w:r>
        <w:rPr>
          <w:rFonts w:ascii="Times New Roman" w:hAnsi="Times New Roman"/>
          <w:sz w:val="20"/>
        </w:rPr>
        <w:t xml:space="preserve">, this </w:t>
      </w:r>
      <w:r>
        <w:rPr>
          <w:rFonts w:ascii="Times New Roman" w:hAnsi="Times New Roman"/>
          <w:b/>
          <w:sz w:val="20"/>
        </w:rPr>
        <w:t>Article 6</w:t>
      </w:r>
      <w:r>
        <w:rPr>
          <w:rFonts w:ascii="Times New Roman" w:hAnsi="Times New Roman"/>
          <w:sz w:val="20"/>
        </w:rPr>
        <w:t xml:space="preserve"> will not apply to any transfer of assets between or among the Company and any one or more of its Wholly Owned Subsidiaries not effected by merger, amalgamation or consolidation.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DEFAULTS AND REMEDIES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7.01.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Definition of Events of Default</w:t>
      </w:r>
      <w:r>
        <w:rPr>
          <w:rFonts w:ascii="Times New Roman" w:hAnsi="Times New Roman"/>
          <w:sz w:val="20"/>
        </w:rPr>
        <w:t>. “</w:t>
      </w:r>
      <w:r>
        <w:rPr>
          <w:rFonts w:ascii="Times New Roman" w:hAnsi="Times New Roman"/>
          <w:b/>
          <w:sz w:val="20"/>
        </w:rPr>
        <w:t>Event of Default</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default in the payment when due (whether at maturity, upon Redemption or Repurchase Upon Fundamental Change or otherwise) of the principal of, or the Redemption Price or Fundamental Change Repurchase Price for, any Note; </w:t>
      </w:r>
    </w:p>
    <w:p>
      <w:pPr>
        <w:pStyle w:val="TextBody"/>
        <w:bidi w:val="0"/>
        <w:spacing w:before="120" w:after="0"/>
        <w:jc w:val="left"/>
        <w:rPr>
          <w:rFonts w:ascii="Times New Roman" w:hAnsi="Times New Roman"/>
          <w:sz w:val="20"/>
        </w:rPr>
      </w:pPr>
      <w:r>
        <w:rPr>
          <w:rFonts w:ascii="Times New Roman" w:hAnsi="Times New Roman"/>
          <w:sz w:val="20"/>
        </w:rPr>
        <w:t xml:space="preserve">(ii) a default for thirty (30) consecutive days in the payment when due of interest on any Note;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Company’s failure to deliver, when required by this Indenture, a Fundamental Change Notice, or a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5.01(C)(i)(3)</w:t>
      </w:r>
      <w:r>
        <w:rPr>
          <w:rFonts w:ascii="Times New Roman" w:hAnsi="Times New Roman"/>
          <w:sz w:val="20"/>
        </w:rPr>
        <w:t xml:space="preserve">, if (in the case of any notice other than a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5.01(C)(i)(3)(a)</w:t>
      </w:r>
      <w:r>
        <w:rPr>
          <w:rFonts w:ascii="Times New Roman" w:hAnsi="Times New Roman"/>
          <w:sz w:val="20"/>
        </w:rPr>
        <w:t xml:space="preserve">) such failure is not cured within three (3) Business Days after its occurrence; </w:t>
      </w:r>
    </w:p>
    <w:p>
      <w:pPr>
        <w:pStyle w:val="TextBody"/>
        <w:bidi w:val="0"/>
        <w:spacing w:before="120" w:after="0"/>
        <w:jc w:val="left"/>
        <w:rPr>
          <w:rFonts w:ascii="Times New Roman" w:hAnsi="Times New Roman"/>
          <w:sz w:val="20"/>
        </w:rPr>
      </w:pPr>
      <w:r>
        <w:rPr>
          <w:rFonts w:ascii="Times New Roman" w:hAnsi="Times New Roman"/>
          <w:sz w:val="20"/>
        </w:rPr>
        <w:t xml:space="preserve">(iv) a default in the Company’s obligation to Convert a Note in accordance with </w:t>
      </w:r>
      <w:r>
        <w:rPr>
          <w:rFonts w:ascii="Times New Roman" w:hAnsi="Times New Roman"/>
          <w:b/>
          <w:sz w:val="20"/>
        </w:rPr>
        <w:t>Article 5</w:t>
      </w:r>
      <w:r>
        <w:rPr>
          <w:rFonts w:ascii="Times New Roman" w:hAnsi="Times New Roman"/>
          <w:sz w:val="20"/>
        </w:rPr>
        <w:t xml:space="preserve"> upon the exercise of the Conversion right with respect thereto, if such default is not cured within three (3) days after its occurrence; </w:t>
      </w:r>
    </w:p>
    <w:p>
      <w:pPr>
        <w:pStyle w:val="TextBody"/>
        <w:bidi w:val="0"/>
        <w:spacing w:before="120" w:after="0"/>
        <w:jc w:val="left"/>
        <w:rPr>
          <w:rFonts w:ascii="Times New Roman" w:hAnsi="Times New Roman"/>
          <w:sz w:val="20"/>
        </w:rPr>
      </w:pPr>
      <w:r>
        <w:rPr>
          <w:rFonts w:ascii="Times New Roman" w:hAnsi="Times New Roman"/>
          <w:sz w:val="20"/>
        </w:rPr>
        <w:t xml:space="preserve">(v) a default in the Company’s obligations under </w:t>
      </w:r>
      <w:r>
        <w:rPr>
          <w:rFonts w:ascii="Times New Roman" w:hAnsi="Times New Roman"/>
          <w:b/>
          <w:sz w:val="20"/>
        </w:rPr>
        <w:t>Article 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a Termination of Trading has occurred and a period of at least twenty (20) consecutive calendar days has elapsed since the date such Termination of Trading has first occurred (regardless of whether such Termination of Trading has been cured during such period or ceases to exist at the end of such period or at any time thereafter), subject to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 default in any of the Company’s obligations or agreements under this Indenture or the Notes (other than a default set forth in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(i)</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w:t>
      </w:r>
      <w:r>
        <w:rPr>
          <w:rFonts w:ascii="Times New Roman" w:hAnsi="Times New Roman"/>
          <w:b/>
          <w:sz w:val="20"/>
        </w:rPr>
        <w:t>(iii)</w:t>
      </w:r>
      <w:r>
        <w:rPr>
          <w:rFonts w:ascii="Times New Roman" w:hAnsi="Times New Roman"/>
          <w:sz w:val="20"/>
        </w:rPr>
        <w:t xml:space="preserve">, </w:t>
      </w:r>
      <w:r>
        <w:rPr>
          <w:rFonts w:ascii="Times New Roman" w:hAnsi="Times New Roman"/>
          <w:b/>
          <w:sz w:val="20"/>
        </w:rPr>
        <w:t>(iv)</w:t>
      </w:r>
      <w:r>
        <w:rPr>
          <w:rFonts w:ascii="Times New Roman" w:hAnsi="Times New Roman"/>
          <w:sz w:val="20"/>
        </w:rPr>
        <w:t xml:space="preserve">, </w:t>
      </w:r>
      <w:r>
        <w:rPr>
          <w:rFonts w:ascii="Times New Roman" w:hAnsi="Times New Roman"/>
          <w:b/>
          <w:sz w:val="20"/>
        </w:rPr>
        <w:t>(v)</w:t>
      </w:r>
      <w:r>
        <w:rPr>
          <w:rFonts w:ascii="Times New Roman" w:hAnsi="Times New Roman"/>
          <w:sz w:val="20"/>
        </w:rPr>
        <w:t xml:space="preserve"> or </w:t>
      </w:r>
      <w:r>
        <w:rPr>
          <w:rFonts w:ascii="Times New Roman" w:hAnsi="Times New Roman"/>
          <w:b/>
          <w:sz w:val="20"/>
        </w:rPr>
        <w:t>(vi)</w:t>
      </w:r>
      <w:r>
        <w:rPr>
          <w:rFonts w:ascii="Times New Roman" w:hAnsi="Times New Roman"/>
          <w:sz w:val="20"/>
        </w:rPr>
        <w:t xml:space="preserve"> of this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where such default is not cured or waived within sixty (60) days after written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a default by the Company or any of the Company’s Significant Subsidiaries with respect to any one or more mortgages, agreements or other instruments under which there is outstanding, or by which there is secured or evidenced, any indebtedness for money borrowed of at least twenty five million dollars ($25,000,000) (or its foreign currency equivalent) in the aggregate of the Company or any of the Company’s Significant Subsidiaries, whether such indebtedness exists as of the Issue Date or is thereafter created, where such default: </w:t>
      </w:r>
    </w:p>
    <w:p>
      <w:pPr>
        <w:pStyle w:val="TextBody"/>
        <w:bidi w:val="0"/>
        <w:spacing w:before="120" w:after="0"/>
        <w:jc w:val="left"/>
        <w:rPr>
          <w:rFonts w:ascii="Times New Roman" w:hAnsi="Times New Roman"/>
          <w:sz w:val="20"/>
        </w:rPr>
      </w:pPr>
      <w:r>
        <w:rPr>
          <w:rFonts w:ascii="Times New Roman" w:hAnsi="Times New Roman"/>
          <w:sz w:val="20"/>
        </w:rPr>
        <w:t xml:space="preserve">(1) constitutes a failure to pay the principal of such indebtedness when due and payable at its stated maturity, upon required repurchase, upon declaration of acceleration or otherwise, in each case after the expiration of any applicable grace period; or </w:t>
      </w:r>
    </w:p>
    <w:p>
      <w:pPr>
        <w:pStyle w:val="TextBody"/>
        <w:bidi w:val="0"/>
        <w:spacing w:before="120" w:after="0"/>
        <w:jc w:val="left"/>
        <w:rPr>
          <w:rFonts w:ascii="Times New Roman" w:hAnsi="Times New Roman"/>
          <w:sz w:val="20"/>
        </w:rPr>
      </w:pPr>
      <w:r>
        <w:rPr>
          <w:rFonts w:ascii="Times New Roman" w:hAnsi="Times New Roman"/>
          <w:sz w:val="20"/>
        </w:rPr>
        <w:t xml:space="preserve">(2) results in such indebtedness becoming or being declared due and payable before its stated maturity, </w:t>
      </w:r>
    </w:p>
    <w:p>
      <w:pPr>
        <w:pStyle w:val="TextBody"/>
        <w:bidi w:val="0"/>
        <w:spacing w:before="120" w:after="0"/>
        <w:jc w:val="left"/>
        <w:rPr>
          <w:rFonts w:ascii="Times New Roman" w:hAnsi="Times New Roman"/>
          <w:sz w:val="20"/>
        </w:rPr>
      </w:pPr>
      <w:r>
        <w:rPr>
          <w:rFonts w:ascii="Times New Roman" w:hAnsi="Times New Roman"/>
          <w:sz w:val="20"/>
        </w:rPr>
        <w:t xml:space="preserve">in each case where such default is not cured or waived within thirty (30) days after written notice to the Company by the Trustee or to the Company and the Trustee by Holders of at least twenty five percent (25%) of the aggregate principal amount of Notes then outstanding; </w:t>
      </w:r>
    </w:p>
    <w:p>
      <w:pPr>
        <w:pStyle w:val="TextBody"/>
        <w:bidi w:val="0"/>
        <w:spacing w:before="120" w:after="0"/>
        <w:jc w:val="left"/>
        <w:rPr>
          <w:rFonts w:ascii="Times New Roman" w:hAnsi="Times New Roman"/>
          <w:sz w:val="20"/>
        </w:rPr>
      </w:pPr>
      <w:r>
        <w:rPr>
          <w:rFonts w:ascii="Times New Roman" w:hAnsi="Times New Roman"/>
          <w:sz w:val="20"/>
        </w:rPr>
        <w:t xml:space="preserve">(ix) one or more final judgments being rendered against the Company or any of the Company’s Significant Subsidiaries for the payment of at least twenty five million dollars ($25,000,000) (or its foreign currency equivalent) in the aggregate (excluding any amounts covered by insurance), where such judgment is not discharged or stayed within sixty (60) days after (1) the date on which the right to appeal the same has expired, if no such appeal has commenced; or (2) the date on which all rights to appeal have been extinguished; </w:t>
      </w:r>
    </w:p>
    <w:p>
      <w:pPr>
        <w:pStyle w:val="TextBody"/>
        <w:bidi w:val="0"/>
        <w:spacing w:before="120" w:after="0"/>
        <w:jc w:val="left"/>
        <w:rPr>
          <w:rFonts w:ascii="Times New Roman" w:hAnsi="Times New Roman"/>
          <w:sz w:val="20"/>
        </w:rPr>
      </w:pPr>
      <w:r>
        <w:rPr>
          <w:rFonts w:ascii="Times New Roman" w:hAnsi="Times New Roman"/>
          <w:sz w:val="20"/>
        </w:rPr>
        <w:t xml:space="preserve">(x) the Company or any of its Significant Subsidiaries, pursuant to or within the meaning of any Bankruptcy Law, either: </w:t>
      </w:r>
    </w:p>
    <w:p>
      <w:pPr>
        <w:pStyle w:val="TextBody"/>
        <w:bidi w:val="0"/>
        <w:spacing w:before="120" w:after="0"/>
        <w:jc w:val="left"/>
        <w:rPr>
          <w:rFonts w:ascii="Times New Roman" w:hAnsi="Times New Roman"/>
          <w:sz w:val="20"/>
        </w:rPr>
      </w:pPr>
      <w:r>
        <w:rPr>
          <w:rFonts w:ascii="Times New Roman" w:hAnsi="Times New Roman"/>
          <w:sz w:val="20"/>
        </w:rPr>
        <w:t xml:space="preserve">(1) commences a voluntary case or proceeding; </w:t>
      </w:r>
    </w:p>
    <w:p>
      <w:pPr>
        <w:pStyle w:val="TextBody"/>
        <w:bidi w:val="0"/>
        <w:spacing w:before="120" w:after="0"/>
        <w:jc w:val="left"/>
        <w:rPr>
          <w:rFonts w:ascii="Times New Roman" w:hAnsi="Times New Roman"/>
          <w:sz w:val="20"/>
        </w:rPr>
      </w:pPr>
      <w:r>
        <w:rPr>
          <w:rFonts w:ascii="Times New Roman" w:hAnsi="Times New Roman"/>
          <w:sz w:val="20"/>
        </w:rPr>
        <w:t xml:space="preserve">(2) consents to the entry of an order for relief against it in an involuntary case or proceeding; </w:t>
      </w:r>
    </w:p>
    <w:p>
      <w:pPr>
        <w:pStyle w:val="TextBody"/>
        <w:bidi w:val="0"/>
        <w:spacing w:before="120" w:after="0"/>
        <w:jc w:val="left"/>
        <w:rPr>
          <w:rFonts w:ascii="Times New Roman" w:hAnsi="Times New Roman"/>
          <w:sz w:val="20"/>
        </w:rPr>
      </w:pPr>
      <w:r>
        <w:rPr>
          <w:rFonts w:ascii="Times New Roman" w:hAnsi="Times New Roman"/>
          <w:sz w:val="20"/>
        </w:rPr>
        <w:t xml:space="preserve">(3) consents to the appointment of a custodian of it or for any substantial part of its property; </w:t>
      </w:r>
    </w:p>
    <w:p>
      <w:pPr>
        <w:pStyle w:val="TextBody"/>
        <w:bidi w:val="0"/>
        <w:spacing w:before="120" w:after="0"/>
        <w:jc w:val="left"/>
        <w:rPr>
          <w:rFonts w:ascii="Times New Roman" w:hAnsi="Times New Roman"/>
          <w:sz w:val="20"/>
        </w:rPr>
      </w:pPr>
      <w:r>
        <w:rPr>
          <w:rFonts w:ascii="Times New Roman" w:hAnsi="Times New Roman"/>
          <w:sz w:val="20"/>
        </w:rPr>
        <w:t xml:space="preserve">(4) makes a general assignment for the benefit of its creditors; </w:t>
      </w:r>
    </w:p>
    <w:p>
      <w:pPr>
        <w:pStyle w:val="TextBody"/>
        <w:bidi w:val="0"/>
        <w:spacing w:before="120" w:after="0"/>
        <w:jc w:val="left"/>
        <w:rPr>
          <w:rFonts w:ascii="Times New Roman" w:hAnsi="Times New Roman"/>
          <w:sz w:val="20"/>
        </w:rPr>
      </w:pPr>
      <w:r>
        <w:rPr>
          <w:rFonts w:ascii="Times New Roman" w:hAnsi="Times New Roman"/>
          <w:sz w:val="20"/>
        </w:rPr>
        <w:t xml:space="preserve">(5) takes any comparable action under any foreign Bankruptcy Law; or </w:t>
      </w:r>
    </w:p>
    <w:p>
      <w:pPr>
        <w:pStyle w:val="TextBody"/>
        <w:bidi w:val="0"/>
        <w:spacing w:before="120" w:after="0"/>
        <w:jc w:val="left"/>
        <w:rPr>
          <w:rFonts w:ascii="Times New Roman" w:hAnsi="Times New Roman"/>
          <w:sz w:val="20"/>
        </w:rPr>
      </w:pPr>
      <w:r>
        <w:rPr>
          <w:rFonts w:ascii="Times New Roman" w:hAnsi="Times New Roman"/>
          <w:sz w:val="20"/>
        </w:rPr>
        <w:t xml:space="preserve">(6) generally is not paying its debts as they become due; or </w:t>
      </w:r>
    </w:p>
    <w:p>
      <w:pPr>
        <w:pStyle w:val="TextBody"/>
        <w:bidi w:val="0"/>
        <w:spacing w:before="120" w:after="0"/>
        <w:jc w:val="left"/>
        <w:rPr>
          <w:rFonts w:ascii="Times New Roman" w:hAnsi="Times New Roman"/>
          <w:sz w:val="20"/>
        </w:rPr>
      </w:pPr>
      <w:r>
        <w:rPr>
          <w:rFonts w:ascii="Times New Roman" w:hAnsi="Times New Roman"/>
          <w:sz w:val="20"/>
        </w:rPr>
        <w:t xml:space="preserve">(xi) a court of competent jurisdiction enters an order or decree under any Bankruptcy Law that either: </w:t>
      </w:r>
    </w:p>
    <w:p>
      <w:pPr>
        <w:pStyle w:val="TextBody"/>
        <w:bidi w:val="0"/>
        <w:spacing w:before="120" w:after="0"/>
        <w:jc w:val="left"/>
        <w:rPr>
          <w:rFonts w:ascii="Times New Roman" w:hAnsi="Times New Roman"/>
          <w:sz w:val="20"/>
        </w:rPr>
      </w:pPr>
      <w:r>
        <w:rPr>
          <w:rFonts w:ascii="Times New Roman" w:hAnsi="Times New Roman"/>
          <w:sz w:val="20"/>
        </w:rPr>
        <w:t xml:space="preserve">(1) is for relief against the Company or any of its Significant Subsidiaries in an involuntary case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appoints a custodian of the Company or any of its Significant Subsidiaries, or for any substantial part of the property of the Company or any of its Significant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orders the winding up or liquidation of the Company or any of its Significant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(4) grants any similar relief under any foreign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and, in each case under this </w:t>
      </w:r>
      <w:r>
        <w:rPr>
          <w:rFonts w:ascii="Times New Roman" w:hAnsi="Times New Roman"/>
          <w:b/>
          <w:sz w:val="20"/>
        </w:rPr>
        <w:t>Section</w:t>
      </w:r>
      <w:r>
        <w:rPr>
          <w:rFonts w:ascii="Times New Roman" w:hAnsi="Times New Roman"/>
          <w:sz w:val="20"/>
        </w:rPr>
        <w:t> </w:t>
      </w:r>
      <w:r>
        <w:rPr>
          <w:rFonts w:ascii="Times New Roman" w:hAnsi="Times New Roman"/>
          <w:b/>
          <w:sz w:val="20"/>
        </w:rPr>
        <w:t>7.01(A)(xi)</w:t>
      </w:r>
      <w:r>
        <w:rPr>
          <w:rFonts w:ascii="Times New Roman" w:hAnsi="Times New Roman"/>
          <w:sz w:val="20"/>
        </w:rPr>
        <w:t xml:space="preserve">, such order or decree remains unstayed and in effect for at least sixty (60) days.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Company’s failure to provide any notice required to be sent by the Company under this Indenture (other than a notice referred to in clause </w:t>
      </w:r>
      <w:r>
        <w:rPr>
          <w:rFonts w:ascii="Times New Roman" w:hAnsi="Times New Roman"/>
          <w:b/>
          <w:sz w:val="20"/>
        </w:rPr>
        <w:t>(iii)</w:t>
      </w:r>
      <w:r>
        <w:rPr>
          <w:rFonts w:ascii="Times New Roman" w:hAnsi="Times New Roman"/>
          <w:sz w:val="20"/>
        </w:rPr>
        <w:t xml:space="preserve"> above) will not be the basis of any Event of Default except pursuant to clause </w:t>
      </w:r>
      <w:r>
        <w:rPr>
          <w:rFonts w:ascii="Times New Roman" w:hAnsi="Times New Roman"/>
          <w:b/>
          <w:sz w:val="20"/>
        </w:rPr>
        <w:t>(vii)</w:t>
      </w:r>
      <w:r>
        <w:rPr>
          <w:rFonts w:ascii="Times New Roman" w:hAnsi="Times New Roman"/>
          <w:sz w:val="20"/>
        </w:rPr>
        <w:t xml:space="preserve"> above (subject to the sixty (60) day cure period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Cause Irrelevant</w:t>
      </w:r>
      <w:r>
        <w:rPr>
          <w:rFonts w:ascii="Times New Roman" w:hAnsi="Times New Roman"/>
          <w:sz w:val="20"/>
        </w:rPr>
        <w:t xml:space="preserve">. Each of the events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will constitute an Event of Default regardless of the cause thereof or whether voluntary or involuntary or effected by operation of law or pursuant to any judgment, decree or order of any court or any order, rule or regulation of any administrative or governmental body.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7.02. ACCELERATION.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Automatic Acceleration in Certain Circumstances</w:t>
      </w:r>
      <w:r>
        <w:rPr>
          <w:rFonts w:ascii="Times New Roman" w:hAnsi="Times New Roman"/>
          <w:sz w:val="20"/>
        </w:rPr>
        <w:t xml:space="preserve">. If (i) an Event of Default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7.01(A)(x)</w:t>
      </w:r>
      <w:r>
        <w:rPr>
          <w:rFonts w:ascii="Times New Roman" w:hAnsi="Times New Roman"/>
          <w:sz w:val="20"/>
        </w:rPr>
        <w:t xml:space="preserve"> or </w:t>
      </w:r>
      <w:r>
        <w:rPr>
          <w:rFonts w:ascii="Times New Roman" w:hAnsi="Times New Roman"/>
          <w:b/>
          <w:sz w:val="20"/>
        </w:rPr>
        <w:t>7.01(A)(xi)</w:t>
      </w:r>
      <w:r>
        <w:rPr>
          <w:rFonts w:ascii="Times New Roman" w:hAnsi="Times New Roman"/>
          <w:sz w:val="20"/>
        </w:rPr>
        <w:t xml:space="preserve"> occurs with respect to the Company (and not solely with respect to a Significant Subsidiary of the Company); or (ii) the Company fails to cure a Termination of Trading Event of Default in the manner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then, in each case, the principal amount of, and all accrued and unpaid interest on, all of the Notes then outstanding will immediately become due and payable without any further action or notice by any Person.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Optional Acceleration</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7.04</w:t>
      </w:r>
      <w:r>
        <w:rPr>
          <w:rFonts w:ascii="Times New Roman" w:hAnsi="Times New Roman"/>
          <w:sz w:val="20"/>
        </w:rPr>
        <w:t xml:space="preserve">, if an Event of Default (other than an Event of Default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7.01(A)(x)</w:t>
      </w:r>
      <w:r>
        <w:rPr>
          <w:rFonts w:ascii="Times New Roman" w:hAnsi="Times New Roman"/>
          <w:sz w:val="20"/>
        </w:rPr>
        <w:t xml:space="preserve"> or </w:t>
      </w:r>
      <w:r>
        <w:rPr>
          <w:rFonts w:ascii="Times New Roman" w:hAnsi="Times New Roman"/>
          <w:b/>
          <w:sz w:val="20"/>
        </w:rPr>
        <w:t>7.01(A)(xi)</w:t>
      </w:r>
      <w:r>
        <w:rPr>
          <w:rFonts w:ascii="Times New Roman" w:hAnsi="Times New Roman"/>
          <w:sz w:val="20"/>
        </w:rPr>
        <w:t xml:space="preserve"> with respect to the Company and not solely with respect to a Significant Subsidiary of the Company) occurs and is continuing, then the Trustee, by written notice to the Company, or Holders of at least twenty five percent (25%) of the aggregate principal amount of Notes then outstanding, by written notice to the Company and the Trustee, may declare the principal amount of, and all accrued and unpaid interest on, all of the Notes then outstanding to become due and payable immediately. For the avoidance of doubt, if such Event of Default is not continuing at the time such notice is provided (that is, such Event of Default has been cured or waived as of such time), then such notice will not be effective to cause such amounts to become due and payable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Rescission of Acceleration</w:t>
      </w:r>
      <w:r>
        <w:rPr>
          <w:rFonts w:ascii="Times New Roman" w:hAnsi="Times New Roman"/>
          <w:sz w:val="20"/>
        </w:rPr>
        <w:t xml:space="preserve">. Notwithstanding anything to the contrary in this Indenture or the Notes, the Holders of a majority in aggregate principal amount of the Notes then outstanding, by written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7.03. REPURCHASE OFFER AS SOLE REMEDY FOR TERMINATION OF TRADING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Indenture or the Notes, the Company may, in its sole and absolute discretion, elect that the sole remedy for any Event of Default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7.01(A)(vi)</w:t>
      </w:r>
      <w:r>
        <w:rPr>
          <w:rFonts w:ascii="Times New Roman" w:hAnsi="Times New Roman"/>
          <w:sz w:val="20"/>
        </w:rPr>
        <w:t xml:space="preserve"> (such an Event of Default, a “</w:t>
      </w:r>
      <w:r>
        <w:rPr>
          <w:rFonts w:ascii="Times New Roman" w:hAnsi="Times New Roman"/>
          <w:b/>
          <w:sz w:val="20"/>
        </w:rPr>
        <w:t>Termination of Trading Event of Default</w:t>
      </w:r>
      <w:r>
        <w:rPr>
          <w:rFonts w:ascii="Times New Roman" w:hAnsi="Times New Roman"/>
          <w:sz w:val="20"/>
        </w:rPr>
        <w:t xml:space="preserve">”), which remedy will be deemed to cure any Default occurring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7.01(A)(vi)</w:t>
      </w:r>
      <w:r>
        <w:rPr>
          <w:rFonts w:ascii="Times New Roman" w:hAnsi="Times New Roman"/>
          <w:sz w:val="20"/>
        </w:rPr>
        <w:t xml:space="preserve"> on account of the related Termination of Trading, will be to offer to repurchase the Notes in the manner, and at the same Fundamental Change Repurchase Price and Fundamental Change Repurchase Date,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(with the same force and effect as if the Termination of Trading were a Fundamental Change). To make such election, the Company must send to the Holders, no later than the twentieth (20th) calendar day after the date such Termination of Trading has first occurred, a notice that states that a Termination of Trading has occurred and that the Company has elected to offer to repurchase the Notes in connection with such Termination of Trading and includes the same information that is required to be included in a Fundamental Change Notice. Upon sending such Fundamental Change Notice, (i) the Company will satisfy its obligations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(subject, for the avoidance of doubt, to </w:t>
      </w:r>
      <w:r>
        <w:rPr>
          <w:rFonts w:ascii="Times New Roman" w:hAnsi="Times New Roman"/>
          <w:b/>
          <w:sz w:val="20"/>
        </w:rPr>
        <w:t>Section</w:t>
      </w:r>
      <w:r>
        <w:rPr>
          <w:rFonts w:ascii="Times New Roman" w:hAnsi="Times New Roman"/>
          <w:sz w:val="20"/>
        </w:rPr>
        <w:t> </w:t>
      </w:r>
      <w:r>
        <w:rPr>
          <w:rFonts w:ascii="Times New Roman" w:hAnsi="Times New Roman"/>
          <w:b/>
          <w:sz w:val="20"/>
        </w:rPr>
        <w:t>4.02(H)</w:t>
      </w:r>
      <w:r>
        <w:rPr>
          <w:rFonts w:ascii="Times New Roman" w:hAnsi="Times New Roman"/>
          <w:sz w:val="20"/>
        </w:rPr>
        <w:t xml:space="preserve">) with the same force and effect as if the effective date of a Fundamental Change had occurred on the date such Termination of Trading first occurred; and (ii) no Event of Default will be deemed to occur for purposes of this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7.01(A)(vi)</w:t>
      </w:r>
      <w:r>
        <w:rPr>
          <w:rFonts w:ascii="Times New Roman" w:hAnsi="Times New Roman"/>
          <w:sz w:val="20"/>
        </w:rPr>
        <w:t xml:space="preserve"> on account of such Termination of Trading (it being understood, for the avoidance of doubt, that the Company’s failure to satisfy its obligations referred to in </w:t>
      </w:r>
      <w:r>
        <w:rPr>
          <w:rFonts w:ascii="Times New Roman" w:hAnsi="Times New Roman"/>
          <w:b/>
          <w:sz w:val="20"/>
        </w:rPr>
        <w:t>clause (i)</w:t>
      </w:r>
      <w:r>
        <w:rPr>
          <w:rFonts w:ascii="Times New Roman" w:hAnsi="Times New Roman"/>
          <w:sz w:val="20"/>
        </w:rPr>
        <w:t xml:space="preserve"> above may be the basis for the occurrence of an Event of Default). For the avoidance of doubt, nothing in this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will limit a Holder’s right to Convert any of its Notes upon the occurrence of a Termination of Trading or a Termination of Trading Event of Default or affect the rights of Holders in connection with the occurrence of any other Event of Default (including an Event of Default arising from the Company’s failure to comply with the applicable requirements resulting from its offer to repurchase the outstanding Notes following a Termination of Trading). If the Company do not timely elect to cure a Termination of Trading Event of Default in accordance with this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or if the Company makes such an election but does not pay the Fundamental Change Repurchase Price when due, then the Notes will immediately become subject to acceleration as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7.02(A)</w:t>
      </w:r>
      <w:r>
        <w:rPr>
          <w:rFonts w:ascii="Times New Roman" w:hAnsi="Times New Roman"/>
          <w:sz w:val="20"/>
        </w:rPr>
        <w:t xml:space="preserve">. For the avoidance of doubt, the occurrence of a Termination of Trading will be deemed to be a Make-Whole Fundamental Change Pursuant to </w:t>
      </w:r>
      <w:r>
        <w:rPr>
          <w:rFonts w:ascii="Times New Roman" w:hAnsi="Times New Roman"/>
          <w:b/>
          <w:sz w:val="20"/>
        </w:rPr>
        <w:t>clause (A)(ii)</w:t>
      </w:r>
      <w:r>
        <w:rPr>
          <w:rFonts w:ascii="Times New Roman" w:hAnsi="Times New Roman"/>
          <w:sz w:val="20"/>
        </w:rPr>
        <w:t xml:space="preserve"> of the definition of Make-Whole Fundamental Change whether or not the Company elects to offer to repurchase the Notes in connection with such Termination of Trading, and any election by the Company to offer to repurchase the Notes in connection with such Termination of Trading will not be considered to be the occurrence of another Make-Whole Fundamental Change, nor will another notice be required, or another Conversion right arise, pursuant to the </w:t>
      </w:r>
      <w:r>
        <w:rPr>
          <w:rFonts w:ascii="Times New Roman" w:hAnsi="Times New Roman"/>
          <w:b/>
          <w:sz w:val="20"/>
        </w:rPr>
        <w:t>Section</w:t>
      </w:r>
      <w:r>
        <w:rPr>
          <w:rFonts w:ascii="Times New Roman" w:hAnsi="Times New Roman"/>
          <w:sz w:val="20"/>
        </w:rPr>
        <w:t> </w:t>
      </w:r>
      <w:r>
        <w:rPr>
          <w:rFonts w:ascii="Times New Roman" w:hAnsi="Times New Roman"/>
          <w:b/>
          <w:sz w:val="20"/>
        </w:rPr>
        <w:t>5.01(C)(i)(3)</w:t>
      </w:r>
      <w:r>
        <w:rPr>
          <w:rFonts w:ascii="Times New Roman" w:hAnsi="Times New Roman"/>
          <w:sz w:val="20"/>
        </w:rPr>
        <w:t xml:space="preserve"> on account of such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7.04. SOLE REMEDY FOR A FAILURE TO REPORT.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Notwithstanding anything to the contrary in this Indenture or the Notes, the Company may elect that the sole remedy for any Event of Default (a “</w:t>
      </w:r>
      <w:r>
        <w:rPr>
          <w:rFonts w:ascii="Times New Roman" w:hAnsi="Times New Roman"/>
          <w:b/>
          <w:sz w:val="20"/>
        </w:rPr>
        <w:t>Reporting Event of Default</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7.01(A)(vii)</w:t>
      </w:r>
      <w:r>
        <w:rPr>
          <w:rFonts w:ascii="Times New Roman" w:hAnsi="Times New Roman"/>
          <w:sz w:val="20"/>
        </w:rPr>
        <w:t xml:space="preserve"> arising from the Company’s failure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will, for each of the first three hundred sixty five (365)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7.02</w:t>
      </w:r>
      <w:r>
        <w:rPr>
          <w:rFonts w:ascii="Times New Roman" w:hAnsi="Times New Roman"/>
          <w:sz w:val="20"/>
        </w:rPr>
        <w:t xml:space="preserve"> on account of the relevant Reporting Event of Default from, and including, the three hundred sixty sixth (366th) calendar day on which a Reporting Event of Default has occurred and is continuing or if the Company fails to pay any accrued and unpaid Special Interest when due; and (ii) Special Interest will cease to accrue on any Notes from, and including, such three hundred sixty sixth (366th) calendar day (it being understood that interest on any defaulted Special Interest will nonetheless accrue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Amount and Payment of Special Interest</w:t>
      </w:r>
      <w:r>
        <w:rPr>
          <w:rFonts w:ascii="Times New Roman" w:hAnsi="Times New Roman"/>
          <w:sz w:val="20"/>
        </w:rPr>
        <w:t xml:space="preserve">. Any Special Interest that accrues on a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7.04(A)</w:t>
      </w:r>
      <w:r>
        <w:rPr>
          <w:rFonts w:ascii="Times New Roman" w:hAnsi="Times New Roman"/>
          <w:sz w:val="20"/>
        </w:rPr>
        <w:t xml:space="preserve"> will be payable on the same dates and in the same manner as the Stated Interest on such Note and will accrue at a rate per annum equal to one quarter of one percent (0.25%) of the principal amount thereof for the first one hundred eighty (180) days on which such Reporting Event of Default is continuing and Special Interest accrues and, thereafter, at a rate per annum equal to one half of one percent (0.50%) of the principal amount thereof, to, and including, the three hundred sixty fifth (365th) day on which such Reporting Event of Default is continuing and Special Interest accrues;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Special Interest, together with any Additional Interest (excluding any interest that accrues on any Deferred Additional Interest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3.04(C)</w:t>
      </w:r>
      <w:r>
        <w:rPr>
          <w:rFonts w:ascii="Times New Roman" w:hAnsi="Times New Roman"/>
          <w:sz w:val="20"/>
        </w:rPr>
        <w:t xml:space="preserve">), accrue on any day on a Note at a combined rate per annum that exceeds one half of one percent (0.50%). For the avoidance of doubt, any Special Interest that accrues on a Note will be in addition to the Stated Interest that accrues on such Note and, subject to the proviso of the immediately preceding sentence, in addition to any Additional Interest that accrues on such Note.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Election</w:t>
      </w:r>
      <w:r>
        <w:rPr>
          <w:rFonts w:ascii="Times New Roman" w:hAnsi="Times New Roman"/>
          <w:sz w:val="20"/>
        </w:rPr>
        <w:t xml:space="preserve">. To make the election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7.04(A)</w:t>
      </w:r>
      <w:r>
        <w:rPr>
          <w:rFonts w:ascii="Times New Roman" w:hAnsi="Times New Roman"/>
          <w:sz w:val="20"/>
        </w:rPr>
        <w:t xml:space="preserve">, the Company must send to the Holders, the Trustee and the Paying Agent,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Trustee and Paying Agent; Trustee</w:t>
      </w:r>
      <w:r>
        <w:rPr>
          <w:rFonts w:ascii="Times New Roman" w:hAnsi="Times New Roman"/>
          <w:sz w:val="20"/>
        </w:rPr>
        <w:t>’</w:t>
      </w:r>
      <w:r>
        <w:rPr>
          <w:rFonts w:ascii="Times New Roman" w:hAnsi="Times New Roman"/>
          <w:i/>
          <w:sz w:val="20"/>
        </w:rPr>
        <w:t>s Disclaimer</w:t>
      </w:r>
      <w:r>
        <w:rPr>
          <w:rFonts w:ascii="Times New Roman" w:hAnsi="Times New Roman"/>
          <w:sz w:val="20"/>
        </w:rPr>
        <w:t xml:space="preserve">. 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Effect on Other Events of Default</w:t>
      </w:r>
      <w:r>
        <w:rPr>
          <w:rFonts w:ascii="Times New Roman" w:hAnsi="Times New Roman"/>
          <w:sz w:val="20"/>
        </w:rPr>
        <w:t xml:space="preserve">. No election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7.04</w:t>
      </w:r>
      <w:r>
        <w:rPr>
          <w:rFonts w:ascii="Times New Roman" w:hAnsi="Times New Roman"/>
          <w:sz w:val="20"/>
        </w:rPr>
        <w:t xml:space="preserve"> with respect to a Reporting Event of Default will affect the rights of any Holder with respect to any other Event of Default, including with respect to any other Reporting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7.05. OTHER REMEDIES.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Trustee May Pursue All Remedies</w:t>
      </w:r>
      <w:r>
        <w:rPr>
          <w:rFonts w:ascii="Times New Roman" w:hAnsi="Times New Roman"/>
          <w:sz w:val="20"/>
        </w:rPr>
        <w:t xml:space="preserve">. If an Event of Default occurs and is continuing, then the Trustee may pursue any available remedy to collect the payment of any amounts due with respect to the Notes or to enforce the performance of any provision of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Procedural Matters</w:t>
      </w:r>
      <w:r>
        <w:rPr>
          <w:rFonts w:ascii="Times New Roman" w:hAnsi="Times New Roman"/>
          <w:sz w:val="20"/>
        </w:rPr>
        <w:t xml:space="preserve">.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7.06. WAIVER OF PAST DEFAULTS.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pursuant to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(i)</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w:t>
      </w:r>
      <w:r>
        <w:rPr>
          <w:rFonts w:ascii="Times New Roman" w:hAnsi="Times New Roman"/>
          <w:b/>
          <w:sz w:val="20"/>
        </w:rPr>
        <w:t>(iv)</w:t>
      </w:r>
      <w:r>
        <w:rPr>
          <w:rFonts w:ascii="Times New Roman" w:hAnsi="Times New Roman"/>
          <w:sz w:val="20"/>
        </w:rPr>
        <w:t xml:space="preserve"> or </w:t>
      </w:r>
      <w:r>
        <w:rPr>
          <w:rFonts w:ascii="Times New Roman" w:hAnsi="Times New Roman"/>
          <w:b/>
          <w:sz w:val="20"/>
        </w:rPr>
        <w:t>(vii)</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(that, in the case of </w:t>
      </w:r>
      <w:r>
        <w:rPr>
          <w:rFonts w:ascii="Times New Roman" w:hAnsi="Times New Roman"/>
          <w:b/>
          <w:sz w:val="20"/>
        </w:rPr>
        <w:t>clause (vii)</w:t>
      </w:r>
      <w:r>
        <w:rPr>
          <w:rFonts w:ascii="Times New Roman" w:hAnsi="Times New Roman"/>
          <w:sz w:val="20"/>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impair any right arising therefrom. Each such waiver of a Default will have the effect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8.04(D)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7.07. CURE OF DEFAULTS; ABILITY TO CURE OR WAIVE BEFORE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and without limiting the manner in which any Default or Event of Default can be cured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(A) a Default or Event of Default consisting of a failure to send a notice in accordance with this Indenture will be cured upon the sending of such notice; (B) a Default or Event of Default in making any payment on (or delivering any other consideration in respect of) any Note will be cured upon the delivery, in accordance with this Indenture, of such payment (or other consideration) together, if applicable, with Default Interest thereon; and (C) a Default or Event of Default that is (or, after notice, passage of time or both, would be) a Reporting Event of Default will be cured upon the filing of the relevant report(s) giving rise to such Default. In addition, for the avoidance of doubt, if a Default that is not an Event of Default is cured or waived before such Default would have constituted an Event of Default, then no Event of Default will result from such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7.08. CONTROL BY MAJORITY. </w:t>
      </w:r>
    </w:p>
    <w:p>
      <w:pPr>
        <w:pStyle w:val="TextBody"/>
        <w:bidi w:val="0"/>
        <w:spacing w:before="120" w:after="0"/>
        <w:jc w:val="left"/>
        <w:rPr>
          <w:rFonts w:ascii="Times New Roman" w:hAnsi="Times New Roman"/>
          <w:sz w:val="20"/>
        </w:rPr>
      </w:pPr>
      <w:r>
        <w:rPr>
          <w:rFonts w:ascii="Times New Roman" w:hAnsi="Times New Roman"/>
          <w:sz w:val="20"/>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7.09. LIMITATION ON SUITS. </w:t>
      </w:r>
    </w:p>
    <w:p>
      <w:pPr>
        <w:pStyle w:val="TextBody"/>
        <w:bidi w:val="0"/>
        <w:spacing w:before="120" w:after="0"/>
        <w:jc w:val="left"/>
        <w:rPr>
          <w:rFonts w:ascii="Times New Roman" w:hAnsi="Times New Roman"/>
          <w:sz w:val="20"/>
        </w:rPr>
      </w:pPr>
      <w:r>
        <w:rPr>
          <w:rFonts w:ascii="Times New Roman" w:hAnsi="Times New Roman"/>
          <w:sz w:val="20"/>
        </w:rPr>
        <w:t xml:space="preserve">No Holder may pursue any remedy with respect to this Indenture or the Notes (except to enforce (x) its rights to receive the principal of, or the Fundamental Change Repurchase Price or Redemption Price for, or any interest on, any Notes; or (y) the Company’s obligations to Convert any Notes pursuant to </w:t>
      </w:r>
      <w:r>
        <w:rPr>
          <w:rFonts w:ascii="Times New Roman" w:hAnsi="Times New Roman"/>
          <w:b/>
          <w:sz w:val="20"/>
        </w:rPr>
        <w:t>Article 5</w:t>
      </w:r>
      <w:r>
        <w:rPr>
          <w:rFonts w:ascii="Times New Roman" w:hAnsi="Times New Roman"/>
          <w:sz w:val="20"/>
        </w:rPr>
        <w:t xml:space="preserve">), unless: </w:t>
      </w:r>
    </w:p>
    <w:p>
      <w:pPr>
        <w:pStyle w:val="TextBody"/>
        <w:bidi w:val="0"/>
        <w:spacing w:before="240" w:after="0"/>
        <w:jc w:val="left"/>
        <w:rPr>
          <w:rFonts w:ascii="Times New Roman" w:hAnsi="Times New Roman"/>
          <w:sz w:val="20"/>
        </w:rPr>
      </w:pPr>
      <w:r>
        <w:rPr>
          <w:rFonts w:ascii="Times New Roman" w:hAnsi="Times New Roman"/>
          <w:sz w:val="20"/>
        </w:rPr>
        <w:t xml:space="preserve">(A) such Holder has previously delivered to the Trustee notice that an Event of Default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Holders of at least twenty five percent (25%) in aggregate principal amount of the Notes then outstanding deliver a request to the Trustee to pursue such remedy; </w:t>
      </w:r>
    </w:p>
    <w:p>
      <w:pPr>
        <w:pStyle w:val="TextBody"/>
        <w:bidi w:val="0"/>
        <w:spacing w:before="240" w:after="0"/>
        <w:jc w:val="left"/>
        <w:rPr>
          <w:rFonts w:ascii="Times New Roman" w:hAnsi="Times New Roman"/>
          <w:sz w:val="20"/>
        </w:rPr>
      </w:pPr>
      <w:r>
        <w:rPr>
          <w:rFonts w:ascii="Times New Roman" w:hAnsi="Times New Roman"/>
          <w:sz w:val="20"/>
        </w:rPr>
        <w:t xml:space="preserve">(C) such Holder or Holders offer and, if requested, provide to the Trustee security and indemnity satisfactory to the Trustee against any loss, liability or expense to the Trustee that may result from the Trustee’s following such request; </w:t>
      </w:r>
    </w:p>
    <w:p>
      <w:pPr>
        <w:pStyle w:val="TextBody"/>
        <w:bidi w:val="0"/>
        <w:spacing w:before="240" w:after="0"/>
        <w:jc w:val="left"/>
        <w:rPr>
          <w:rFonts w:ascii="Times New Roman" w:hAnsi="Times New Roman"/>
          <w:sz w:val="20"/>
        </w:rPr>
      </w:pPr>
      <w:r>
        <w:rPr>
          <w:rFonts w:ascii="Times New Roman" w:hAnsi="Times New Roman"/>
          <w:sz w:val="20"/>
        </w:rPr>
        <w:t xml:space="preserve">(D) the Trustee does not comply with such request within sixty (60) calendar days after its receipt of such request and such offer of security or indemnity; and </w:t>
      </w:r>
    </w:p>
    <w:p>
      <w:pPr>
        <w:pStyle w:val="TextBody"/>
        <w:bidi w:val="0"/>
        <w:spacing w:before="240" w:after="0"/>
        <w:jc w:val="left"/>
        <w:rPr>
          <w:rFonts w:ascii="Times New Roman" w:hAnsi="Times New Roman"/>
          <w:sz w:val="20"/>
        </w:rPr>
      </w:pPr>
      <w:r>
        <w:rPr>
          <w:rFonts w:ascii="Times New Roman" w:hAnsi="Times New Roman"/>
          <w:sz w:val="20"/>
        </w:rPr>
        <w:t xml:space="preserve">(E) during such sixty (60) calendar day period, Holders of a majority in aggregate principal amount of the Notes then outstanding do not deliver to the Trustee a direction that is inconsistent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A Holder of a Note may not use this Indenture to prejudice the rights of another Holder or to obtain a preference or priority over another Holder. The Trustee will have no duty to determine whether any Holder’s use of this Indenture complies with the preceding sentence.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7.10. ABSOLUTE RIGHT OF HOLDERS TO INSTITUTE SUIT FOR THE ENFORCEMENT OF THE RIGHT TO RECEIVE PAYMENT AND CONVERSION CONSIDERATION.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Indenture or the Notes (but without limiting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the right of each Holder of a Note to bring suit for the enforcement of any payment or delivery, as applicable, of the principal of, or the Fundamental Change Repurchase Price or Redemption Price for, or any interest on, or the Conversion Consideration due pursuant to </w:t>
      </w:r>
      <w:r>
        <w:rPr>
          <w:rFonts w:ascii="Times New Roman" w:hAnsi="Times New Roman"/>
          <w:b/>
          <w:sz w:val="20"/>
        </w:rPr>
        <w:t>Article 5</w:t>
      </w:r>
      <w:r>
        <w:rPr>
          <w:rFonts w:ascii="Times New Roman" w:hAnsi="Times New Roman"/>
          <w:sz w:val="20"/>
        </w:rPr>
        <w:t xml:space="preserve"> upon Conversion of, such Note on or after the respective due dates therefor provided in this Indenture and the Notes, will not be impaired or affected without the consent of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7.11. COLLECTION SUIT BY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have the right, upon the occurrence and continuance of an Event of Default pursuant to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(i)</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or </w:t>
      </w:r>
      <w:r>
        <w:rPr>
          <w:rFonts w:ascii="Times New Roman" w:hAnsi="Times New Roman"/>
          <w:b/>
          <w:sz w:val="20"/>
        </w:rPr>
        <w:t>(iv)</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to recover judgment in its own name and as trustee of an express trust against the Company for the total unpaid or undelivered principal of, or Fundamental Change Repurchase Price or Redemption Price for, or any interest on, or Conversion Consideration due pursuant to </w:t>
      </w:r>
      <w:r>
        <w:rPr>
          <w:rFonts w:ascii="Times New Roman" w:hAnsi="Times New Roman"/>
          <w:b/>
          <w:sz w:val="20"/>
        </w:rPr>
        <w:t>Article 5</w:t>
      </w:r>
      <w:r>
        <w:rPr>
          <w:rFonts w:ascii="Times New Roman" w:hAnsi="Times New Roman"/>
          <w:sz w:val="20"/>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7.12. TRUSTEE MAY FILE PROOFS OF CLAIM. </w:t>
      </w:r>
    </w:p>
    <w:p>
      <w:pPr>
        <w:pStyle w:val="TextBody"/>
        <w:bidi w:val="0"/>
        <w:spacing w:before="120" w:after="0"/>
        <w:jc w:val="left"/>
        <w:rPr>
          <w:rFonts w:ascii="Times New Roman" w:hAnsi="Times New Roman"/>
          <w:sz w:val="20"/>
        </w:rPr>
      </w:pPr>
      <w:r>
        <w:rPr>
          <w:rFonts w:ascii="Times New Roman" w:hAnsi="Times New Roman"/>
          <w:sz w:val="20"/>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7.13. PRIORITIES.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pay or deliver in the following order any money or other property that it collects pursuant to this </w:t>
      </w:r>
      <w:r>
        <w:rPr>
          <w:rFonts w:ascii="Times New Roman" w:hAnsi="Times New Roman"/>
          <w:b/>
          <w:sz w:val="20"/>
        </w:rPr>
        <w:t>Article 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Trustee and its agents and attorneys for amounts due under </w:t>
      </w: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including payment of all fees and compensation of, and all expenses and liabilities incurred, and all advances made, by, the Trustee (in each of its capacities under this Indenture, including as Note Agent) and the costs and expenses of collection;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Holders for unpaid amounts or other property due on the Notes, including the principal of, or the Fundamental Change Repurchase Price or Redemption Price for, or any interest on, or any Conversion Consideration due upon Conversion of, the Notes, ratably, and without preference or priority of any kind, according to such amounts or other property due and payable on all of the Notes;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the Company or such other Person as a court of competent jurisdiction directs.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fix a record date and payment date for any payment or delivery to the Holders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7.13</w:t>
      </w:r>
      <w:r>
        <w:rPr>
          <w:rFonts w:ascii="Times New Roman" w:hAnsi="Times New Roman"/>
          <w:sz w:val="20"/>
        </w:rPr>
        <w:t xml:space="preserve">,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7.14. UNDERTAKING FOR COSTS. </w:t>
      </w:r>
    </w:p>
    <w:p>
      <w:pPr>
        <w:pStyle w:val="TextBody"/>
        <w:bidi w:val="0"/>
        <w:spacing w:before="120" w:after="0"/>
        <w:jc w:val="left"/>
        <w:rPr>
          <w:rFonts w:ascii="Times New Roman" w:hAnsi="Times New Roman"/>
          <w:sz w:val="20"/>
        </w:rPr>
      </w:pPr>
      <w:r>
        <w:rPr>
          <w:rFonts w:ascii="Times New Roman" w:hAnsi="Times New Roman"/>
          <w:sz w:val="20"/>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w:t>
      </w:r>
      <w:r>
        <w:rPr>
          <w:rFonts w:ascii="Times New Roman" w:hAnsi="Times New Roman"/>
          <w:b/>
          <w:sz w:val="20"/>
        </w:rPr>
        <w:t>Section</w:t>
      </w:r>
      <w:r>
        <w:rPr>
          <w:rFonts w:ascii="Times New Roman" w:hAnsi="Times New Roman"/>
          <w:sz w:val="20"/>
        </w:rPr>
        <w:t> </w:t>
      </w:r>
      <w:r>
        <w:rPr>
          <w:rFonts w:ascii="Times New Roman" w:hAnsi="Times New Roman"/>
          <w:b/>
          <w:sz w:val="20"/>
        </w:rPr>
        <w:t>7.14</w:t>
      </w:r>
      <w:r>
        <w:rPr>
          <w:rFonts w:ascii="Times New Roman" w:hAnsi="Times New Roman"/>
          <w:sz w:val="20"/>
        </w:rPr>
        <w:t xml:space="preserve"> does not apply to any suit by the Trustee, any suit by a Holder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7.10</w:t>
      </w:r>
      <w:r>
        <w:rPr>
          <w:rFonts w:ascii="Times New Roman" w:hAnsi="Times New Roman"/>
          <w:sz w:val="20"/>
        </w:rPr>
        <w:t xml:space="preserve"> or any suit by one or more Holders of more than ten percent (10%) in aggregate principal amount of the Notes then outstanding.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AMENDMENTS, SUPPLEMENTS AND WAIVERS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8.01. WITHOUT THE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the Company and the Trustee may amend or supplement this Indenture or the Notes without the consent of any Holder to: </w:t>
      </w:r>
    </w:p>
    <w:p>
      <w:pPr>
        <w:pStyle w:val="TextBody"/>
        <w:bidi w:val="0"/>
        <w:spacing w:before="240" w:after="0"/>
        <w:jc w:val="left"/>
        <w:rPr>
          <w:rFonts w:ascii="Times New Roman" w:hAnsi="Times New Roman"/>
          <w:sz w:val="20"/>
        </w:rPr>
      </w:pPr>
      <w:r>
        <w:rPr>
          <w:rFonts w:ascii="Times New Roman" w:hAnsi="Times New Roman"/>
          <w:sz w:val="20"/>
        </w:rPr>
        <w:t xml:space="preserve">(A) cure any ambiguity or correct any omission, defect or inconsistency in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(B) add guarantees with respect to the Company’s obligations under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(C) secure the Notes; </w:t>
      </w:r>
    </w:p>
    <w:p>
      <w:pPr>
        <w:pStyle w:val="TextBody"/>
        <w:bidi w:val="0"/>
        <w:spacing w:before="240" w:after="0"/>
        <w:jc w:val="left"/>
        <w:rPr>
          <w:rFonts w:ascii="Times New Roman" w:hAnsi="Times New Roman"/>
          <w:sz w:val="20"/>
        </w:rPr>
      </w:pPr>
      <w:r>
        <w:rPr>
          <w:rFonts w:ascii="Times New Roman" w:hAnsi="Times New Roman"/>
          <w:sz w:val="20"/>
        </w:rPr>
        <w:t xml:space="preserve">(D) add to the Company’s covenants or Events of Default for the benefit of the Holders or surrender any right or power conferred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(E) provide for the assumption of the Company’s obligations under this Indenture and the Notes pursuant to, and in compliance with, </w:t>
      </w:r>
      <w:r>
        <w:rPr>
          <w:rFonts w:ascii="Times New Roman" w:hAnsi="Times New Roman"/>
          <w:b/>
          <w:sz w:val="20"/>
        </w:rPr>
        <w:t>Article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enter into supplemental indentures pursuant to, and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in connection with a Common Share Change Event; </w:t>
      </w:r>
    </w:p>
    <w:p>
      <w:pPr>
        <w:pStyle w:val="TextBody"/>
        <w:bidi w:val="0"/>
        <w:spacing w:before="240" w:after="0"/>
        <w:jc w:val="left"/>
        <w:rPr>
          <w:rFonts w:ascii="Times New Roman" w:hAnsi="Times New Roman"/>
          <w:sz w:val="20"/>
        </w:rPr>
      </w:pPr>
      <w:r>
        <w:rPr>
          <w:rFonts w:ascii="Times New Roman" w:hAnsi="Times New Roman"/>
          <w:sz w:val="20"/>
        </w:rPr>
        <w:t xml:space="preserve">(G) irrevocably elect or eliminate any Settlement Method or Specified Dollar Amount;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election or elimination will affect any Settlement Method theretofore elected (or deemed to be elected) with respect to any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evidence or provide for the acceptance of the appointment, under this Indenture, of a successor Trustee, Registrar, Paying Agent, Bid Solicitation Agent or Conversion Agent or to facilitate the administration of the trusts under this Indenture by more than one Trustee; </w:t>
      </w:r>
    </w:p>
    <w:p>
      <w:pPr>
        <w:pStyle w:val="TextBody"/>
        <w:bidi w:val="0"/>
        <w:spacing w:before="240" w:after="0"/>
        <w:jc w:val="left"/>
        <w:rPr>
          <w:rFonts w:ascii="Times New Roman" w:hAnsi="Times New Roman"/>
          <w:sz w:val="20"/>
        </w:rPr>
      </w:pPr>
      <w:r>
        <w:rPr>
          <w:rFonts w:ascii="Times New Roman" w:hAnsi="Times New Roman"/>
          <w:sz w:val="20"/>
        </w:rPr>
        <w:t xml:space="preserve">(I) conform the provisions of this Indenture and the Notes to the “Description of Notes” section of the Company’s preliminary offering memorandum, dated June 30, 2026, as supplemented by the related pricing term sheet, dated July 1, 2026; </w:t>
      </w:r>
    </w:p>
    <w:p>
      <w:pPr>
        <w:pStyle w:val="TextBody"/>
        <w:bidi w:val="0"/>
        <w:spacing w:before="240" w:after="0"/>
        <w:jc w:val="left"/>
        <w:rPr>
          <w:rFonts w:ascii="Times New Roman" w:hAnsi="Times New Roman"/>
          <w:sz w:val="20"/>
        </w:rPr>
      </w:pPr>
      <w:r>
        <w:rPr>
          <w:rFonts w:ascii="Times New Roman" w:hAnsi="Times New Roman"/>
          <w:sz w:val="20"/>
        </w:rPr>
        <w:t xml:space="preserve">(J) increase the Conversion Rate as provided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(K) provide for or confirm the issuance of additional Notes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comply with any requirement of the SEC in connection with any qualification of this Indenture, or any related supplemental indenture, under the Trust Indenture Act, as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(M) comply with the Depositary Procedures in a manner that does not adversely affect the rights of any Holders; or </w:t>
      </w:r>
    </w:p>
    <w:p>
      <w:pPr>
        <w:pStyle w:val="TextBody"/>
        <w:bidi w:val="0"/>
        <w:spacing w:before="240" w:after="0"/>
        <w:jc w:val="left"/>
        <w:rPr>
          <w:rFonts w:ascii="Times New Roman" w:hAnsi="Times New Roman"/>
          <w:sz w:val="20"/>
        </w:rPr>
      </w:pPr>
      <w:r>
        <w:rPr>
          <w:rFonts w:ascii="Times New Roman" w:hAnsi="Times New Roman"/>
          <w:sz w:val="20"/>
        </w:rPr>
        <w:t xml:space="preserve">(N) make any other change to this Indenture or the Notes that does not, individually or in the aggregate with all other such changes, adversely affect the rights of the Holders, as such, in any material respect, as determined by the Company in good faith. </w:t>
      </w:r>
    </w:p>
    <w:p>
      <w:pPr>
        <w:pStyle w:val="TextBody"/>
        <w:bidi w:val="0"/>
        <w:spacing w:before="240" w:after="0"/>
        <w:jc w:val="left"/>
        <w:rPr>
          <w:rFonts w:ascii="Times New Roman" w:hAnsi="Times New Roman"/>
          <w:sz w:val="20"/>
        </w:rPr>
      </w:pPr>
      <w:r>
        <w:rPr>
          <w:rFonts w:ascii="Times New Roman" w:hAnsi="Times New Roman"/>
          <w:sz w:val="20"/>
        </w:rPr>
        <w:t xml:space="preserve">At the written request of any Holder of a Note or owner of a beneficial interest in a Global Note, the Company will provide a copy of the “Description of Notes” section and pricing term sheet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8.01(I)</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8.02. WITH THE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Sections 8.01</w:t>
      </w:r>
      <w:r>
        <w:rPr>
          <w:rFonts w:ascii="Times New Roman" w:hAnsi="Times New Roman"/>
          <w:sz w:val="20"/>
        </w:rPr>
        <w:t xml:space="preserve">, </w:t>
      </w:r>
      <w:r>
        <w:rPr>
          <w:rFonts w:ascii="Times New Roman" w:hAnsi="Times New Roman"/>
          <w:b/>
          <w:sz w:val="20"/>
        </w:rPr>
        <w:t>7.06</w:t>
      </w:r>
      <w:r>
        <w:rPr>
          <w:rFonts w:ascii="Times New Roman" w:hAnsi="Times New Roman"/>
          <w:sz w:val="20"/>
        </w:rPr>
        <w:t xml:space="preserve"> and </w:t>
      </w:r>
      <w:r>
        <w:rPr>
          <w:rFonts w:ascii="Times New Roman" w:hAnsi="Times New Roman"/>
          <w:b/>
          <w:sz w:val="20"/>
        </w:rPr>
        <w:t>7.10</w:t>
      </w:r>
      <w:r>
        <w:rPr>
          <w:rFonts w:ascii="Times New Roman" w:hAnsi="Times New Roman"/>
          <w:sz w:val="20"/>
        </w:rPr>
        <w:t xml:space="preserve"> and the immediately following sentence, the Company and the Trustee may, with the 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without the consent of each affected Holder, no amendment or supplement to this Indenture or the Notes, or waiver of any provision of this Indenture or the Notes, may: </w:t>
      </w:r>
    </w:p>
    <w:p>
      <w:pPr>
        <w:pStyle w:val="TextBody"/>
        <w:bidi w:val="0"/>
        <w:spacing w:before="120" w:after="0"/>
        <w:jc w:val="left"/>
        <w:rPr>
          <w:rFonts w:ascii="Times New Roman" w:hAnsi="Times New Roman"/>
          <w:sz w:val="20"/>
        </w:rPr>
      </w:pPr>
      <w:r>
        <w:rPr>
          <w:rFonts w:ascii="Times New Roman" w:hAnsi="Times New Roman"/>
          <w:sz w:val="20"/>
        </w:rPr>
        <w:t xml:space="preserve">(i) reduce the principal, or change the stated maturity, of any Note; </w:t>
      </w:r>
    </w:p>
    <w:p>
      <w:pPr>
        <w:pStyle w:val="TextBody"/>
        <w:bidi w:val="0"/>
        <w:spacing w:before="120" w:after="0"/>
        <w:jc w:val="left"/>
        <w:rPr>
          <w:rFonts w:ascii="Times New Roman" w:hAnsi="Times New Roman"/>
          <w:sz w:val="20"/>
        </w:rPr>
      </w:pPr>
      <w:r>
        <w:rPr>
          <w:rFonts w:ascii="Times New Roman" w:hAnsi="Times New Roman"/>
          <w:sz w:val="20"/>
        </w:rPr>
        <w:t xml:space="preserve">(ii) reduce the Redemption Price or Fundamental Change Repurchase Price for any Note or change the times at which, or the circumstances under which, the Notes may or will be redeemed or repurchased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amend the definition of “Termination of Trading” or change the times at which, or the circumstances under which, the Company may elect to offer to repurchase the Notes as the sole remedy for an Event of Default arising from a Termination of Trading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reduce the rate, or extend the stated time for the payment, of interest on any Note; </w:t>
      </w:r>
    </w:p>
    <w:p>
      <w:pPr>
        <w:pStyle w:val="TextBody"/>
        <w:bidi w:val="0"/>
        <w:spacing w:before="120" w:after="0"/>
        <w:jc w:val="left"/>
        <w:rPr>
          <w:rFonts w:ascii="Times New Roman" w:hAnsi="Times New Roman"/>
          <w:sz w:val="20"/>
        </w:rPr>
      </w:pPr>
      <w:r>
        <w:rPr>
          <w:rFonts w:ascii="Times New Roman" w:hAnsi="Times New Roman"/>
          <w:sz w:val="20"/>
        </w:rPr>
        <w:t xml:space="preserve">(v) make any change that adversely affects the Conversion rights of any Note; </w:t>
      </w:r>
    </w:p>
    <w:p>
      <w:pPr>
        <w:pStyle w:val="TextBody"/>
        <w:bidi w:val="0"/>
        <w:spacing w:before="120" w:after="0"/>
        <w:jc w:val="left"/>
        <w:rPr>
          <w:rFonts w:ascii="Times New Roman" w:hAnsi="Times New Roman"/>
          <w:sz w:val="20"/>
        </w:rPr>
      </w:pPr>
      <w:r>
        <w:rPr>
          <w:rFonts w:ascii="Times New Roman" w:hAnsi="Times New Roman"/>
          <w:sz w:val="20"/>
        </w:rPr>
        <w:t xml:space="preserve">(vi) impair the rights of any Holder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7.10</w:t>
      </w:r>
      <w:r>
        <w:rPr>
          <w:rFonts w:ascii="Times New Roman" w:hAnsi="Times New Roman"/>
          <w:sz w:val="20"/>
        </w:rPr>
        <w:t xml:space="preserve"> (as such section is in effect on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(vii) change the ranking of the Notes; </w:t>
      </w:r>
    </w:p>
    <w:p>
      <w:pPr>
        <w:pStyle w:val="TextBody"/>
        <w:bidi w:val="0"/>
        <w:spacing w:before="120" w:after="0"/>
        <w:jc w:val="left"/>
        <w:rPr>
          <w:rFonts w:ascii="Times New Roman" w:hAnsi="Times New Roman"/>
          <w:sz w:val="20"/>
        </w:rPr>
      </w:pPr>
      <w:r>
        <w:rPr>
          <w:rFonts w:ascii="Times New Roman" w:hAnsi="Times New Roman"/>
          <w:sz w:val="20"/>
        </w:rPr>
        <w:t xml:space="preserve">(viii) make any Note payable in money, or at a place of payment, other than that stated in this Indenture or the Note; </w:t>
      </w:r>
    </w:p>
    <w:p>
      <w:pPr>
        <w:pStyle w:val="TextBody"/>
        <w:bidi w:val="0"/>
        <w:spacing w:before="120" w:after="0"/>
        <w:jc w:val="left"/>
        <w:rPr>
          <w:rFonts w:ascii="Times New Roman" w:hAnsi="Times New Roman"/>
          <w:sz w:val="20"/>
        </w:rPr>
      </w:pPr>
      <w:r>
        <w:rPr>
          <w:rFonts w:ascii="Times New Roman" w:hAnsi="Times New Roman"/>
          <w:sz w:val="20"/>
        </w:rPr>
        <w:t xml:space="preserve">(ix) make any direct or indirect change to </w:t>
      </w:r>
      <w:r>
        <w:rPr>
          <w:rFonts w:ascii="Times New Roman" w:hAnsi="Times New Roman"/>
          <w:b/>
          <w:sz w:val="20"/>
        </w:rPr>
        <w:t>Section</w:t>
      </w:r>
      <w:r>
        <w:rPr>
          <w:rFonts w:ascii="Times New Roman" w:hAnsi="Times New Roman"/>
          <w:sz w:val="20"/>
        </w:rPr>
        <w:t> </w:t>
      </w:r>
      <w:r>
        <w:rPr>
          <w:rFonts w:ascii="Times New Roman" w:hAnsi="Times New Roman"/>
          <w:b/>
          <w:sz w:val="20"/>
        </w:rPr>
        <w:t>3.05</w:t>
      </w:r>
      <w:r>
        <w:rPr>
          <w:rFonts w:ascii="Times New Roman" w:hAnsi="Times New Roman"/>
          <w:sz w:val="20"/>
        </w:rPr>
        <w:t xml:space="preserve"> in any manner that is adverse to the rights of the Holders or beneficial owners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(x) reduce the amount of Notes whose Holders must consent to any amendment, supplement, waiver or other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(xi) make any direct or indirect change to any amendment, supplement, waiver or modification provision of this Indenture or the Notes that requires the consent of each affected Holder.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Holders Need Not Approve the Particular Form of any Amendment</w:t>
      </w:r>
      <w:r>
        <w:rPr>
          <w:rFonts w:ascii="Times New Roman" w:hAnsi="Times New Roman"/>
          <w:sz w:val="20"/>
        </w:rPr>
        <w:t xml:space="preserve">. A consent of any Holder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need approve only the substance, and not necessarily the particular form, of the proposed amendment, supplement or waiver.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8.03. NOTICE OF AMENDMENTS, SUPPLEMENTS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any amendment, supplement or waiver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or </w:t>
      </w:r>
      <w:r>
        <w:rPr>
          <w:rFonts w:ascii="Times New Roman" w:hAnsi="Times New Roman"/>
          <w:b/>
          <w:sz w:val="20"/>
        </w:rPr>
        <w:t>8.02</w:t>
      </w:r>
      <w:r>
        <w:rPr>
          <w:rFonts w:ascii="Times New Roman" w:hAnsi="Times New Roman"/>
          <w:sz w:val="20"/>
        </w:rPr>
        <w:t xml:space="preserve"> becomes effective, the Company will send to the Holders and the Trustee notice that (A) describes the substance of such amendment, supplement or waiver in reasonable detail and (B) states the effective date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8.04. REVOCATION, EFFECT AND SOLICITATION OF CONSENTS; SPECIAL RECORD DATES;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Revocation and Effect of Consents</w:t>
      </w:r>
      <w:r>
        <w:rPr>
          <w:rFonts w:ascii="Times New Roman" w:hAnsi="Times New Roman"/>
          <w:sz w:val="20"/>
        </w:rPr>
        <w:t xml:space="preserve">.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8.04(B)</w:t>
      </w:r>
      <w:r>
        <w:rPr>
          <w:rFonts w:ascii="Times New Roman" w:hAnsi="Times New Roman"/>
          <w:sz w:val="20"/>
        </w:rPr>
        <w:t xml:space="preserve">) any such consent with respect to such Note by delivering notice of revocation to the Trustee before the time such amendment, supplement or waiver becomes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Special Record Dates</w:t>
      </w:r>
      <w:r>
        <w:rPr>
          <w:rFonts w:ascii="Times New Roman" w:hAnsi="Times New Roman"/>
          <w:sz w:val="20"/>
        </w:rPr>
        <w:t xml:space="preserve">. The Company may, but is not required to, fix a record date for the purpose of determining the Holders entitled to consent or take any other action in connection with any amendment, supplement or waiver pursuant to this </w:t>
      </w:r>
      <w:r>
        <w:rPr>
          <w:rFonts w:ascii="Times New Roman" w:hAnsi="Times New Roman"/>
          <w:b/>
          <w:sz w:val="20"/>
        </w:rPr>
        <w:t>Article 8</w:t>
      </w:r>
      <w:r>
        <w:rPr>
          <w:rFonts w:ascii="Times New Roman" w:hAnsi="Times New Roman"/>
          <w:sz w:val="20"/>
        </w:rPr>
        <w:t xml:space="preserve">. If a record date is fixed, then,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8.04(A)</w:t>
      </w:r>
      <w:r>
        <w:rPr>
          <w:rFonts w:ascii="Times New Roman" w:hAnsi="Times New Roman"/>
          <w:sz w:val="20"/>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consent will be valid or effective for more than one hundred and twenty (120) calendar days after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Solicitation of Consents</w:t>
      </w:r>
      <w:r>
        <w:rPr>
          <w:rFonts w:ascii="Times New Roman" w:hAnsi="Times New Roman"/>
          <w:sz w:val="20"/>
        </w:rPr>
        <w:t xml:space="preserve">. For the avoidance of doubt, each reference in this Indenture or the Notes to the consent of a Holder will be deemed to include any such consent obtained in connection with a repurchase of, or tender or exchange offer for, any Notes.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Effectiveness and Binding Effect</w:t>
      </w:r>
      <w:r>
        <w:rPr>
          <w:rFonts w:ascii="Times New Roman" w:hAnsi="Times New Roman"/>
          <w:sz w:val="20"/>
        </w:rPr>
        <w:t xml:space="preserve">. Each amendment or supplement to this Indenture or the Notes, or waiver of any Default, Event of Default or compliance with any provision of this Indenture or the Notes, will become effective in accordance with its terms and, when it becomes effective with respect to any Note (or any portion thereof), will thereafter bind every Holder of such Note (or such portion).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8.05. NOTATIONS AND EXCHANGES. </w:t>
      </w:r>
    </w:p>
    <w:p>
      <w:pPr>
        <w:pStyle w:val="TextBody"/>
        <w:bidi w:val="0"/>
        <w:spacing w:before="120" w:after="0"/>
        <w:jc w:val="left"/>
        <w:rPr>
          <w:rFonts w:ascii="Times New Roman" w:hAnsi="Times New Roman"/>
          <w:sz w:val="20"/>
        </w:rPr>
      </w:pPr>
      <w:r>
        <w:rPr>
          <w:rFonts w:ascii="Times New Roman" w:hAnsi="Times New Roman"/>
          <w:sz w:val="20"/>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a new Note that reflects the changed terms. The failure to make any appropriate notation or issue a new Note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will not impair or affect the validity of such amendment, supplement or waiver.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8.06. TRUSTEE TO EXECUTE SUPPLEMENTAL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execute and deliver any amendment or supplemental indenture authorized pursuant to this </w:t>
      </w:r>
      <w:r>
        <w:rPr>
          <w:rFonts w:ascii="Times New Roman" w:hAnsi="Times New Roman"/>
          <w:b/>
          <w:sz w:val="20"/>
        </w:rPr>
        <w:t>Article 8</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need not (but may, in its sole and absolute discretion) execute or deliver any such amendment or supplemental indenture that the Trustee concludes adversely affects the Trustee’s rights, duties, liabilities or immunities. In executing any amendment or supplemental indenture, the Trustee will be entitled to receive, and (subject to </w:t>
      </w:r>
      <w:r>
        <w:rPr>
          <w:rFonts w:ascii="Times New Roman" w:hAnsi="Times New Roman"/>
          <w:b/>
          <w:sz w:val="20"/>
        </w:rPr>
        <w:t>Sections</w:t>
      </w:r>
      <w:r>
        <w:rPr>
          <w:rFonts w:ascii="Times New Roman" w:hAnsi="Times New Roman"/>
          <w:sz w:val="20"/>
        </w:rPr>
        <w:t xml:space="preserve"> </w:t>
      </w:r>
      <w:r>
        <w:rPr>
          <w:rFonts w:ascii="Times New Roman" w:hAnsi="Times New Roman"/>
          <w:b/>
          <w:sz w:val="20"/>
        </w:rPr>
        <w:t>10.01</w:t>
      </w:r>
      <w:r>
        <w:rPr>
          <w:rFonts w:ascii="Times New Roman" w:hAnsi="Times New Roman"/>
          <w:sz w:val="20"/>
        </w:rPr>
        <w:t xml:space="preserve"> and </w:t>
      </w:r>
      <w:r>
        <w:rPr>
          <w:rFonts w:ascii="Times New Roman" w:hAnsi="Times New Roman"/>
          <w:b/>
          <w:sz w:val="20"/>
        </w:rPr>
        <w:t>10.02</w:t>
      </w:r>
      <w:r>
        <w:rPr>
          <w:rFonts w:ascii="Times New Roman" w:hAnsi="Times New Roman"/>
          <w:sz w:val="20"/>
        </w:rPr>
        <w:t xml:space="preserve">)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- 85 -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SATISFACTION AND DISCHARGE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9.01. TERMINATION OF COMPANY’S OBLIGATIONS.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will be discharged, and will cease to be of further effect as to all Notes issued under this Indenture, when: </w:t>
      </w:r>
    </w:p>
    <w:p>
      <w:pPr>
        <w:pStyle w:val="TextBody"/>
        <w:bidi w:val="0"/>
        <w:spacing w:before="240" w:after="0"/>
        <w:jc w:val="left"/>
        <w:rPr>
          <w:rFonts w:ascii="Times New Roman" w:hAnsi="Times New Roman"/>
          <w:sz w:val="20"/>
        </w:rPr>
      </w:pPr>
      <w:r>
        <w:rPr>
          <w:rFonts w:ascii="Times New Roman" w:hAnsi="Times New Roman"/>
          <w:sz w:val="20"/>
        </w:rPr>
        <w:t xml:space="preserve">(A) all Notes then outstanding (other than Notes replaced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2.13</w:t>
      </w:r>
      <w:r>
        <w:rPr>
          <w:rFonts w:ascii="Times New Roman" w:hAnsi="Times New Roman"/>
          <w:sz w:val="20"/>
        </w:rPr>
        <w:t xml:space="preserve">) have (i) been delivered to the Trustee for cancellation; or (ii) become due and payable (whether on a Redemption Date, a Fundamental Change Repurchase Date, the Maturity Date, upon Conversion or otherwise) for an amount of cash or Conversion Consideration, as applicable, that has been fixed;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(including, if applicable, all related Additional Amounts) due on all Notes then outstanding (other than Notes replaced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paid all other amounts payable by it under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delivered to the Trustee an Officer’s Certificate and an Opinion of Counsel, each stating that the conditions precedent to the discharge of this Indenture have been satisfied;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r>
        <w:rPr>
          <w:rFonts w:ascii="Times New Roman" w:hAnsi="Times New Roman"/>
          <w:b/>
          <w:sz w:val="20"/>
        </w:rPr>
        <w:t>Article 10</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will survive such discharge and, until no Notes remain outstanding, </w:t>
      </w:r>
      <w:r>
        <w:rPr>
          <w:rFonts w:ascii="Times New Roman" w:hAnsi="Times New Roman"/>
          <w:b/>
          <w:sz w:val="20"/>
        </w:rPr>
        <w:t>Section</w:t>
      </w:r>
      <w:r>
        <w:rPr>
          <w:rFonts w:ascii="Times New Roman" w:hAnsi="Times New Roman"/>
          <w:sz w:val="20"/>
        </w:rPr>
        <w:t> </w:t>
      </w:r>
      <w:r>
        <w:rPr>
          <w:rFonts w:ascii="Times New Roman" w:hAnsi="Times New Roman"/>
          <w:b/>
          <w:sz w:val="20"/>
        </w:rPr>
        <w:t>2.15</w:t>
      </w:r>
      <w:r>
        <w:rPr>
          <w:rFonts w:ascii="Times New Roman" w:hAnsi="Times New Roman"/>
          <w:sz w:val="20"/>
        </w:rPr>
        <w:t xml:space="preserve"> and the obligations of the Trustee, the Paying Agent and the Conversion Agent with respect to money or other property deposited with them will survive such discharge.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will acknowledge the satisfaction and discharge of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9.02. REPAYMENT TO COMPANY.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9.03. REINSTATEMENT.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the Paying Agent or the Conversion Agent is unable to apply any cash or other property deposited with it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will be rescinded;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10.01. DUTIES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and a Responsible Officer of the Trustee has written notice or actual knowledge of the same, then, 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10.02(F)</w:t>
      </w:r>
      <w:r>
        <w:rPr>
          <w:rFonts w:ascii="Times New Roman" w:hAnsi="Times New Roman"/>
          <w:sz w:val="20"/>
        </w:rPr>
        <w:t xml:space="preserve">, the Trustee will exercise such of the rights and powers vested in it by this Indenture, and use the same degree of care and skill in its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will examine the certificates and opinions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not be relieved from liabilities for its negligence or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paragraph will not limit the effect of </w:t>
      </w:r>
      <w:r>
        <w:rPr>
          <w:rFonts w:ascii="Times New Roman" w:hAnsi="Times New Roman"/>
          <w:b/>
          <w:sz w:val="20"/>
        </w:rPr>
        <w:t>Section</w:t>
      </w:r>
      <w:r>
        <w:rPr>
          <w:rFonts w:ascii="Times New Roman" w:hAnsi="Times New Roman"/>
          <w:sz w:val="20"/>
        </w:rPr>
        <w:t> </w:t>
      </w:r>
      <w:r>
        <w:rPr>
          <w:rFonts w:ascii="Times New Roman" w:hAnsi="Times New Roman"/>
          <w:b/>
          <w:sz w:val="20"/>
        </w:rPr>
        <w:t>10.01(B)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will not be liable for any error of judgment made in good faith by a Responsible Officer, unless it is proved that the Trustee was negligent in ascertaining the pertinent facts; and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will not be liable with respect to any action it takes or omits to take in good faith in accordance with a direction received by it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 provision of this Indenture will require the Trustee to expend or risk its own funds or incur any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Trustee will not be liable for interest on any money received by it, except as the Trustee may agree in writing with the Company. Money held in trust by the Trustee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(F) The Trustee will not be liable in its individual capacity for the obligations evidenced by the Notes. </w:t>
      </w:r>
    </w:p>
    <w:p>
      <w:pPr>
        <w:pStyle w:val="TextBody"/>
        <w:bidi w:val="0"/>
        <w:spacing w:before="240" w:after="0"/>
        <w:jc w:val="left"/>
        <w:rPr>
          <w:rFonts w:ascii="Times New Roman" w:hAnsi="Times New Roman"/>
          <w:sz w:val="20"/>
        </w:rPr>
      </w:pPr>
      <w:r>
        <w:rPr>
          <w:rFonts w:ascii="Times New Roman" w:hAnsi="Times New Roman"/>
          <w:sz w:val="20"/>
        </w:rPr>
        <w:t xml:space="preserve">(G) Each provision of this Indenture that in any way relates to the Trustee (including any provision that affects the liability of, or affords protection to, the Trustee) is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regardless of whether such provision so expressly provides.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10.02. RIGHTS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on any document that it believes to be genuine and signed or presented by the proper Person, and the Trustee need not investigate any fact or matter stated in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act through its attorneys and agents and will not be responsible for the misconduct or negligence of any such agent appointed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will not be liable for any action it takes or omits to take in good faith and that it believes to be authorized or within the rights or powers vested in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Unless otherwise specifically provided in this Indenture, any demand, request, direction or notice from the Company will be sufficient if signed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 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(G) The Trustee will not be responsible or liable for any punitive, special, indirect or consequential loss or damage (including lost profits), even if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(H) The permissive rights of the Trustee set forth in this Indenture will not be construed as duties imposed on the Trustee. </w:t>
      </w:r>
    </w:p>
    <w:p>
      <w:pPr>
        <w:pStyle w:val="TextBody"/>
        <w:bidi w:val="0"/>
        <w:spacing w:before="240" w:after="0"/>
        <w:jc w:val="left"/>
        <w:rPr>
          <w:rFonts w:ascii="Times New Roman" w:hAnsi="Times New Roman"/>
          <w:sz w:val="20"/>
        </w:rPr>
      </w:pPr>
      <w:r>
        <w:rPr>
          <w:rFonts w:ascii="Times New Roman" w:hAnsi="Times New Roman"/>
          <w:sz w:val="20"/>
        </w:rPr>
        <w:t xml:space="preserve">(I) The Trustee will not be required to give any bond or surety in respect of the execution or performance of this Indenture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Unless a Responsible Officer of the Trustee has received notice from the Company that Additional Amounts, Additional Interest or Special Interest is owing or, if applicable, accruing, on the Notes, the Trustee may assume that no Additional Amounts, Additional Interest or Special Interest, as applicable, is payable or, if applicable, accruing. </w:t>
      </w:r>
    </w:p>
    <w:p>
      <w:pPr>
        <w:pStyle w:val="TextBody"/>
        <w:bidi w:val="0"/>
        <w:spacing w:before="240" w:after="0"/>
        <w:jc w:val="left"/>
        <w:rPr>
          <w:rFonts w:ascii="Times New Roman" w:hAnsi="Times New Roman"/>
          <w:sz w:val="20"/>
        </w:rPr>
      </w:pPr>
      <w:r>
        <w:rPr>
          <w:rFonts w:ascii="Times New Roman" w:hAnsi="Times New Roman"/>
          <w:sz w:val="20"/>
        </w:rPr>
        <w:t xml:space="preserve">(K) The rights, privileges, protections, immunities and benefits given to the Trustee, including its right to be indemnified, are extended to, and will be enforceable by, the Trustee in each of its capacities under this Indenture, including as Note Agent. </w:t>
      </w:r>
    </w:p>
    <w:p>
      <w:pPr>
        <w:pStyle w:val="TextBody"/>
        <w:bidi w:val="0"/>
        <w:spacing w:before="240" w:after="0"/>
        <w:jc w:val="left"/>
        <w:rPr>
          <w:rFonts w:ascii="Times New Roman" w:hAnsi="Times New Roman"/>
          <w:sz w:val="20"/>
        </w:rPr>
      </w:pPr>
      <w:r>
        <w:rPr>
          <w:rFonts w:ascii="Times New Roman" w:hAnsi="Times New Roman"/>
          <w:sz w:val="20"/>
        </w:rPr>
        <w:t xml:space="preserve">(L) The Trustee will not be charged with knowledge of any document or agreement other than this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(M) 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10.03. INDIVIDUAL RIGHTS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hAnsi="Times New Roman"/>
          <w:b/>
          <w:sz w:val="20"/>
        </w:rPr>
        <w:t>Section</w:t>
      </w:r>
      <w:r>
        <w:rPr>
          <w:rFonts w:ascii="Times New Roman" w:hAnsi="Times New Roman"/>
          <w:sz w:val="20"/>
        </w:rPr>
        <w:t> </w:t>
      </w:r>
      <w:r>
        <w:rPr>
          <w:rFonts w:ascii="Times New Roman" w:hAnsi="Times New Roman"/>
          <w:b/>
          <w:sz w:val="20"/>
        </w:rPr>
        <w:t>10.03</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10.04. TRUSTEE’S DISCLAIMER.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10.05. NOTICE OF DEFAULTS. </w:t>
      </w:r>
    </w:p>
    <w:p>
      <w:pPr>
        <w:pStyle w:val="TextBody"/>
        <w:bidi w:val="0"/>
        <w:spacing w:before="120" w:after="0"/>
        <w:jc w:val="left"/>
        <w:rPr>
          <w:rFonts w:ascii="Times New Roman" w:hAnsi="Times New Roman"/>
          <w:sz w:val="20"/>
        </w:rPr>
      </w:pPr>
      <w:r>
        <w:rPr>
          <w:rFonts w:ascii="Times New Roman" w:hAnsi="Times New Roman"/>
          <w:sz w:val="20"/>
        </w:rPr>
        <w:t xml:space="preserve">If a Default occurs and is continuing and is actually known to a Responsible Officer of the Trustee, then the Trustee will send Holders a notice of such Default within ninety (90) days after it occurs or, if it is not actually known to a Responsible Officer of the Trustee at such time, promptly (and in any event within ten (10) Business Days) after it becomes actually known to a Responsible Officer of the Trustee;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in the case of a Default in the payment of the principal of, or interest on, any Note, the Trustee may withhold such notice if and for so long as it in good faith determines that withholding such notice is in the interests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For the avoidance of doubt, the Trustee will not be required to deliver such notice at any time after such Default is cured or waived. The Trustee will not be deemed to have notice or be charged with knowledge of any Default or Event of Default unless (A) written notice thereof has been received by a Responsible Officer; and (B) such notice references the Notes and this Indenture and states on its face that a Default or Event of Default, as applicable, has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10.06. COMPENSATION AND INDEMNITY. </w:t>
      </w:r>
    </w:p>
    <w:p>
      <w:pPr>
        <w:pStyle w:val="TextBody"/>
        <w:bidi w:val="0"/>
        <w:spacing w:before="120" w:after="0"/>
        <w:jc w:val="left"/>
        <w:rPr>
          <w:rFonts w:ascii="Times New Roman" w:hAnsi="Times New Roman"/>
          <w:sz w:val="20"/>
        </w:rPr>
      </w:pPr>
      <w:r>
        <w:rPr>
          <w:rFonts w:ascii="Times New Roman" w:hAnsi="Times New Roman"/>
          <w:sz w:val="20"/>
        </w:rPr>
        <w:t xml:space="preserve">(A) The Company will, from time to time, pay the Trustee reasonable compensation for its acceptance of this Indenture and services under this Indenture as separately agreed to by the Company and the Trustee.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(B) The Company will indemnify the Trustee (in each of its capacities under this Indenture) and its directors, officers, employees and agents, in their capacities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is attributable (as determined by a final decision of a court of competent jurisdiction) to its negligence or willful misconduct. The Trustee will promptly notify the Company of any claim for which it may seek indemnity, but the Trustee’s failure to so notify the Company will not relieve the Company of its obligations under this </w:t>
      </w:r>
      <w:r>
        <w:rPr>
          <w:rFonts w:ascii="Times New Roman" w:hAnsi="Times New Roman"/>
          <w:b/>
          <w:sz w:val="20"/>
        </w:rPr>
        <w:t>Section</w:t>
      </w:r>
      <w:r>
        <w:rPr>
          <w:rFonts w:ascii="Times New Roman" w:hAnsi="Times New Roman"/>
          <w:sz w:val="20"/>
        </w:rPr>
        <w:t> </w:t>
      </w:r>
      <w:r>
        <w:rPr>
          <w:rFonts w:ascii="Times New Roman" w:hAnsi="Times New Roman"/>
          <w:b/>
          <w:sz w:val="20"/>
        </w:rPr>
        <w:t>10.06(B)</w:t>
      </w:r>
      <w:r>
        <w:rPr>
          <w:rFonts w:ascii="Times New Roman" w:hAnsi="Times New Roman"/>
          <w:sz w:val="20"/>
        </w:rPr>
        <w:t xml:space="preserve">,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obligations of the Company under this </w:t>
      </w: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will survive the resignation or removal of the Trustee and the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To secure the Company’s payment obligations in this </w:t>
      </w: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the Trustee will have a lien prior to the Notes on all money or property held or collected by the Trustee, except that held in trust to pay principal of, or interest on, particular Notes, which lien will survive the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If the Trustee incurs expenses or renders services after an Event of Default pursuant to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(x)</w:t>
      </w:r>
      <w:r>
        <w:rPr>
          <w:rFonts w:ascii="Times New Roman" w:hAnsi="Times New Roman"/>
          <w:sz w:val="20"/>
        </w:rPr>
        <w:t xml:space="preserve"> or </w:t>
      </w:r>
      <w:r>
        <w:rPr>
          <w:rFonts w:ascii="Times New Roman" w:hAnsi="Times New Roman"/>
          <w:b/>
          <w:sz w:val="20"/>
        </w:rPr>
        <w:t>(xi)</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occurs, then such expenses and the compensation for such services (including the fees and expenses of its agents and counsel) are intended to constitute expenses of administration under any Bankruptcy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10.07. REPLACEMENT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10.07</w:t>
      </w:r>
      <w:r>
        <w:rPr>
          <w:rFonts w:ascii="Times New Roman" w:hAnsi="Times New Roman"/>
          <w:sz w:val="20"/>
        </w:rPr>
        <w:t xml:space="preserve">, a resignation or removal of the Trustee, and the appointment of a successor Trustee, will become effective only upon such successor Trustee’s acceptance of appointment as provided in this </w:t>
      </w:r>
      <w:r>
        <w:rPr>
          <w:rFonts w:ascii="Times New Roman" w:hAnsi="Times New Roman"/>
          <w:b/>
          <w:sz w:val="20"/>
        </w:rPr>
        <w:t>Section</w:t>
      </w:r>
      <w:r>
        <w:rPr>
          <w:rFonts w:ascii="Times New Roman" w:hAnsi="Times New Roman"/>
          <w:sz w:val="20"/>
        </w:rPr>
        <w:t> </w:t>
      </w:r>
      <w:r>
        <w:rPr>
          <w:rFonts w:ascii="Times New Roman" w:hAnsi="Times New Roman"/>
          <w:b/>
          <w:sz w:val="20"/>
        </w:rPr>
        <w:t>10.07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w:t>
      </w:r>
    </w:p>
    <w:p>
      <w:pPr>
        <w:pStyle w:val="TextBody"/>
        <w:bidi w:val="0"/>
        <w:spacing w:before="120" w:after="0"/>
        <w:jc w:val="left"/>
        <w:rPr>
          <w:rFonts w:ascii="Times New Roman" w:hAnsi="Times New Roman"/>
          <w:sz w:val="20"/>
        </w:rPr>
      </w:pPr>
      <w:r>
        <w:rPr>
          <w:rFonts w:ascii="Times New Roman" w:hAnsi="Times New Roman"/>
          <w:sz w:val="20"/>
        </w:rPr>
        <w:t xml:space="preserve">(i) if the Trustee fails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10.09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the Trustee is adjudged to be bankrupt or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(iii) if a custodian or public officer takes charge of the Trustee or its property; </w:t>
      </w:r>
    </w:p>
    <w:p>
      <w:pPr>
        <w:pStyle w:val="TextBody"/>
        <w:bidi w:val="0"/>
        <w:spacing w:before="120" w:after="0"/>
        <w:jc w:val="left"/>
        <w:rPr>
          <w:rFonts w:ascii="Times New Roman" w:hAnsi="Times New Roman"/>
          <w:sz w:val="20"/>
        </w:rPr>
      </w:pPr>
      <w:r>
        <w:rPr>
          <w:rFonts w:ascii="Times New Roman" w:hAnsi="Times New Roman"/>
          <w:sz w:val="20"/>
        </w:rPr>
        <w:t xml:space="preserve">(iv) if the Trustee becomes incapable of acting; or </w:t>
      </w:r>
    </w:p>
    <w:p>
      <w:pPr>
        <w:pStyle w:val="TextBody"/>
        <w:bidi w:val="0"/>
        <w:spacing w:before="120" w:after="0"/>
        <w:jc w:val="left"/>
        <w:rPr>
          <w:rFonts w:ascii="Times New Roman" w:hAnsi="Times New Roman"/>
          <w:sz w:val="20"/>
        </w:rPr>
      </w:pPr>
      <w:r>
        <w:rPr>
          <w:rFonts w:ascii="Times New Roman" w:hAnsi="Times New Roman"/>
          <w:sz w:val="20"/>
        </w:rPr>
        <w:t xml:space="preserve">(v) by resolution of the Board of Directors at any time when no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(C) 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(E) If the Trustee, after written request by a Holder of at least six (6) months, fails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10.09</w:t>
      </w:r>
      <w:r>
        <w:rPr>
          <w:rFonts w:ascii="Times New Roman" w:hAnsi="Times New Roman"/>
          <w:sz w:val="20"/>
        </w:rPr>
        <w:t xml:space="preserve">, then such Holder may petition any court of competent jurisdiction for the removal of the Trustee and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(F) 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hAnsi="Times New Roman"/>
          <w:b/>
          <w:sz w:val="20"/>
        </w:rPr>
        <w:t>Section</w:t>
      </w:r>
      <w:r>
        <w:rPr>
          <w:rFonts w:ascii="Times New Roman" w:hAnsi="Times New Roman"/>
          <w:sz w:val="20"/>
        </w:rPr>
        <w:t> </w:t>
      </w:r>
      <w:r>
        <w:rPr>
          <w:rFonts w:ascii="Times New Roman" w:hAnsi="Times New Roman"/>
          <w:b/>
          <w:sz w:val="20"/>
        </w:rPr>
        <w:t>10.06(D)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10.08. SUCCESSOR TRUSTEE BY MERGER, ETC. </w:t>
      </w:r>
    </w:p>
    <w:p>
      <w:pPr>
        <w:pStyle w:val="TextBody"/>
        <w:bidi w:val="0"/>
        <w:spacing w:before="120" w:after="0"/>
        <w:jc w:val="left"/>
        <w:rPr>
          <w:rFonts w:ascii="Times New Roman" w:hAnsi="Times New Roman"/>
          <w:sz w:val="20"/>
        </w:rPr>
      </w:pPr>
      <w:r>
        <w:rPr>
          <w:rFonts w:ascii="Times New Roman" w:hAnsi="Times New Roman"/>
          <w:sz w:val="20"/>
        </w:rPr>
        <w:t xml:space="preserve">Any entity into which the Trustee may be merged or converted or with which it may be consolidated, or any entity resulting from any merger, conversion or consolidation to which the Trustee is a party, or any entity succeeding to all or substantially all of the corporate trust business of the Trustee, will (without the execution or filing of any paper or any further act on the part of any of the parties to this Indenture) be the successor of the Trustee under this Indenture, </w:t>
      </w:r>
      <w:r>
        <w:rPr>
          <w:rFonts w:ascii="Times New Roman" w:hAnsi="Times New Roman"/>
          <w:i/>
          <w:sz w:val="20"/>
        </w:rPr>
        <w:t>provided</w:t>
      </w:r>
      <w:r>
        <w:rPr>
          <w:rFonts w:ascii="Times New Roman" w:hAnsi="Times New Roman"/>
          <w:sz w:val="20"/>
        </w:rPr>
        <w:t xml:space="preserve"> that such entity is otherwise qualified and eligible to act as such under this </w:t>
      </w:r>
      <w:r>
        <w:rPr>
          <w:rFonts w:ascii="Times New Roman" w:hAnsi="Times New Roman"/>
          <w:b/>
          <w:sz w:val="20"/>
        </w:rPr>
        <w:t>Article 10</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10.09. ELIGIBILITY; DISQUALIFICATION. </w:t>
      </w:r>
    </w:p>
    <w:p>
      <w:pPr>
        <w:pStyle w:val="TextBody"/>
        <w:bidi w:val="0"/>
        <w:spacing w:before="120" w:after="0"/>
        <w:jc w:val="left"/>
        <w:rPr>
          <w:rFonts w:ascii="Times New Roman" w:hAnsi="Times New Roman"/>
          <w:sz w:val="20"/>
        </w:rPr>
      </w:pPr>
      <w:r>
        <w:rPr>
          <w:rFonts w:ascii="Times New Roman" w:hAnsi="Times New Roman"/>
          <w:sz w:val="20"/>
        </w:rPr>
        <w:t xml:space="preserve">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11.01. NOTICES. </w:t>
      </w:r>
    </w:p>
    <w:p>
      <w:pPr>
        <w:pStyle w:val="TextBody"/>
        <w:bidi w:val="0"/>
        <w:spacing w:before="120" w:after="0"/>
        <w:jc w:val="left"/>
        <w:rPr>
          <w:rFonts w:ascii="Times New Roman" w:hAnsi="Times New Roman"/>
          <w:sz w:val="20"/>
        </w:rPr>
      </w:pPr>
      <w:r>
        <w:rPr>
          <w:rFonts w:ascii="Times New Roman" w:hAnsi="Times New Roman"/>
          <w:sz w:val="20"/>
        </w:rPr>
        <w:t xml:space="preserve">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Civeo Corporation </w:t>
      </w:r>
    </w:p>
    <w:p>
      <w:pPr>
        <w:pStyle w:val="TextBody"/>
        <w:bidi w:val="0"/>
        <w:spacing w:before="0" w:after="0"/>
        <w:jc w:val="left"/>
        <w:rPr>
          <w:rFonts w:ascii="Times New Roman" w:hAnsi="Times New Roman"/>
          <w:sz w:val="20"/>
        </w:rPr>
      </w:pPr>
      <w:r>
        <w:rPr>
          <w:rFonts w:ascii="Times New Roman" w:hAnsi="Times New Roman"/>
          <w:sz w:val="20"/>
        </w:rPr>
        <w:t xml:space="preserve">Three Allen Center, 333 Clay Street, Suite 4400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77002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811 Main Street, Suite 3000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77002 </w:t>
      </w:r>
    </w:p>
    <w:p>
      <w:pPr>
        <w:pStyle w:val="TextBody"/>
        <w:bidi w:val="0"/>
        <w:spacing w:before="0" w:after="0"/>
        <w:jc w:val="left"/>
        <w:rPr>
          <w:rFonts w:ascii="Times New Roman" w:hAnsi="Times New Roman"/>
          <w:sz w:val="20"/>
        </w:rPr>
      </w:pPr>
      <w:r>
        <w:rPr>
          <w:rFonts w:ascii="Times New Roman" w:hAnsi="Times New Roman"/>
          <w:sz w:val="20"/>
        </w:rPr>
        <w:t xml:space="preserve">Attention: Tull Florey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633 W 5th Street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90071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E. Scarbrough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the preceding paragraph, notices to the Trustee (other than a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or any Note Agent must be in writing and will be deemed to have been given upon actual receipt by the Trustee or such Note Agent,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(including facsimile numbers and electronic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(other than those sent to Holders) will be deemed to have been duly given: (A) at the time delivered by hand, if personally delivered; (B) five (5) Business Days after being deposited in the mail, postage prepaid, if mailed; (C) when receipt is acknowledged, if transmitted by facsimile, electronic transmission or other similar means of unsecured electronic communication; and (D) the next Business Day after timely delivery to the courier, if sent by overnight air courier guaranteeing next day delivery. </w:t>
      </w:r>
    </w:p>
    <w:p>
      <w:pPr>
        <w:pStyle w:val="TextBody"/>
        <w:bidi w:val="0"/>
        <w:spacing w:before="240" w:after="0"/>
        <w:jc w:val="left"/>
        <w:rPr>
          <w:rFonts w:ascii="Times New Roman" w:hAnsi="Times New Roman"/>
          <w:sz w:val="20"/>
        </w:rPr>
      </w:pPr>
      <w:r>
        <w:rPr>
          <w:rFonts w:ascii="Times New Roman" w:hAnsi="Times New Roman"/>
          <w:sz w:val="20"/>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hAnsi="Times New Roman"/>
          <w:i/>
          <w:sz w:val="20"/>
        </w:rPr>
        <w:t>provided</w:t>
      </w:r>
      <w:r>
        <w:rPr>
          <w:rFonts w:ascii="Times New Roman" w:hAnsi="Times New Roman"/>
          <w:sz w:val="20"/>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notice or communication is mailed or sent in the manner provided above within the time prescribed, it will be deemed to have been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for purposes of the interpretation of this Indenture, such notice will be deemed to have been duly sent at the time otherwise required by this Indenture); and (B) whenever any provision of this Indenture requires a party to send notice to more than one receiving party, and each receiving party is the same Person acting in different capacities, then only one such notice need be sent to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11.02. DELIVERY OF OFFICER’S CERTIFICATE AND OPINION OF COUNSEL AS TO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(other than the initial authentication of Notes under this Indenture), the Company will furnish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(A) an Officer’s Certificate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and states that, in the opinion of the signatory thereto, all conditions precedent and covenants, if any, provided for in this Indenture relating to such action have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(B) an Opinion of Counsel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and states that, in the opinion of such counsel, all such conditions precedent and covenants, if any, have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11.03. STATEMENTS REQUIRED IN OFFICER’S CERTIFICATE AND OPINION OF COUNSEL. </w:t>
      </w:r>
    </w:p>
    <w:p>
      <w:pPr>
        <w:pStyle w:val="TextBody"/>
        <w:bidi w:val="0"/>
        <w:spacing w:before="120" w:after="0"/>
        <w:jc w:val="left"/>
        <w:rPr>
          <w:rFonts w:ascii="Times New Roman" w:hAnsi="Times New Roman"/>
          <w:sz w:val="20"/>
        </w:rPr>
      </w:pPr>
      <w:r>
        <w:rPr>
          <w:rFonts w:ascii="Times New Roman" w:hAnsi="Times New Roman"/>
          <w:sz w:val="20"/>
        </w:rPr>
        <w:t xml:space="preserve">Each Officer’s Certificate (other than an Officer’s Certificate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3.06</w:t>
      </w:r>
      <w:r>
        <w:rPr>
          <w:rFonts w:ascii="Times New Roman" w:hAnsi="Times New Roman"/>
          <w:sz w:val="20"/>
        </w:rPr>
        <w:t xml:space="preserve">) or Opinion of Counsel with respect to compliance with a covenant or condition provided for in this Indenture will include: </w:t>
      </w:r>
    </w:p>
    <w:p>
      <w:pPr>
        <w:pStyle w:val="TextBody"/>
        <w:bidi w:val="0"/>
        <w:spacing w:before="240" w:after="0"/>
        <w:jc w:val="left"/>
        <w:rPr>
          <w:rFonts w:ascii="Times New Roman" w:hAnsi="Times New Roman"/>
          <w:sz w:val="20"/>
        </w:rPr>
      </w:pPr>
      <w:r>
        <w:rPr>
          <w:rFonts w:ascii="Times New Roman" w:hAnsi="Times New Roman"/>
          <w:sz w:val="20"/>
        </w:rPr>
        <w:t xml:space="preserve">(A) a statement that the signatory thereto has read such covenant or condition;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therein are based; </w:t>
      </w:r>
    </w:p>
    <w:p>
      <w:pPr>
        <w:pStyle w:val="TextBody"/>
        <w:bidi w:val="0"/>
        <w:spacing w:before="240" w:after="0"/>
        <w:jc w:val="left"/>
        <w:rPr>
          <w:rFonts w:ascii="Times New Roman" w:hAnsi="Times New Roman"/>
          <w:sz w:val="20"/>
        </w:rPr>
      </w:pPr>
      <w:r>
        <w:rPr>
          <w:rFonts w:ascii="Times New Roman" w:hAnsi="Times New Roman"/>
          <w:sz w:val="20"/>
        </w:rPr>
        <w:t xml:space="preserve">(C) a statement that, in the opinion of such signatory, he, she or it has made such examination or investigation as is necessary to enable him, her or it to express an informed opinion as to whether or not such covenant or condition has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in the opinion of such signatory, such covenant or condition has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11.04. RULES BY THE TRUSTEE, THE REGISTRAR, THE PAYING AGENT AND THE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make reasonable rules for action by or at a meeting of Holders. Each of the Registrar, the Paying Agent and the Conversion Agent may make reasonable rules and set reasonable requirements for its functions.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11.05. NO PERSONAL LIABILITY OF DIRECTORS, OFFICERS, EMPLOYEES AND SHAREHOLDERS. </w:t>
      </w:r>
    </w:p>
    <w:p>
      <w:pPr>
        <w:pStyle w:val="TextBody"/>
        <w:bidi w:val="0"/>
        <w:spacing w:before="120" w:after="0"/>
        <w:jc w:val="left"/>
        <w:rPr>
          <w:rFonts w:ascii="Times New Roman" w:hAnsi="Times New Roman"/>
          <w:sz w:val="20"/>
        </w:rPr>
      </w:pPr>
      <w:r>
        <w:rPr>
          <w:rFonts w:ascii="Times New Roman" w:hAnsi="Times New Roman"/>
          <w:sz w:val="20"/>
        </w:rPr>
        <w:t xml:space="preserve">No past, present or future director, officer, employee, incorporator or shareholder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11.06. GOVERNING LAW; WAIVER OF JURY TRIAL.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11.07. SUBMISSION TO JURISDICTION. </w:t>
      </w:r>
    </w:p>
    <w:p>
      <w:pPr>
        <w:pStyle w:val="TextBody"/>
        <w:bidi w:val="0"/>
        <w:spacing w:before="120" w:after="0"/>
        <w:jc w:val="left"/>
        <w:rPr>
          <w:rFonts w:ascii="Times New Roman" w:hAnsi="Times New Roman"/>
          <w:sz w:val="20"/>
        </w:rPr>
      </w:pPr>
      <w:r>
        <w:rPr>
          <w:rFonts w:ascii="Times New Roman" w:hAnsi="Times New Roman"/>
          <w:sz w:val="20"/>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hAnsi="Times New Roman"/>
          <w:b/>
          <w:sz w:val="20"/>
        </w:rPr>
        <w:t>Specified Courts</w:t>
      </w:r>
      <w:r>
        <w:rPr>
          <w:rFonts w:ascii="Times New Roman" w:hAnsi="Times New Roman"/>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11.08. NO ADVERSE INTERPRETATION OF OTHER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Neither this Indenture nor the Notes may be used to interpret any other indenture, note, loan or debt agreement of the Company or its Subsidiaries or of any other Person, and no such indenture, note, loan or debt agreement may be used to interpret this Indenture or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11.09. SUCCESSORS. </w:t>
      </w:r>
    </w:p>
    <w:p>
      <w:pPr>
        <w:pStyle w:val="TextBody"/>
        <w:bidi w:val="0"/>
        <w:spacing w:before="120" w:after="0"/>
        <w:jc w:val="left"/>
        <w:rPr>
          <w:rFonts w:ascii="Times New Roman" w:hAnsi="Times New Roman"/>
          <w:sz w:val="20"/>
        </w:rPr>
      </w:pPr>
      <w:r>
        <w:rPr>
          <w:rFonts w:ascii="Times New Roman" w:hAnsi="Times New Roman"/>
          <w:sz w:val="20"/>
        </w:rPr>
        <w:t xml:space="preserve">All agreements of the Company in this Indenture and the Notes will bind its successors. All agreements of the Trustee in this Indenture will bind its successors. </w:t>
      </w:r>
    </w:p>
    <w:p>
      <w:pPr>
        <w:pStyle w:val="TextBody"/>
        <w:bidi w:val="0"/>
        <w:spacing w:before="480" w:after="0"/>
        <w:jc w:val="left"/>
        <w:rPr>
          <w:rFonts w:ascii="Times New Roman" w:hAnsi="Times New Roman"/>
          <w:b/>
          <w:sz w:val="20"/>
        </w:rPr>
      </w:pPr>
      <w:r>
        <w:rPr>
          <w:rFonts w:ascii="Times New Roman" w:hAnsi="Times New Roman"/>
          <w:b/>
          <w:sz w:val="20"/>
        </w:rPr>
        <w:t xml:space="preserve">Section 11.10. FORCE MAJEURE. </w:t>
      </w:r>
    </w:p>
    <w:p>
      <w:pPr>
        <w:pStyle w:val="TextBody"/>
        <w:bidi w:val="0"/>
        <w:spacing w:before="120" w:after="0"/>
        <w:jc w:val="left"/>
        <w:rPr>
          <w:rFonts w:ascii="Times New Roman" w:hAnsi="Times New Roman"/>
          <w:sz w:val="20"/>
        </w:rPr>
      </w:pPr>
      <w:r>
        <w:rPr>
          <w:rFonts w:ascii="Times New Roman" w:hAnsi="Times New Roman"/>
          <w:sz w:val="20"/>
        </w:rPr>
        <w:t xml:space="preserve">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 </w:t>
      </w:r>
    </w:p>
    <w:p>
      <w:pPr>
        <w:pStyle w:val="TextBody"/>
        <w:bidi w:val="0"/>
        <w:spacing w:before="480" w:after="0"/>
        <w:jc w:val="left"/>
        <w:rPr>
          <w:rFonts w:ascii="Times New Roman" w:hAnsi="Times New Roman"/>
          <w:b/>
          <w:sz w:val="20"/>
        </w:rPr>
      </w:pPr>
      <w:r>
        <w:rPr>
          <w:rFonts w:ascii="Times New Roman" w:hAnsi="Times New Roman"/>
          <w:b/>
          <w:sz w:val="20"/>
        </w:rPr>
        <w:t xml:space="preserve">Section 11.11. U.S.A. PATRIOT ACT.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 </w:t>
      </w:r>
    </w:p>
    <w:p>
      <w:pPr>
        <w:pStyle w:val="TextBody"/>
        <w:bidi w:val="0"/>
        <w:spacing w:before="480" w:after="0"/>
        <w:jc w:val="left"/>
        <w:rPr>
          <w:rFonts w:ascii="Times New Roman" w:hAnsi="Times New Roman"/>
          <w:b/>
          <w:sz w:val="20"/>
        </w:rPr>
      </w:pPr>
      <w:r>
        <w:rPr>
          <w:rFonts w:ascii="Times New Roman" w:hAnsi="Times New Roman"/>
          <w:b/>
          <w:sz w:val="20"/>
        </w:rPr>
        <w:t xml:space="preserve">Section 11.12. CALCULATIONS.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this Indenture, the Company will be responsible for making all calculations called for under this Indenture or the Notes, including determinations of the Last Reported Sale Price, the Trading Price, the Daily VWAP, the Daily Conversion Value, the Daily Cash Amount, the Daily Share Amount, accrued interest on the Notes, including any Additional Interest and Special Interest, the Conversion Rate (including adjustments to the Conversion Rate), the Fundamental Change Repurchase Price, the Redemption Price and calculations relating to whether the Notes are Convertible.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this Indenture or the Notes. </w:t>
      </w:r>
    </w:p>
    <w:p>
      <w:pPr>
        <w:pStyle w:val="TextBody"/>
        <w:bidi w:val="0"/>
        <w:spacing w:before="480" w:after="0"/>
        <w:jc w:val="left"/>
        <w:rPr>
          <w:rFonts w:ascii="Times New Roman" w:hAnsi="Times New Roman"/>
          <w:b/>
          <w:sz w:val="20"/>
        </w:rPr>
      </w:pPr>
      <w:r>
        <w:rPr>
          <w:rFonts w:ascii="Times New Roman" w:hAnsi="Times New Roman"/>
          <w:b/>
          <w:sz w:val="20"/>
        </w:rPr>
        <w:t xml:space="preserve">Section 11.13. SEVERABILITY.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this Indenture or the Notes is invalid, illegal or unenforceable, then the validity, legality and enforceability of the remaining provisions of this Indenture or the Notes will not in any way be affected or impaired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11.14. COUNTERPARTS.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 </w:t>
      </w:r>
    </w:p>
    <w:p>
      <w:pPr>
        <w:pStyle w:val="TextBody"/>
        <w:bidi w:val="0"/>
        <w:spacing w:before="480" w:after="0"/>
        <w:jc w:val="left"/>
        <w:rPr>
          <w:rFonts w:ascii="Times New Roman" w:hAnsi="Times New Roman"/>
          <w:b/>
          <w:sz w:val="20"/>
        </w:rPr>
      </w:pPr>
      <w:r>
        <w:rPr>
          <w:rFonts w:ascii="Times New Roman" w:hAnsi="Times New Roman"/>
          <w:b/>
          <w:sz w:val="20"/>
        </w:rPr>
        <w:t xml:space="preserve">Section 11.15. TABLE OF CONTENTS, HEADINGS, ETC. </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and the headings of the Articles and Sections of this Indenture have been inserted for convenience of reference only, are not to be considered a part of this Indenture and will in no way modify or restrict any of the terms or provisions of this Indenture. </w:t>
      </w:r>
    </w:p>
    <w:p>
      <w:pPr>
        <w:pStyle w:val="TextBody"/>
        <w:bidi w:val="0"/>
        <w:spacing w:before="480" w:after="0"/>
        <w:jc w:val="left"/>
        <w:rPr>
          <w:rFonts w:ascii="Times New Roman" w:hAnsi="Times New Roman"/>
          <w:b/>
          <w:sz w:val="20"/>
        </w:rPr>
      </w:pPr>
      <w:r>
        <w:rPr>
          <w:rFonts w:ascii="Times New Roman" w:hAnsi="Times New Roman"/>
          <w:b/>
          <w:sz w:val="20"/>
        </w:rPr>
        <w:t xml:space="preserve">Section 11.16. 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Note agrees, and each beneficial owner of an interest in a Global Note, by its acquisition of such interest, is deemed to agree, that if the Company or other applicable withholding agent (including the Trustee) pays withholding taxes or backup withholding on behalf of such Holder or beneficial owner as a result of an adjustment or the non-occurrence of an adjustment to the Conversion Rate, then the Company or such withholding agent, as applicable, may, at its option, set off such payments against payments of cash or the delivery of other Conversion Consideration on such Note, any payments on the Common Shares or sales proceeds received by, or other funds or assets of, such Holder or the beneficial owner of such Note. </w:t>
      </w:r>
    </w:p>
    <w:p>
      <w:pPr>
        <w:pStyle w:val="TextBody"/>
        <w:bidi w:val="0"/>
        <w:spacing w:before="480" w:after="0"/>
        <w:jc w:val="left"/>
        <w:rPr>
          <w:rFonts w:ascii="Times New Roman" w:hAnsi="Times New Roman"/>
          <w:b/>
          <w:sz w:val="20"/>
        </w:rPr>
      </w:pPr>
      <w:r>
        <w:rPr>
          <w:rFonts w:ascii="Times New Roman" w:hAnsi="Times New Roman"/>
          <w:b/>
          <w:sz w:val="20"/>
        </w:rPr>
        <w:t xml:space="preserve">Section 11.17. SERVICE OF PROCESS. </w:t>
      </w:r>
    </w:p>
    <w:p>
      <w:pPr>
        <w:pStyle w:val="TextBody"/>
        <w:bidi w:val="0"/>
        <w:spacing w:before="120" w:after="0"/>
        <w:jc w:val="left"/>
        <w:rPr>
          <w:rFonts w:ascii="Times New Roman" w:hAnsi="Times New Roman"/>
          <w:sz w:val="20"/>
        </w:rPr>
      </w:pPr>
      <w:r>
        <w:rPr>
          <w:rFonts w:ascii="Times New Roman" w:hAnsi="Times New Roman"/>
          <w:sz w:val="20"/>
        </w:rPr>
        <w:t xml:space="preserve">The Company irrevocably appoints C T Corporation System, which currently maintains an office at 28 Liberty Street, New York, New York 10005, United States of America, as its authorized agent in the City of New York upon which process may be served in any suit, action or proceeding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11.07</w:t>
      </w:r>
      <w:r>
        <w:rPr>
          <w:rFonts w:ascii="Times New Roman" w:hAnsi="Times New Roman"/>
          <w:sz w:val="20"/>
        </w:rPr>
        <w:t xml:space="preserve">, and agrees that service of process upon such agent, and written notice of such service to the Company by the person serving the same to Civeo Corporation, Three Allen Center, 333 Clay Street, Suite 4400, Houston, Texas 77002, Attention: Collin Gerry, will be, in every respect, effective service of process upon the Company in any such suit, action or proceeding. The Company agrees to take any and all reasonable action as may be necessary to maintain such designation and appointment of such agent in full force and effect until the date that is six (6) months after the Maturity Date. If, for any reason, such agent ceases to be such agent for service of process, then the Company will promptly appoint a new agent of recognized standing for service of process in the State of New York and deliver to the Holders and the Trustee a copy of the new agent’s acceptance of that appointment within ten (10) Business Days of such acceptance. Nothing in this </w:t>
      </w:r>
      <w:r>
        <w:rPr>
          <w:rFonts w:ascii="Times New Roman" w:hAnsi="Times New Roman"/>
          <w:b/>
          <w:sz w:val="20"/>
        </w:rPr>
        <w:t>Section</w:t>
      </w:r>
      <w:r>
        <w:rPr>
          <w:rFonts w:ascii="Times New Roman" w:hAnsi="Times New Roman"/>
          <w:sz w:val="20"/>
        </w:rPr>
        <w:t> </w:t>
      </w:r>
      <w:r>
        <w:rPr>
          <w:rFonts w:ascii="Times New Roman" w:hAnsi="Times New Roman"/>
          <w:b/>
          <w:sz w:val="20"/>
        </w:rPr>
        <w:t>11.17</w:t>
      </w:r>
      <w:r>
        <w:rPr>
          <w:rFonts w:ascii="Times New Roman" w:hAnsi="Times New Roman"/>
          <w:sz w:val="20"/>
        </w:rPr>
        <w:t xml:space="preserve"> will affect the right of the Trustee, any Note Agent or any Holder to serve process in any other manner permitted by law or to commence legal proceedings or otherwise proceed against the Company in any other court of competent jurisdiction. To the extent that the Company has or hereafter may acquire any sovereign or other immunity from jurisdiction of any court or from any legal process with respect to itself or its property, the Company irrevocably waives such immunity in respect of its obligations under this Indenture or under any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- 97 -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b/>
          <w:i/>
          <w:sz w:val="20"/>
        </w:rPr>
        <w:t>The Remainder of This Page Intentionally Left Blank;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to this Indenture have caused this Indenture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3"/>
        <w:gridCol w:w="60"/>
        <w:gridCol w:w="659"/>
        <w:gridCol w:w="60"/>
        <w:gridCol w:w="2940"/>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w:t>
            </w:r>
            <w:r>
              <w:rPr>
                <w:sz w:val="20"/>
              </w:rPr>
              <w:t>IVEO</w:t>
            </w:r>
            <w:r>
              <w:rPr/>
              <w:t xml:space="preserve"> C</w:t>
            </w:r>
            <w:r>
              <w:rPr>
                <w:sz w:val="20"/>
              </w:rPr>
              <w:t>ORPORATION</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 Collin Gerry</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E. Collin Gerry</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Senior Vice President, Chief Financial Officer and Treasurer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U.S. BANK TRUST COMPANY, NATIONAL</w:t>
            </w:r>
          </w:p>
          <w:p>
            <w:pPr>
              <w:pStyle w:val="TableContents"/>
              <w:bidi w:val="0"/>
              <w:spacing w:before="0" w:after="20"/>
              <w:jc w:val="left"/>
              <w:rPr>
                <w:rFonts w:ascii="Times New Roman" w:hAnsi="Times New Roman"/>
                <w:sz w:val="20"/>
              </w:rPr>
            </w:pPr>
            <w:r>
              <w:rPr>
                <w:rFonts w:ascii="Times New Roman" w:hAnsi="Times New Roman"/>
                <w:sz w:val="20"/>
              </w:rPr>
              <w:t>ASSOCIATION, as Trustee</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Bradley E. Scarbrough</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Bradley E. Scarbrough</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NOTE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Insert Global Note Legend, if applicable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Insert Restricted Note Legend, if applicable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Insert Non-Affiliate Legend</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CIVEO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4.50% Convertible Senior Note due 2031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5"/>
        <w:gridCol w:w="120"/>
        <w:gridCol w:w="4450"/>
        <w:gridCol w:w="120"/>
        <w:gridCol w:w="4320"/>
      </w:tblGrid>
      <w:tr>
        <w:trPr/>
        <w:tc>
          <w:tcPr>
            <w:tcW w:w="11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20" w:type="dxa"/>
            <w:tcBorders/>
            <w:vAlign w:val="center"/>
          </w:tcPr>
          <w:p>
            <w:pPr>
              <w:pStyle w:val="TableContents"/>
              <w:bidi w:val="0"/>
              <w:spacing w:before="0" w:after="283"/>
              <w:jc w:val="left"/>
              <w:rPr>
                <w:sz w:val="4"/>
                <w:szCs w:val="4"/>
              </w:rPr>
            </w:pPr>
            <w:r>
              <w:rPr>
                <w:sz w:val="4"/>
                <w:szCs w:val="4"/>
              </w:rPr>
            </w:r>
          </w:p>
        </w:tc>
      </w:tr>
      <w:tr>
        <w:trPr/>
        <w:tc>
          <w:tcPr>
            <w:tcW w:w="1195" w:type="dxa"/>
            <w:tcBorders/>
          </w:tcPr>
          <w:p>
            <w:pPr>
              <w:pStyle w:val="TableContents"/>
              <w:bidi w:val="0"/>
              <w:spacing w:before="0" w:after="283"/>
              <w:jc w:val="left"/>
              <w:rPr/>
            </w:pPr>
            <w:r>
              <w:rPr/>
              <w:t>CUSIP No.:</w:t>
            </w:r>
          </w:p>
        </w:tc>
        <w:tc>
          <w:tcPr>
            <w:tcW w:w="120" w:type="dxa"/>
            <w:tcBorders/>
            <w:vAlign w:val="bottom"/>
          </w:tcPr>
          <w:p>
            <w:pPr>
              <w:pStyle w:val="TableContents"/>
              <w:bidi w:val="0"/>
              <w:spacing w:before="0" w:after="283"/>
              <w:jc w:val="left"/>
              <w:rPr/>
            </w:pPr>
            <w:r>
              <w:rPr/>
              <w:t>  </w:t>
            </w:r>
          </w:p>
        </w:tc>
        <w:tc>
          <w:tcPr>
            <w:tcW w:w="4450" w:type="dxa"/>
            <w:tcBorders/>
          </w:tcPr>
          <w:p>
            <w:pPr>
              <w:pStyle w:val="TableContents"/>
              <w:bidi w:val="0"/>
              <w:spacing w:before="0" w:after="283"/>
              <w:jc w:val="left"/>
              <w:rPr/>
            </w:pPr>
            <w:r>
              <w:rPr/>
              <w:t>[___][</w:t>
            </w:r>
            <w:r>
              <w:rPr>
                <w:i/>
              </w:rPr>
              <w:t xml:space="preserve">Insert for a </w:t>
            </w:r>
            <w:r>
              <w:rPr/>
              <w:t>“</w:t>
            </w:r>
            <w:r>
              <w:rPr>
                <w:i/>
              </w:rPr>
              <w:t>restricted</w:t>
            </w:r>
            <w:r>
              <w:rPr/>
              <w:t xml:space="preserve">” </w:t>
            </w:r>
            <w:r>
              <w:rPr>
                <w:i/>
              </w:rPr>
              <w:t>CUSIP number</w:t>
            </w:r>
            <w:r>
              <w:rPr/>
              <w:t>: *]</w:t>
            </w:r>
          </w:p>
        </w:tc>
        <w:tc>
          <w:tcPr>
            <w:tcW w:w="120"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right"/>
              <w:rPr/>
            </w:pPr>
            <w:r>
              <w:rPr/>
              <w:t>Certificate No. [___]</w:t>
            </w:r>
          </w:p>
        </w:tc>
      </w:tr>
      <w:tr>
        <w:trPr/>
        <w:tc>
          <w:tcPr>
            <w:tcW w:w="1195" w:type="dxa"/>
            <w:tcBorders/>
          </w:tcPr>
          <w:p>
            <w:pPr>
              <w:pStyle w:val="TableContents"/>
              <w:bidi w:val="0"/>
              <w:spacing w:before="0" w:after="283"/>
              <w:jc w:val="left"/>
              <w:rPr/>
            </w:pPr>
            <w:r>
              <w:rPr/>
              <w:t>ISIN No.:</w:t>
            </w:r>
          </w:p>
        </w:tc>
        <w:tc>
          <w:tcPr>
            <w:tcW w:w="120" w:type="dxa"/>
            <w:tcBorders/>
            <w:vAlign w:val="bottom"/>
          </w:tcPr>
          <w:p>
            <w:pPr>
              <w:pStyle w:val="TableContents"/>
              <w:bidi w:val="0"/>
              <w:spacing w:before="0" w:after="283"/>
              <w:jc w:val="left"/>
              <w:rPr/>
            </w:pPr>
            <w:r>
              <w:rPr/>
              <w:t>  </w:t>
            </w:r>
          </w:p>
        </w:tc>
        <w:tc>
          <w:tcPr>
            <w:tcW w:w="4450" w:type="dxa"/>
            <w:tcBorders/>
          </w:tcPr>
          <w:p>
            <w:pPr>
              <w:pStyle w:val="TableContents"/>
              <w:bidi w:val="0"/>
              <w:spacing w:before="0" w:after="283"/>
              <w:jc w:val="left"/>
              <w:rPr/>
            </w:pPr>
            <w:r>
              <w:rPr/>
              <w:t>[___][</w:t>
            </w:r>
            <w:r>
              <w:rPr>
                <w:i/>
              </w:rPr>
              <w:t>Insert for a “restricted” ISIN number</w:t>
            </w:r>
            <w:r>
              <w:rPr/>
              <w:t>: *]</w:t>
            </w:r>
          </w:p>
        </w:tc>
        <w:tc>
          <w:tcPr>
            <w:tcW w:w="120"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Civeo Corporation, a corporation incorporated under the laws of the Province of British Columbia, for value received, promises to pay to [Cede &amp; Co.], or its registered assigns, the principal sum of [___] dollars ($[___]) [(as revised by the attached Schedule of Exchanges of Interests in the Global Note)]</w:t>
      </w:r>
      <w:r>
        <w:rPr>
          <w:rFonts w:ascii="Times New Roman" w:hAnsi="Times New Roman"/>
          <w:sz w:val="13"/>
        </w:rPr>
        <w:t></w:t>
      </w:r>
      <w:r>
        <w:rPr>
          <w:rFonts w:ascii="Times New Roman" w:hAnsi="Times New Roman"/>
          <w:sz w:val="20"/>
        </w:rPr>
        <w:t xml:space="preserve"> on August 1, 2031 and to pay interest thereon, as provided in the Indenture referred to below, until the principal and all accrued and unpaid interest are paid or duly provided for.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20"/>
        <w:gridCol w:w="124"/>
        <w:gridCol w:w="7161"/>
      </w:tblGrid>
      <w:tr>
        <w:trPr/>
        <w:tc>
          <w:tcPr>
            <w:tcW w:w="292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161" w:type="dxa"/>
            <w:tcBorders/>
            <w:vAlign w:val="center"/>
          </w:tcPr>
          <w:p>
            <w:pPr>
              <w:pStyle w:val="TableContents"/>
              <w:bidi w:val="0"/>
              <w:spacing w:before="0" w:after="283"/>
              <w:jc w:val="left"/>
              <w:rPr>
                <w:sz w:val="4"/>
                <w:szCs w:val="4"/>
              </w:rPr>
            </w:pPr>
            <w:r>
              <w:rPr>
                <w:sz w:val="4"/>
                <w:szCs w:val="4"/>
              </w:rPr>
            </w:r>
          </w:p>
        </w:tc>
      </w:tr>
      <w:tr>
        <w:trPr/>
        <w:tc>
          <w:tcPr>
            <w:tcW w:w="2920" w:type="dxa"/>
            <w:tcBorders/>
          </w:tcPr>
          <w:p>
            <w:pPr>
              <w:pStyle w:val="TableContents"/>
              <w:bidi w:val="0"/>
              <w:spacing w:before="0" w:after="283"/>
              <w:jc w:val="left"/>
              <w:rPr/>
            </w:pPr>
            <w:r>
              <w:rPr/>
              <w:t>Interest Payment Dates:</w:t>
            </w:r>
          </w:p>
        </w:tc>
        <w:tc>
          <w:tcPr>
            <w:tcW w:w="124" w:type="dxa"/>
            <w:tcBorders/>
            <w:vAlign w:val="bottom"/>
          </w:tcPr>
          <w:p>
            <w:pPr>
              <w:pStyle w:val="TableContents"/>
              <w:bidi w:val="0"/>
              <w:spacing w:before="0" w:after="283"/>
              <w:jc w:val="left"/>
              <w:rPr/>
            </w:pPr>
            <w:r>
              <w:rPr/>
              <w:t>  </w:t>
            </w:r>
          </w:p>
        </w:tc>
        <w:tc>
          <w:tcPr>
            <w:tcW w:w="7161" w:type="dxa"/>
            <w:tcBorders/>
          </w:tcPr>
          <w:p>
            <w:pPr>
              <w:pStyle w:val="TableContents"/>
              <w:bidi w:val="0"/>
              <w:spacing w:before="0" w:after="283"/>
              <w:jc w:val="left"/>
              <w:rPr/>
            </w:pPr>
            <w:r>
              <w:rPr/>
              <w:t>February 1 and August 1 of each year, commencing on [</w:t>
            </w:r>
            <w:r>
              <w:rPr>
                <w:i/>
              </w:rPr>
              <w:t>date</w:t>
            </w:r>
            <w:r>
              <w:rPr/>
              <w:t>].</w:t>
            </w:r>
          </w:p>
        </w:tc>
      </w:tr>
      <w:tr>
        <w:trPr>
          <w:trHeight w:val="120" w:hRule="atLeast"/>
        </w:trPr>
        <w:tc>
          <w:tcPr>
            <w:tcW w:w="2920" w:type="dxa"/>
            <w:tcBorders/>
            <w:vAlign w:val="center"/>
          </w:tcPr>
          <w:p>
            <w:pPr>
              <w:pStyle w:val="TableContents"/>
              <w:bidi w:val="0"/>
              <w:spacing w:before="0" w:after="283"/>
              <w:jc w:val="left"/>
              <w:rPr>
                <w:sz w:val="4"/>
                <w:szCs w:val="4"/>
              </w:rPr>
            </w:pPr>
            <w:r>
              <w:rPr>
                <w:sz w:val="4"/>
                <w:szCs w:val="4"/>
              </w:rPr>
            </w:r>
          </w:p>
        </w:tc>
        <w:tc>
          <w:tcPr>
            <w:tcW w:w="7285" w:type="dxa"/>
            <w:gridSpan w:val="2"/>
            <w:tcBorders/>
            <w:vAlign w:val="center"/>
          </w:tcPr>
          <w:p>
            <w:pPr>
              <w:pStyle w:val="TableContents"/>
              <w:bidi w:val="0"/>
              <w:spacing w:before="0" w:after="283"/>
              <w:jc w:val="left"/>
              <w:rPr>
                <w:sz w:val="4"/>
                <w:szCs w:val="4"/>
              </w:rPr>
            </w:pPr>
            <w:r>
              <w:rPr>
                <w:sz w:val="4"/>
                <w:szCs w:val="4"/>
              </w:rPr>
            </w:r>
          </w:p>
        </w:tc>
      </w:tr>
      <w:tr>
        <w:trPr/>
        <w:tc>
          <w:tcPr>
            <w:tcW w:w="2920" w:type="dxa"/>
            <w:tcBorders/>
          </w:tcPr>
          <w:p>
            <w:pPr>
              <w:pStyle w:val="TableContents"/>
              <w:bidi w:val="0"/>
              <w:spacing w:before="0" w:after="283"/>
              <w:jc w:val="left"/>
              <w:rPr/>
            </w:pPr>
            <w:r>
              <w:rPr/>
              <w:t>Regular Record Dates:</w:t>
            </w:r>
          </w:p>
        </w:tc>
        <w:tc>
          <w:tcPr>
            <w:tcW w:w="124" w:type="dxa"/>
            <w:tcBorders/>
            <w:vAlign w:val="bottom"/>
          </w:tcPr>
          <w:p>
            <w:pPr>
              <w:pStyle w:val="TableContents"/>
              <w:bidi w:val="0"/>
              <w:spacing w:before="0" w:after="283"/>
              <w:jc w:val="left"/>
              <w:rPr/>
            </w:pPr>
            <w:r>
              <w:rPr/>
              <w:t>  </w:t>
            </w:r>
          </w:p>
        </w:tc>
        <w:tc>
          <w:tcPr>
            <w:tcW w:w="7161" w:type="dxa"/>
            <w:tcBorders/>
          </w:tcPr>
          <w:p>
            <w:pPr>
              <w:pStyle w:val="TableContents"/>
              <w:bidi w:val="0"/>
              <w:spacing w:before="0" w:after="283"/>
              <w:jc w:val="left"/>
              <w:rPr/>
            </w:pPr>
            <w:r>
              <w:rPr/>
              <w:t>January 15 and July 15.</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provisions of this Note are set forth on the other side of this Note.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The Remainder of This Page Intentionally Left Blank; Signature Page Follows</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Note will be deemed to be identified by CUSIP No. [___] and ISIN No. [___] from and after such time when the Company delivers, pursuant to Section 2.12 of the within-mentioned Indenture, written notice to the Trustee of the deemed removal of the Restricted Note Legend affixed to this Note.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z w:val="13"/>
              </w:rPr>
              <w:t></w:t>
            </w: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bracketed language for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Civeo Corporation has caused this instrument to be duly executed as of the date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59"/>
        <w:gridCol w:w="117"/>
        <w:gridCol w:w="3487"/>
        <w:gridCol w:w="117"/>
        <w:gridCol w:w="465"/>
        <w:gridCol w:w="129"/>
        <w:gridCol w:w="5231"/>
      </w:tblGrid>
      <w:tr>
        <w:trPr/>
        <w:tc>
          <w:tcPr>
            <w:tcW w:w="659"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5231" w:type="dxa"/>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3487"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5825" w:type="dxa"/>
            <w:gridSpan w:val="3"/>
            <w:tcBorders/>
          </w:tcPr>
          <w:p>
            <w:pPr>
              <w:pStyle w:val="TableContents"/>
              <w:bidi w:val="0"/>
              <w:spacing w:before="0" w:after="283"/>
              <w:jc w:val="left"/>
              <w:rPr/>
            </w:pPr>
            <w:r>
              <w:rPr/>
              <w:t>C</w:t>
            </w:r>
            <w:r>
              <w:rPr>
                <w:sz w:val="20"/>
              </w:rPr>
              <w:t>IVEO</w:t>
            </w:r>
            <w:r>
              <w:rPr/>
              <w:t xml:space="preserve"> C</w:t>
            </w:r>
            <w:r>
              <w:rPr>
                <w:sz w:val="20"/>
              </w:rPr>
              <w:t>ORPORATION</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604" w:type="dxa"/>
            <w:gridSpan w:val="2"/>
            <w:tcBorders/>
            <w:vAlign w:val="center"/>
          </w:tcPr>
          <w:p>
            <w:pPr>
              <w:pStyle w:val="TableContents"/>
              <w:bidi w:val="0"/>
              <w:spacing w:before="0" w:after="283"/>
              <w:jc w:val="left"/>
              <w:rPr>
                <w:sz w:val="4"/>
                <w:szCs w:val="4"/>
              </w:rPr>
            </w:pPr>
            <w:r>
              <w:rPr>
                <w:sz w:val="4"/>
                <w:szCs w:val="4"/>
              </w:rPr>
            </w:r>
          </w:p>
        </w:tc>
        <w:tc>
          <w:tcPr>
            <w:tcW w:w="582" w:type="dxa"/>
            <w:gridSpan w:val="2"/>
            <w:tcBorders/>
            <w:vAlign w:val="center"/>
          </w:tcPr>
          <w:p>
            <w:pPr>
              <w:pStyle w:val="TableContents"/>
              <w:bidi w:val="0"/>
              <w:spacing w:before="0" w:after="283"/>
              <w:jc w:val="left"/>
              <w:rPr>
                <w:sz w:val="4"/>
                <w:szCs w:val="4"/>
              </w:rPr>
            </w:pPr>
            <w:r>
              <w:rPr>
                <w:sz w:val="4"/>
                <w:szCs w:val="4"/>
              </w:rPr>
            </w:r>
          </w:p>
        </w:tc>
        <w:tc>
          <w:tcPr>
            <w:tcW w:w="5360"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Date:</w:t>
            </w:r>
          </w:p>
        </w:tc>
        <w:tc>
          <w:tcPr>
            <w:tcW w:w="117" w:type="dxa"/>
            <w:tcBorders/>
            <w:vAlign w:val="bottom"/>
          </w:tcPr>
          <w:p>
            <w:pPr>
              <w:pStyle w:val="TableContents"/>
              <w:bidi w:val="0"/>
              <w:spacing w:before="0" w:after="283"/>
              <w:jc w:val="left"/>
              <w:rPr/>
            </w:pPr>
            <w:r>
              <w:rPr/>
              <w:t> </w:t>
            </w:r>
          </w:p>
        </w:tc>
        <w:tc>
          <w:tcPr>
            <w:tcW w:w="3487" w:type="dxa"/>
            <w:tcBorders/>
          </w:tcPr>
          <w:p>
            <w:pPr>
              <w:pStyle w:val="TableContents"/>
              <w:pBdr>
                <w:bottom w:val="single" w:sz="2" w:space="1" w:color="000000"/>
              </w:pBdr>
              <w:bidi w:val="0"/>
              <w:spacing w:before="0" w:after="20"/>
              <w:jc w:val="left"/>
              <w:rPr/>
            </w:pPr>
            <w:r>
              <w:rPr/>
              <w:t> </w:t>
            </w:r>
          </w:p>
        </w:tc>
        <w:tc>
          <w:tcPr>
            <w:tcW w:w="117" w:type="dxa"/>
            <w:tcBorders/>
            <w:vAlign w:val="bottom"/>
          </w:tcPr>
          <w:p>
            <w:pPr>
              <w:pStyle w:val="TableContents"/>
              <w:bidi w:val="0"/>
              <w:spacing w:before="0" w:after="283"/>
              <w:jc w:val="left"/>
              <w:rPr/>
            </w:pPr>
            <w:r>
              <w:rPr/>
              <w:t> </w:t>
            </w:r>
          </w:p>
        </w:tc>
        <w:tc>
          <w:tcPr>
            <w:tcW w:w="465" w:type="dxa"/>
            <w:tcBorders/>
          </w:tcPr>
          <w:p>
            <w:pPr>
              <w:pStyle w:val="TableContents"/>
              <w:bidi w:val="0"/>
              <w:spacing w:before="0" w:after="283"/>
              <w:jc w:val="left"/>
              <w:rPr/>
            </w:pPr>
            <w:r>
              <w:rPr/>
              <w:t>By:</w:t>
            </w:r>
          </w:p>
        </w:tc>
        <w:tc>
          <w:tcPr>
            <w:tcW w:w="129" w:type="dxa"/>
            <w:tcBorders/>
            <w:vAlign w:val="bottom"/>
          </w:tcPr>
          <w:p>
            <w:pPr>
              <w:pStyle w:val="TableContents"/>
              <w:bidi w:val="0"/>
              <w:spacing w:before="0" w:after="283"/>
              <w:jc w:val="left"/>
              <w:rPr/>
            </w:pPr>
            <w:r>
              <w:rPr/>
              <w:t> </w:t>
            </w:r>
          </w:p>
        </w:tc>
        <w:tc>
          <w:tcPr>
            <w:tcW w:w="5231" w:type="dxa"/>
            <w:tcBorders/>
          </w:tcPr>
          <w:p>
            <w:pPr>
              <w:pStyle w:val="TableContents"/>
              <w:pBdr>
                <w:bottom w:val="single" w:sz="2" w:space="1" w:color="000000"/>
              </w:pBdr>
              <w:bidi w:val="0"/>
              <w:spacing w:before="0" w:after="20"/>
              <w:jc w:val="left"/>
              <w:rPr/>
            </w:pPr>
            <w:r>
              <w:rPr/>
              <w:t> </w:t>
            </w:r>
          </w:p>
        </w:tc>
      </w:tr>
      <w:tr>
        <w:trPr/>
        <w:tc>
          <w:tcPr>
            <w:tcW w:w="659"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3487"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6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5231" w:type="dxa"/>
            <w:tcBorders/>
          </w:tcPr>
          <w:p>
            <w:pPr>
              <w:pStyle w:val="TableContents"/>
              <w:bidi w:val="0"/>
              <w:spacing w:before="0" w:after="283"/>
              <w:jc w:val="left"/>
              <w:rPr/>
            </w:pPr>
            <w:r>
              <w:rPr/>
              <w:t>Name:</w:t>
            </w:r>
          </w:p>
        </w:tc>
      </w:tr>
      <w:tr>
        <w:trPr/>
        <w:tc>
          <w:tcPr>
            <w:tcW w:w="659"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3487"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6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5231"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certifies that this is one of the Notes referred to in the within-mentioned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1"/>
        <w:gridCol w:w="109"/>
        <w:gridCol w:w="4333"/>
        <w:gridCol w:w="109"/>
        <w:gridCol w:w="450"/>
        <w:gridCol w:w="60"/>
        <w:gridCol w:w="23"/>
        <w:gridCol w:w="109"/>
        <w:gridCol w:w="4531"/>
      </w:tblGrid>
      <w:tr>
        <w:trPr/>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33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r>
      <w:tr>
        <w:trPr/>
        <w:tc>
          <w:tcPr>
            <w:tcW w:w="481" w:type="dxa"/>
            <w:tcBorders/>
          </w:tcPr>
          <w:p>
            <w:pPr>
              <w:pStyle w:val="TableContents"/>
              <w:bidi w:val="0"/>
              <w:spacing w:before="0" w:after="283"/>
              <w:jc w:val="left"/>
              <w:rPr/>
            </w:pPr>
            <w:r>
              <w:rPr/>
              <w:t>Date:</w:t>
            </w:r>
          </w:p>
        </w:tc>
        <w:tc>
          <w:tcPr>
            <w:tcW w:w="109" w:type="dxa"/>
            <w:tcBorders/>
            <w:vAlign w:val="bottom"/>
          </w:tcPr>
          <w:p>
            <w:pPr>
              <w:pStyle w:val="TableContents"/>
              <w:bidi w:val="0"/>
              <w:spacing w:before="0" w:after="283"/>
              <w:jc w:val="left"/>
              <w:rPr/>
            </w:pPr>
            <w:r>
              <w:rPr/>
              <w:t> </w:t>
            </w:r>
          </w:p>
        </w:tc>
        <w:tc>
          <w:tcPr>
            <w:tcW w:w="4333" w:type="dxa"/>
            <w:tcBorders/>
          </w:tcPr>
          <w:p>
            <w:pPr>
              <w:pStyle w:val="TableContents"/>
              <w:pBdr>
                <w:bottom w:val="single" w:sz="2" w:space="1" w:color="000000"/>
              </w:pBdr>
              <w:bidi w:val="0"/>
              <w:spacing w:before="0" w:after="20"/>
              <w:jc w:val="left"/>
              <w:rPr/>
            </w:pPr>
            <w:r>
              <w:rPr/>
              <w:t> </w:t>
            </w:r>
          </w:p>
        </w:tc>
        <w:tc>
          <w:tcPr>
            <w:tcW w:w="109" w:type="dxa"/>
            <w:tcBorders/>
            <w:vAlign w:val="bottom"/>
          </w:tcPr>
          <w:p>
            <w:pPr>
              <w:pStyle w:val="TableContents"/>
              <w:bidi w:val="0"/>
              <w:spacing w:before="0" w:after="283"/>
              <w:jc w:val="left"/>
              <w:rPr/>
            </w:pPr>
            <w:r>
              <w:rPr/>
              <w:t> </w:t>
            </w:r>
          </w:p>
        </w:tc>
        <w:tc>
          <w:tcPr>
            <w:tcW w:w="45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531" w:type="dxa"/>
            <w:tcBorders/>
          </w:tcPr>
          <w:p>
            <w:pPr>
              <w:pStyle w:val="TableContents"/>
              <w:pBdr>
                <w:bottom w:val="single" w:sz="2" w:space="1" w:color="000000"/>
              </w:pBdr>
              <w:bidi w:val="0"/>
              <w:spacing w:before="0" w:after="20"/>
              <w:jc w:val="left"/>
              <w:rPr/>
            </w:pPr>
            <w:r>
              <w:rPr/>
              <w:t> </w:t>
            </w:r>
          </w:p>
        </w:tc>
      </w:tr>
      <w:tr>
        <w:trPr/>
        <w:tc>
          <w:tcPr>
            <w:tcW w:w="48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33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531" w:type="dxa"/>
            <w:tcBorders/>
          </w:tcPr>
          <w:p>
            <w:pPr>
              <w:pStyle w:val="TableContents"/>
              <w:bidi w:val="0"/>
              <w:spacing w:before="0" w:after="283"/>
              <w:jc w:val="center"/>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CIVEO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4.50% Convertible Senior Note due 2031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notes of Civeo Corporation, a corporation incorporated under the laws of the Province of British Columbia (the “</w:t>
      </w:r>
      <w:r>
        <w:rPr>
          <w:rFonts w:ascii="Times New Roman" w:hAnsi="Times New Roman"/>
          <w:b/>
          <w:sz w:val="20"/>
        </w:rPr>
        <w:t>Company</w:t>
      </w:r>
      <w:r>
        <w:rPr>
          <w:rFonts w:ascii="Times New Roman" w:hAnsi="Times New Roman"/>
          <w:sz w:val="20"/>
        </w:rPr>
        <w:t>”), designated as its 4.50% Convertible Senior Notes due 2031 (the “</w:t>
      </w:r>
      <w:r>
        <w:rPr>
          <w:rFonts w:ascii="Times New Roman" w:hAnsi="Times New Roman"/>
          <w:b/>
          <w:sz w:val="20"/>
        </w:rPr>
        <w:t>Notes</w:t>
      </w:r>
      <w:r>
        <w:rPr>
          <w:rFonts w:ascii="Times New Roman" w:hAnsi="Times New Roman"/>
          <w:sz w:val="20"/>
        </w:rPr>
        <w:t>”), all issued or to be issued pursuant to an indenture, dated as of July 7, 2026 (as the same may be amended from time to time, the “</w:t>
      </w:r>
      <w:r>
        <w:rPr>
          <w:rFonts w:ascii="Times New Roman" w:hAnsi="Times New Roman"/>
          <w:b/>
          <w:sz w:val="20"/>
        </w:rPr>
        <w:t>Indenture</w:t>
      </w:r>
      <w:r>
        <w:rPr>
          <w:rFonts w:ascii="Times New Roman" w:hAnsi="Times New Roman"/>
          <w:sz w:val="20"/>
        </w:rPr>
        <w:t xml:space="preserve">”), between the Company and U.S. Bank Trust Company, National Association, as trustee. Capitalized terms used in this Note without definition have the respective meanings ascribed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Interest</w:t>
      </w:r>
      <w:r>
        <w:rPr>
          <w:rFonts w:ascii="Times New Roman" w:hAnsi="Times New Roman"/>
          <w:sz w:val="20"/>
        </w:rPr>
        <w:t>. This Note will accrue interest at a rate and in the manner set forth in Section 2.05 of the Indenture. Stated Interest on this Note will begin to accrue from, and including, [</w:t>
      </w:r>
      <w:r>
        <w:rPr>
          <w:rFonts w:ascii="Times New Roman" w:hAnsi="Times New Roman"/>
          <w:i/>
          <w:sz w:val="20"/>
        </w:rPr>
        <w:t>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Maturity</w:t>
      </w:r>
      <w:r>
        <w:rPr>
          <w:rFonts w:ascii="Times New Roman" w:hAnsi="Times New Roman"/>
          <w:sz w:val="20"/>
        </w:rPr>
        <w:t xml:space="preserve">. This Note will mature on August 1, 2031, unless earlier repurchased, redeemed or Converted.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Method of Payment</w:t>
      </w:r>
      <w:r>
        <w:rPr>
          <w:rFonts w:ascii="Times New Roman" w:hAnsi="Times New Roman"/>
          <w:sz w:val="20"/>
        </w:rPr>
        <w:t xml:space="preserve">. Cash amounts due on this Note will be paid in the manner set forth in Section 2.04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Persons Deemed Owners</w:t>
      </w:r>
      <w:r>
        <w:rPr>
          <w:rFonts w:ascii="Times New Roman" w:hAnsi="Times New Roman"/>
          <w:sz w:val="20"/>
        </w:rPr>
        <w:t xml:space="preserve">. The Holder of this Note will be treated as the owner of this Note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Denominations; Transfers and Exchanges</w:t>
      </w:r>
      <w:r>
        <w:rPr>
          <w:rFonts w:ascii="Times New Roman" w:hAnsi="Times New Roman"/>
          <w:sz w:val="20"/>
        </w:rPr>
        <w:t xml:space="preserve">.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Offer to Repurchase Notes Upon a Fundamental Change</w:t>
      </w:r>
      <w:r>
        <w:rPr>
          <w:rFonts w:ascii="Times New Roman" w:hAnsi="Times New Roman"/>
          <w:sz w:val="20"/>
        </w:rPr>
        <w:t xml:space="preserve">. If a Fundamental Change (other than an Exempted Fundamental Change) occurs, then the Company will be required to offer to each Holder to repurchase such Holder’s Notes (or any portion thereof in an Authorized Denomination) for cash in the manner, and subject to the terms, set forth in Section 4.02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Right of the Company to Redeem the Notes</w:t>
      </w:r>
      <w:r>
        <w:rPr>
          <w:rFonts w:ascii="Times New Roman" w:hAnsi="Times New Roman"/>
          <w:sz w:val="20"/>
        </w:rPr>
        <w:t xml:space="preserve">. The Company will have the right to redeem the Notes for cash in the manner, and subject to the terms, set forth in Section 4.03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Conversion</w:t>
      </w:r>
      <w:r>
        <w:rPr>
          <w:rFonts w:ascii="Times New Roman" w:hAnsi="Times New Roman"/>
          <w:sz w:val="20"/>
        </w:rPr>
        <w:t xml:space="preserve">. The Holder of this Note may Convert this Note into Conversion Consideration in the manner, and subject to the terms, set forth in Article 5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When the Company May Merge, Etc</w:t>
      </w:r>
      <w:r>
        <w:rPr>
          <w:rFonts w:ascii="Times New Roman" w:hAnsi="Times New Roman"/>
          <w:sz w:val="20"/>
        </w:rPr>
        <w:t xml:space="preserve">. Article 6 of the Indenture places limited restrictions on the Company’s ability to be a party to a Business Combination Event.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Defaults and Remedies</w:t>
      </w:r>
      <w:r>
        <w:rPr>
          <w:rFonts w:ascii="Times New Roman" w:hAnsi="Times New Roman"/>
          <w:sz w:val="20"/>
        </w:rPr>
        <w:t xml:space="preserve">. If an Event of Default occurs, then the principal amount of, and all accrued and unpaid interest on, all of the Notes then outstanding may (and, in certain circumstances, will automatically) become due and payable in the manner, and subject to the terms, set forth in Article 7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Amendments, Supplements and Waivers</w:t>
      </w:r>
      <w:r>
        <w:rPr>
          <w:rFonts w:ascii="Times New Roman" w:hAnsi="Times New Roman"/>
          <w:sz w:val="20"/>
        </w:rPr>
        <w:t xml:space="preserve">. The Company and the Trustee may amend or supplement the Indenture or the Notes or waive compliance with any provision of the Indenture or the Notes in the manner, and subject to the terms, set forth in Section 7.06 and Article 8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No Personal Liability of Directors, Officers, Employees and Shareholders</w:t>
      </w:r>
      <w:r>
        <w:rPr>
          <w:rFonts w:ascii="Times New Roman" w:hAnsi="Times New Roman"/>
          <w:sz w:val="20"/>
        </w:rPr>
        <w:t xml:space="preserve">. No past, present or future director, officer, employee, incorporator or shareholder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Authentication</w:t>
      </w:r>
      <w:r>
        <w:rPr>
          <w:rFonts w:ascii="Times New Roman" w:hAnsi="Times New Roman"/>
          <w:sz w:val="20"/>
        </w:rPr>
        <w:t xml:space="preserve">. No Note will be valid until it is authenticated by the Trustee. A Note will be deemed to be duly authenticated only when an authorized signatory of the Trustee (or a duly appointed authenticating agent) manually signs the certificate of authentication of such Note.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Abbreviations</w:t>
      </w:r>
      <w:r>
        <w:rPr>
          <w:rFonts w:ascii="Times New Roman" w:hAnsi="Times New Roman"/>
          <w:sz w:val="20"/>
        </w:rPr>
        <w:t xml:space="preserve">. Customary abbreviations may be used in the name of a Holder or its assignee, such as TEN COM (tenants in common), TEN ENT (tenants by the entireties), JT TEN (joint tenants with right of survivorship and not as tenants in common), CUST (custodian), and U/G/M/A (Uniform Gift to Minors Act).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rPr>
        <w:t>Governing Law</w:t>
      </w:r>
      <w:r>
        <w:rPr>
          <w:rFonts w:ascii="Times New Roman" w:hAnsi="Times New Roman"/>
          <w:sz w:val="20"/>
        </w:rPr>
        <w:t xml:space="preserve">. THIS NOTE, AND ANY CLAIM, CONTROVERSY OR DISPUTE ARISING UNDER OR RELATED TO THIS NOTE, WILL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To request a copy of the Indenture, which the Company will provide to any Holder at no charge, please send a written request to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Civeo Corporation </w:t>
      </w:r>
    </w:p>
    <w:p>
      <w:pPr>
        <w:pStyle w:val="TextBody"/>
        <w:bidi w:val="0"/>
        <w:spacing w:before="0" w:after="0"/>
        <w:jc w:val="center"/>
        <w:rPr>
          <w:rFonts w:ascii="Times New Roman" w:hAnsi="Times New Roman"/>
          <w:sz w:val="20"/>
        </w:rPr>
      </w:pPr>
      <w:r>
        <w:rPr>
          <w:rFonts w:ascii="Times New Roman" w:hAnsi="Times New Roman"/>
          <w:sz w:val="20"/>
        </w:rPr>
        <w:t xml:space="preserve">Three Allen Center, 333 Clay Street, Suite 4400 </w:t>
      </w:r>
    </w:p>
    <w:p>
      <w:pPr>
        <w:pStyle w:val="TextBody"/>
        <w:bidi w:val="0"/>
        <w:spacing w:before="0" w:after="0"/>
        <w:jc w:val="center"/>
        <w:rPr>
          <w:rFonts w:ascii="Times New Roman" w:hAnsi="Times New Roman"/>
          <w:sz w:val="20"/>
        </w:rPr>
      </w:pPr>
      <w:r>
        <w:rPr>
          <w:rFonts w:ascii="Times New Roman" w:hAnsi="Times New Roman"/>
          <w:sz w:val="20"/>
        </w:rPr>
        <w:t xml:space="preserve">Houston, Texas 77002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EXCHANGES OF INTERESTS IN THE GLOBAL NOTE* </w:t>
      </w:r>
    </w:p>
    <w:p>
      <w:pPr>
        <w:pStyle w:val="TextBody"/>
        <w:bidi w:val="0"/>
        <w:spacing w:before="240" w:after="0"/>
        <w:jc w:val="center"/>
        <w:rPr>
          <w:rFonts w:ascii="Times New Roman" w:hAnsi="Times New Roman"/>
          <w:sz w:val="20"/>
        </w:rPr>
      </w:pPr>
      <w:r>
        <w:rPr>
          <w:rFonts w:ascii="Times New Roman" w:hAnsi="Times New Roman"/>
          <w:sz w:val="20"/>
        </w:rPr>
        <w:t xml:space="preserve">INITIAL PRINCIPAL AMOUNT OF THIS GLOBAL NOTE: $[___]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transfers or cancellations of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5"/>
        <w:gridCol w:w="60"/>
        <w:gridCol w:w="2478"/>
        <w:gridCol w:w="108"/>
        <w:gridCol w:w="2561"/>
        <w:gridCol w:w="121"/>
        <w:gridCol w:w="2202"/>
      </w:tblGrid>
      <w:tr>
        <w:trPr/>
        <w:tc>
          <w:tcPr>
            <w:tcW w:w="26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60" w:type="dxa"/>
            <w:tcBorders/>
            <w:vAlign w:val="bottom"/>
          </w:tcPr>
          <w:p>
            <w:pPr>
              <w:pStyle w:val="TableContents"/>
              <w:bidi w:val="0"/>
              <w:spacing w:before="0" w:after="283"/>
              <w:jc w:val="left"/>
              <w:rPr/>
            </w:pPr>
            <w:r>
              <w:rPr/>
              <w:t> </w:t>
            </w:r>
          </w:p>
        </w:tc>
        <w:tc>
          <w:tcPr>
            <w:tcW w:w="247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Increase</w:t>
            </w:r>
          </w:p>
          <w:p>
            <w:pPr>
              <w:pStyle w:val="TableContents"/>
              <w:bidi w:val="0"/>
              <w:spacing w:before="0" w:after="0"/>
              <w:jc w:val="center"/>
              <w:rPr>
                <w:rFonts w:ascii="Times New Roman" w:hAnsi="Times New Roman"/>
                <w:b/>
                <w:sz w:val="16"/>
              </w:rPr>
            </w:pPr>
            <w:r>
              <w:rPr>
                <w:rFonts w:ascii="Times New Roman" w:hAnsi="Times New Roman"/>
                <w:b/>
                <w:sz w:val="16"/>
              </w:rPr>
              <w:t>(Decrease)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20"/>
              <w:jc w:val="center"/>
              <w:rPr>
                <w:rFonts w:ascii="Times New Roman" w:hAnsi="Times New Roman"/>
                <w:b/>
                <w:sz w:val="16"/>
              </w:rPr>
            </w:pPr>
            <w:r>
              <w:rPr>
                <w:rFonts w:ascii="Times New Roman" w:hAnsi="Times New Roman"/>
                <w:b/>
                <w:sz w:val="16"/>
              </w:rPr>
              <w:t>this Global Note</w:t>
            </w:r>
          </w:p>
        </w:tc>
        <w:tc>
          <w:tcPr>
            <w:tcW w:w="108" w:type="dxa"/>
            <w:tcBorders/>
            <w:vAlign w:val="bottom"/>
          </w:tcPr>
          <w:p>
            <w:pPr>
              <w:pStyle w:val="TableContents"/>
              <w:bidi w:val="0"/>
              <w:spacing w:before="0" w:after="283"/>
              <w:jc w:val="left"/>
              <w:rPr/>
            </w:pPr>
            <w:r>
              <w:rPr/>
              <w:t> </w:t>
            </w:r>
          </w:p>
        </w:tc>
        <w:tc>
          <w:tcPr>
            <w:tcW w:w="256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0"/>
              <w:jc w:val="center"/>
              <w:rPr>
                <w:rFonts w:ascii="Times New Roman" w:hAnsi="Times New Roman"/>
                <w:b/>
                <w:sz w:val="16"/>
              </w:rPr>
            </w:pPr>
            <w:r>
              <w:rPr>
                <w:rFonts w:ascii="Times New Roman" w:hAnsi="Times New Roman"/>
                <w:b/>
                <w:sz w:val="16"/>
              </w:rPr>
              <w:t>this Global Note</w:t>
            </w:r>
          </w:p>
          <w:p>
            <w:pPr>
              <w:pStyle w:val="TableContents"/>
              <w:bidi w:val="0"/>
              <w:spacing w:before="0" w:after="0"/>
              <w:jc w:val="center"/>
              <w:rPr>
                <w:rFonts w:ascii="Times New Roman" w:hAnsi="Times New Roman"/>
                <w:b/>
                <w:sz w:val="16"/>
              </w:rPr>
            </w:pPr>
            <w:r>
              <w:rPr>
                <w:rFonts w:ascii="Times New Roman" w:hAnsi="Times New Roman"/>
                <w:b/>
                <w:sz w:val="16"/>
              </w:rPr>
              <w:t>After Such Increase</w:t>
            </w:r>
          </w:p>
          <w:p>
            <w:pPr>
              <w:pStyle w:val="TableContents"/>
              <w:bidi w:val="0"/>
              <w:spacing w:before="0" w:after="20"/>
              <w:jc w:val="center"/>
              <w:rPr>
                <w:rFonts w:ascii="Times New Roman" w:hAnsi="Times New Roman"/>
                <w:b/>
                <w:sz w:val="16"/>
              </w:rPr>
            </w:pPr>
            <w:r>
              <w:rPr>
                <w:rFonts w:ascii="Times New Roman" w:hAnsi="Times New Roman"/>
                <w:b/>
                <w:sz w:val="16"/>
              </w:rPr>
              <w:t>(Decrease)</w:t>
            </w:r>
          </w:p>
        </w:tc>
        <w:tc>
          <w:tcPr>
            <w:tcW w:w="121" w:type="dxa"/>
            <w:tcBorders/>
            <w:vAlign w:val="bottom"/>
          </w:tcPr>
          <w:p>
            <w:pPr>
              <w:pStyle w:val="TableContents"/>
              <w:bidi w:val="0"/>
              <w:spacing w:before="0" w:after="283"/>
              <w:jc w:val="left"/>
              <w:rPr/>
            </w:pPr>
            <w:r>
              <w:rPr/>
              <w:t>  </w:t>
            </w:r>
          </w:p>
        </w:tc>
        <w:tc>
          <w:tcPr>
            <w:tcW w:w="220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w:t>
            </w:r>
          </w:p>
          <w:p>
            <w:pPr>
              <w:pStyle w:val="TableContents"/>
              <w:bidi w:val="0"/>
              <w:spacing w:before="0" w:after="20"/>
              <w:jc w:val="center"/>
              <w:rPr>
                <w:rFonts w:ascii="Times New Roman" w:hAnsi="Times New Roman"/>
                <w:b/>
                <w:sz w:val="16"/>
              </w:rPr>
            </w:pPr>
            <w:r>
              <w:rPr>
                <w:rFonts w:ascii="Times New Roman" w:hAnsi="Times New Roman"/>
                <w:b/>
                <w:sz w:val="16"/>
              </w:rPr>
              <w:t>Signatory of Trustee</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6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02" w:type="dxa"/>
            <w:tcBorders/>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top w:val="single" w:sz="2"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top w:val="single" w:sz="2" w:space="1" w:color="000000"/>
              </w:pBdr>
              <w:bidi w:val="0"/>
              <w:spacing w:before="0" w:after="0"/>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CONVERSION NOTICE </w:t>
      </w:r>
    </w:p>
    <w:p>
      <w:pPr>
        <w:pStyle w:val="TextBody"/>
        <w:bidi w:val="0"/>
        <w:spacing w:before="240" w:after="0"/>
        <w:jc w:val="center"/>
        <w:rPr>
          <w:rFonts w:ascii="Times New Roman" w:hAnsi="Times New Roman"/>
          <w:sz w:val="20"/>
        </w:rPr>
      </w:pPr>
      <w:r>
        <w:rPr>
          <w:rFonts w:ascii="Times New Roman" w:hAnsi="Times New Roman"/>
          <w:sz w:val="20"/>
        </w:rPr>
        <w:t xml:space="preserve">CIVEO CORPORATION </w:t>
      </w:r>
    </w:p>
    <w:p>
      <w:pPr>
        <w:pStyle w:val="TextBody"/>
        <w:bidi w:val="0"/>
        <w:spacing w:before="240" w:after="0"/>
        <w:jc w:val="center"/>
        <w:rPr>
          <w:rFonts w:ascii="Times New Roman" w:hAnsi="Times New Roman"/>
          <w:sz w:val="20"/>
        </w:rPr>
      </w:pPr>
      <w:r>
        <w:rPr>
          <w:rFonts w:ascii="Times New Roman" w:hAnsi="Times New Roman"/>
          <w:sz w:val="20"/>
        </w:rPr>
        <w:t xml:space="preserve">4.50% Convertible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by executing and delivering this Conversion Notice, the undersigned Holder of the Note identified below directs the Company to Convert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entire principal amount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aggregate principal amount of </w:t>
            </w:r>
          </w:p>
        </w:tc>
      </w:tr>
    </w:tbl>
    <w:p>
      <w:pPr>
        <w:pStyle w:val="TextBody"/>
        <w:bidi w:val="0"/>
        <w:spacing w:before="240" w:after="0"/>
        <w:jc w:val="left"/>
        <w:rPr>
          <w:rFonts w:ascii="Times New Roman" w:hAnsi="Times New Roman"/>
          <w:sz w:val="20"/>
        </w:rPr>
      </w:pPr>
      <w:r>
        <w:rPr>
          <w:rFonts w:ascii="Times New Roman" w:hAnsi="Times New Roman"/>
          <w:sz w:val="20"/>
        </w:rPr>
        <w:t>the Note identified by CUSIP No.</w:t>
      </w:r>
      <w:r>
        <w:rPr>
          <w:rFonts w:ascii="Times New Roman" w:hAnsi="Times New Roman"/>
          <w:sz w:val="20"/>
          <w:u w:val="single"/>
        </w:rPr>
        <w:t>     </w:t>
      </w:r>
      <w:r>
        <w:rPr>
          <w:rFonts w:ascii="Times New Roman" w:hAnsi="Times New Roman"/>
          <w:sz w:val="20"/>
        </w:rPr>
        <w:t xml:space="preserve"> and Certificate No.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121"/>
        <w:gridCol w:w="473"/>
        <w:gridCol w:w="121"/>
        <w:gridCol w:w="4286"/>
      </w:tblGrid>
      <w:tr>
        <w:trPr/>
        <w:tc>
          <w:tcPr>
            <w:tcW w:w="520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286"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 xml:space="preserve">Date: </w:t>
            </w:r>
            <w:r>
              <w:rPr>
                <w:u w:val="single"/>
              </w:rPr>
              <w:t>              </w:t>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pBdr>
                <w:bottom w:val="single" w:sz="2" w:space="1" w:color="000000"/>
              </w:pBdr>
              <w:bidi w:val="0"/>
              <w:spacing w:before="0" w:after="20"/>
              <w:jc w:val="left"/>
              <w:rPr/>
            </w:pPr>
            <w:r>
              <w:rPr/>
              <w:t> </w:t>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bidi w:val="0"/>
              <w:spacing w:before="0" w:after="283"/>
              <w:jc w:val="center"/>
              <w:rPr/>
            </w:pPr>
            <w:r>
              <w:rPr/>
              <w:t>(Legal Name of Holder)</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4407"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4286" w:type="dxa"/>
            <w:tcBorders/>
          </w:tcPr>
          <w:p>
            <w:pPr>
              <w:pStyle w:val="TableContents"/>
              <w:pBdr>
                <w:bottom w:val="single" w:sz="2" w:space="1" w:color="000000"/>
              </w:pBdr>
              <w:bidi w:val="0"/>
              <w:spacing w:before="0" w:after="20"/>
              <w:jc w:val="left"/>
              <w:rPr/>
            </w:pPr>
            <w:r>
              <w:rPr/>
              <w:t> </w:t>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286" w:type="dxa"/>
            <w:tcBorders/>
          </w:tcPr>
          <w:p>
            <w:pPr>
              <w:pStyle w:val="TableContents"/>
              <w:bidi w:val="0"/>
              <w:spacing w:before="0" w:after="283"/>
              <w:jc w:val="left"/>
              <w:rPr/>
            </w:pPr>
            <w:r>
              <w:rPr/>
              <w:t>Name:</w:t>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286" w:type="dxa"/>
            <w:tcBorders/>
          </w:tcPr>
          <w:p>
            <w:pPr>
              <w:pStyle w:val="TableContents"/>
              <w:bidi w:val="0"/>
              <w:spacing w:before="0" w:after="283"/>
              <w:jc w:val="left"/>
              <w:rPr/>
            </w:pPr>
            <w:r>
              <w:rPr/>
              <w:t>Title:</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4"/>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bidi w:val="0"/>
              <w:spacing w:before="0" w:after="283"/>
              <w:jc w:val="left"/>
              <w:rPr/>
            </w:pPr>
            <w:r>
              <w:rPr/>
              <w:t>Signature Guaranteed: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4"/>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pBdr>
                <w:bottom w:val="single" w:sz="2" w:space="1" w:color="000000"/>
              </w:pBdr>
              <w:bidi w:val="0"/>
              <w:spacing w:before="0" w:after="20"/>
              <w:jc w:val="left"/>
              <w:rPr/>
            </w:pPr>
            <w:r>
              <w:rPr/>
              <w:t> </w:t>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bidi w:val="0"/>
              <w:spacing w:before="0" w:after="283"/>
              <w:jc w:val="center"/>
              <w:rPr/>
            </w:pPr>
            <w:r>
              <w:rPr/>
              <w:t>Participant in a Recognized Signature</w:t>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bidi w:val="0"/>
              <w:spacing w:before="0" w:after="283"/>
              <w:jc w:val="center"/>
              <w:rPr/>
            </w:pPr>
            <w:r>
              <w:rPr/>
              <w:t>Guarantee Medallion Program</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4407"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4286" w:type="dxa"/>
            <w:tcBorders/>
          </w:tcPr>
          <w:p>
            <w:pPr>
              <w:pStyle w:val="TableContents"/>
              <w:pBdr>
                <w:bottom w:val="single" w:sz="2" w:space="1" w:color="000000"/>
              </w:pBdr>
              <w:bidi w:val="0"/>
              <w:spacing w:before="0" w:after="20"/>
              <w:jc w:val="left"/>
              <w:rPr/>
            </w:pPr>
            <w:r>
              <w:rPr/>
              <w:t> </w:t>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bidi w:val="0"/>
              <w:spacing w:before="0" w:after="283"/>
              <w:jc w:val="center"/>
              <w:rPr/>
            </w:pPr>
            <w:r>
              <w:rPr/>
              <w:t>Authorized Signatory</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an Authorized Denomination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FUNDAMENTAL CHANGE REPURCHASE NOTICE </w:t>
      </w:r>
    </w:p>
    <w:p>
      <w:pPr>
        <w:pStyle w:val="TextBody"/>
        <w:bidi w:val="0"/>
        <w:spacing w:before="240" w:after="0"/>
        <w:jc w:val="center"/>
        <w:rPr>
          <w:rFonts w:ascii="Times New Roman" w:hAnsi="Times New Roman"/>
          <w:sz w:val="20"/>
        </w:rPr>
      </w:pPr>
      <w:r>
        <w:rPr>
          <w:rFonts w:ascii="Times New Roman" w:hAnsi="Times New Roman"/>
          <w:sz w:val="20"/>
        </w:rPr>
        <w:t xml:space="preserve">CIVEO CORPORATION </w:t>
      </w:r>
    </w:p>
    <w:p>
      <w:pPr>
        <w:pStyle w:val="TextBody"/>
        <w:bidi w:val="0"/>
        <w:spacing w:before="240" w:after="0"/>
        <w:jc w:val="center"/>
        <w:rPr>
          <w:rFonts w:ascii="Times New Roman" w:hAnsi="Times New Roman"/>
          <w:sz w:val="20"/>
        </w:rPr>
      </w:pPr>
      <w:r>
        <w:rPr>
          <w:rFonts w:ascii="Times New Roman" w:hAnsi="Times New Roman"/>
          <w:sz w:val="20"/>
        </w:rPr>
        <w:t xml:space="preserve">4.50% Convertible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by executing and delivering this Fundamental Change Repurchase Notice, the undersigned Holder of the Note identified below is exercising its Fundamental Change Repurchase Right with respect to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entire principal amount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aggregate principal amount 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 identified by CUSIP No. and Certificate No. .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that this Note, duly endorsed for transfer, must be delivered to the Paying Agent before the Fundamental Change Repurchase Price will be paid.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121"/>
        <w:gridCol w:w="473"/>
        <w:gridCol w:w="121"/>
        <w:gridCol w:w="4286"/>
      </w:tblGrid>
      <w:tr>
        <w:trPr/>
        <w:tc>
          <w:tcPr>
            <w:tcW w:w="520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286"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 xml:space="preserve">Date: </w:t>
            </w:r>
            <w:r>
              <w:rPr>
                <w:u w:val="single"/>
              </w:rPr>
              <w:t>              </w:t>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pBdr>
                <w:bottom w:val="single" w:sz="2" w:space="1" w:color="000000"/>
              </w:pBdr>
              <w:bidi w:val="0"/>
              <w:spacing w:before="0" w:after="20"/>
              <w:jc w:val="left"/>
              <w:rPr/>
            </w:pPr>
            <w:r>
              <w:rPr/>
              <w:t> </w:t>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bidi w:val="0"/>
              <w:spacing w:before="0" w:after="283"/>
              <w:jc w:val="center"/>
              <w:rPr/>
            </w:pPr>
            <w:r>
              <w:rPr/>
              <w:t>(Legal Name of Holder)</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4407"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4286" w:type="dxa"/>
            <w:tcBorders/>
          </w:tcPr>
          <w:p>
            <w:pPr>
              <w:pStyle w:val="TableContents"/>
              <w:pBdr>
                <w:bottom w:val="single" w:sz="2" w:space="1" w:color="000000"/>
              </w:pBdr>
              <w:bidi w:val="0"/>
              <w:spacing w:before="0" w:after="20"/>
              <w:jc w:val="left"/>
              <w:rPr/>
            </w:pPr>
            <w:r>
              <w:rPr/>
              <w:t> </w:t>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286" w:type="dxa"/>
            <w:tcBorders/>
          </w:tcPr>
          <w:p>
            <w:pPr>
              <w:pStyle w:val="TableContents"/>
              <w:bidi w:val="0"/>
              <w:spacing w:before="0" w:after="283"/>
              <w:jc w:val="left"/>
              <w:rPr/>
            </w:pPr>
            <w:r>
              <w:rPr/>
              <w:t>Name:</w:t>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286" w:type="dxa"/>
            <w:tcBorders/>
          </w:tcPr>
          <w:p>
            <w:pPr>
              <w:pStyle w:val="TableContents"/>
              <w:bidi w:val="0"/>
              <w:spacing w:before="0" w:after="283"/>
              <w:jc w:val="left"/>
              <w:rPr/>
            </w:pPr>
            <w:r>
              <w:rPr/>
              <w:t>Title:</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4"/>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bidi w:val="0"/>
              <w:spacing w:before="0" w:after="283"/>
              <w:jc w:val="left"/>
              <w:rPr/>
            </w:pPr>
            <w:r>
              <w:rPr/>
              <w:t>Signature Guaranteed: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4"/>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pBdr>
                <w:bottom w:val="single" w:sz="2" w:space="1" w:color="000000"/>
              </w:pBdr>
              <w:bidi w:val="0"/>
              <w:spacing w:before="0" w:after="20"/>
              <w:jc w:val="left"/>
              <w:rPr/>
            </w:pPr>
            <w:r>
              <w:rPr/>
              <w:t> </w:t>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bidi w:val="0"/>
              <w:spacing w:before="0" w:after="283"/>
              <w:jc w:val="center"/>
              <w:rPr/>
            </w:pPr>
            <w:r>
              <w:rPr/>
              <w:t>Participant in a Recognized Signature</w:t>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bidi w:val="0"/>
              <w:spacing w:before="0" w:after="283"/>
              <w:jc w:val="center"/>
              <w:rPr/>
            </w:pPr>
            <w:r>
              <w:rPr/>
              <w:t>Guarantee Medallion Program</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4407"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3"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4286" w:type="dxa"/>
            <w:tcBorders/>
          </w:tcPr>
          <w:p>
            <w:pPr>
              <w:pStyle w:val="TableContents"/>
              <w:pBdr>
                <w:bottom w:val="single" w:sz="2" w:space="1" w:color="000000"/>
              </w:pBdr>
              <w:bidi w:val="0"/>
              <w:spacing w:before="0" w:after="20"/>
              <w:jc w:val="left"/>
              <w:rPr/>
            </w:pPr>
            <w:r>
              <w:rPr/>
              <w:t> </w:t>
            </w:r>
          </w:p>
        </w:tc>
      </w:tr>
      <w:tr>
        <w:trPr/>
        <w:tc>
          <w:tcPr>
            <w:tcW w:w="52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80" w:type="dxa"/>
            <w:gridSpan w:val="3"/>
            <w:tcBorders/>
          </w:tcPr>
          <w:p>
            <w:pPr>
              <w:pStyle w:val="TableContents"/>
              <w:bidi w:val="0"/>
              <w:spacing w:before="0" w:after="283"/>
              <w:jc w:val="center"/>
              <w:rPr/>
            </w:pPr>
            <w:r>
              <w:rPr/>
              <w:t>Authorized Signatory</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an Authorized Denomination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center"/>
        <w:rPr>
          <w:rFonts w:ascii="Times New Roman" w:hAnsi="Times New Roman"/>
          <w:sz w:val="24"/>
        </w:rPr>
      </w:pPr>
      <w:r>
        <w:rPr>
          <w:rFonts w:ascii="Times New Roman" w:hAnsi="Times New Roman"/>
          <w:sz w:val="24"/>
        </w:rPr>
        <w:t xml:space="preserve">CIVEO CORPORATION </w:t>
      </w:r>
    </w:p>
    <w:p>
      <w:pPr>
        <w:pStyle w:val="TextBody"/>
        <w:bidi w:val="0"/>
        <w:spacing w:before="240" w:after="0"/>
        <w:jc w:val="center"/>
        <w:rPr>
          <w:rFonts w:ascii="Times New Roman" w:hAnsi="Times New Roman"/>
          <w:sz w:val="20"/>
        </w:rPr>
      </w:pPr>
      <w:r>
        <w:rPr>
          <w:rFonts w:ascii="Times New Roman" w:hAnsi="Times New Roman"/>
          <w:sz w:val="20"/>
        </w:rPr>
        <w:t xml:space="preserve">4.50% Convertible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the undersigned Holder of the Note identified below assigns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entire principal amount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aggregate principal amount 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 identified by CUSIP No. </w:t>
      </w:r>
      <w:r>
        <w:rPr>
          <w:rFonts w:ascii="Times New Roman" w:hAnsi="Times New Roman"/>
          <w:sz w:val="20"/>
          <w:u w:val="single"/>
        </w:rPr>
        <w:t>    </w:t>
      </w:r>
      <w:r>
        <w:rPr>
          <w:rFonts w:ascii="Times New Roman" w:hAnsi="Times New Roman"/>
          <w:sz w:val="20"/>
        </w:rPr>
        <w:t xml:space="preserve"> and Certificate No. </w:t>
      </w:r>
      <w:r>
        <w:rPr>
          <w:rFonts w:ascii="Times New Roman" w:hAnsi="Times New Roman"/>
          <w:sz w:val="20"/>
          <w:u w:val="single"/>
        </w:rPr>
        <w:t>    </w:t>
      </w:r>
      <w:r>
        <w:rPr>
          <w:rFonts w:ascii="Times New Roman" w:hAnsi="Times New Roman"/>
          <w:sz w:val="20"/>
        </w:rPr>
        <w:t xml:space="preserve">, and all rights thereunder,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673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Name:</w:t>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pBdr>
                <w:bottom w:val="single" w:sz="2" w:space="1" w:color="000000"/>
              </w:pBdr>
              <w:bidi w:val="0"/>
              <w:spacing w:before="0" w:after="20"/>
              <w:jc w:val="left"/>
              <w:rPr/>
            </w:pPr>
            <w:r>
              <w:rPr/>
              <w:t> </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Address:</w:t>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pBdr>
                <w:bottom w:val="single" w:sz="2" w:space="1" w:color="000000"/>
              </w:pBdr>
              <w:bidi w:val="0"/>
              <w:spacing w:before="0" w:after="20"/>
              <w:jc w:val="left"/>
              <w:rPr/>
            </w:pPr>
            <w:r>
              <w:rPr/>
              <w:t> </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Social security or tax id. #:</w:t>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pBdr>
                <w:bottom w:val="single" w:sz="2" w:space="1" w:color="000000"/>
              </w:pBdr>
              <w:bidi w:val="0"/>
              <w:spacing w:before="0" w:after="20"/>
              <w:jc w:val="left"/>
              <w:rPr/>
            </w:pPr>
            <w:r>
              <w:rPr/>
              <w:t> </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and irrevocably appoints:</w:t>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agent to transfer the within Note on the books of the Company. The agent may substitute another to act for him/her.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4"/>
        <w:gridCol w:w="101"/>
        <w:gridCol w:w="408"/>
        <w:gridCol w:w="101"/>
        <w:gridCol w:w="305"/>
        <w:gridCol w:w="101"/>
        <w:gridCol w:w="4595"/>
      </w:tblGrid>
      <w:tr>
        <w:trPr/>
        <w:tc>
          <w:tcPr>
            <w:tcW w:w="459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pPr>
            <w:r>
              <w:rPr/>
              <w:t>Date:</w:t>
            </w:r>
            <w:r>
              <w:rPr>
                <w:u w:val="single"/>
              </w:rPr>
              <w:t>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pBdr>
                <w:bottom w:val="single" w:sz="2" w:space="1" w:color="000000"/>
              </w:pBdr>
              <w:bidi w:val="0"/>
              <w:spacing w:before="0" w:after="20"/>
              <w:jc w:val="left"/>
              <w:rPr/>
            </w:pPr>
            <w:r>
              <w:rPr/>
              <w:t> </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center"/>
              <w:rPr/>
            </w:pPr>
            <w:r>
              <w:rPr/>
              <w:t>(Legal Name of Holder)</w:t>
            </w:r>
          </w:p>
        </w:tc>
      </w:tr>
      <w:tr>
        <w:trPr>
          <w:trHeight w:val="240" w:hRule="atLeast"/>
        </w:trPr>
        <w:tc>
          <w:tcPr>
            <w:tcW w:w="459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6" w:type="dxa"/>
            <w:gridSpan w:val="2"/>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Name:</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Title:</w:t>
            </w:r>
          </w:p>
        </w:tc>
      </w:tr>
      <w:tr>
        <w:trPr>
          <w:trHeight w:val="240" w:hRule="atLeast"/>
        </w:trPr>
        <w:tc>
          <w:tcPr>
            <w:tcW w:w="459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5102" w:type="dxa"/>
            <w:gridSpan w:val="4"/>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center"/>
              <w:rPr/>
            </w:pPr>
            <w:r>
              <w:rPr/>
              <w:t>Signature Guaranteed:</w:t>
            </w:r>
          </w:p>
        </w:tc>
      </w:tr>
      <w:tr>
        <w:trPr>
          <w:trHeight w:val="240" w:hRule="atLeast"/>
        </w:trPr>
        <w:tc>
          <w:tcPr>
            <w:tcW w:w="459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5102" w:type="dxa"/>
            <w:gridSpan w:val="4"/>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Times New Roman" w:hAnsi="Times New Roman"/>
                <w:sz w:val="20"/>
              </w:rPr>
            </w:pPr>
            <w:r>
              <w:rPr>
                <w:rFonts w:ascii="Times New Roman" w:hAnsi="Times New Roman"/>
                <w:sz w:val="20"/>
              </w:rPr>
              <w:t>Participant in a Recognized Signature</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center"/>
              <w:rPr/>
            </w:pPr>
            <w:r>
              <w:rPr/>
              <w:t>Guarantee Medallion Program</w:t>
            </w:r>
          </w:p>
        </w:tc>
      </w:tr>
      <w:tr>
        <w:trPr>
          <w:trHeight w:val="240" w:hRule="atLeast"/>
        </w:trPr>
        <w:tc>
          <w:tcPr>
            <w:tcW w:w="459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6" w:type="dxa"/>
            <w:gridSpan w:val="2"/>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pBdr>
                <w:bottom w:val="single" w:sz="2" w:space="1" w:color="000000"/>
              </w:pBdr>
              <w:bidi w:val="0"/>
              <w:spacing w:before="0" w:after="20"/>
              <w:jc w:val="left"/>
              <w:rPr/>
            </w:pPr>
            <w:r>
              <w:rPr/>
              <w:t> </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center"/>
              <w:rPr/>
            </w:pPr>
            <w:r>
              <w:rPr/>
              <w:t>Authorized Signatory</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an Authorized Denomination.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TRANSFEROR ACKNOWLEDGMENT </w:t>
      </w:r>
    </w:p>
    <w:p>
      <w:pPr>
        <w:pStyle w:val="TextBody"/>
        <w:bidi w:val="0"/>
        <w:spacing w:before="240" w:after="0"/>
        <w:jc w:val="left"/>
        <w:rPr>
          <w:rFonts w:ascii="Times New Roman" w:hAnsi="Times New Roman"/>
          <w:sz w:val="20"/>
        </w:rPr>
      </w:pPr>
      <w:r>
        <w:rPr>
          <w:rFonts w:ascii="Times New Roman" w:hAnsi="Times New Roman"/>
          <w:sz w:val="20"/>
        </w:rPr>
        <w:t xml:space="preserve">If the within Note bears a Restricted Note Legend, the undersigned further certifies that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
        <w:gridCol w:w="137"/>
        <w:gridCol w:w="270"/>
        <w:gridCol w:w="137"/>
        <w:gridCol w:w="9518"/>
      </w:tblGrid>
      <w:tr>
        <w:trPr/>
        <w:tc>
          <w:tcPr>
            <w:tcW w:w="143"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9518" w:type="dxa"/>
            <w:tcBorders/>
            <w:vAlign w:val="center"/>
          </w:tcPr>
          <w:p>
            <w:pPr>
              <w:pStyle w:val="TableContents"/>
              <w:bidi w:val="0"/>
              <w:spacing w:before="0" w:after="283"/>
              <w:jc w:val="left"/>
              <w:rPr>
                <w:sz w:val="4"/>
                <w:szCs w:val="4"/>
              </w:rPr>
            </w:pPr>
            <w:r>
              <w:rPr>
                <w:sz w:val="4"/>
                <w:szCs w:val="4"/>
              </w:rPr>
            </w:r>
          </w:p>
        </w:tc>
      </w:tr>
      <w:tr>
        <w:trPr/>
        <w:tc>
          <w:tcPr>
            <w:tcW w:w="143" w:type="dxa"/>
            <w:tcBorders/>
          </w:tcPr>
          <w:p>
            <w:pPr>
              <w:pStyle w:val="TableContents"/>
              <w:bidi w:val="0"/>
              <w:spacing w:before="0" w:after="283"/>
              <w:jc w:val="left"/>
              <w:rPr/>
            </w:pPr>
            <w:r>
              <w:rPr/>
              <w:t>1.</w:t>
            </w:r>
          </w:p>
        </w:tc>
        <w:tc>
          <w:tcPr>
            <w:tcW w:w="137" w:type="dxa"/>
            <w:tcBorders/>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w:t>
            </w:r>
          </w:p>
        </w:tc>
        <w:tc>
          <w:tcPr>
            <w:tcW w:w="137" w:type="dxa"/>
            <w:tcBorders/>
            <w:vAlign w:val="bottom"/>
          </w:tcPr>
          <w:p>
            <w:pPr>
              <w:pStyle w:val="TableContents"/>
              <w:bidi w:val="0"/>
              <w:spacing w:before="0" w:after="283"/>
              <w:jc w:val="left"/>
              <w:rPr/>
            </w:pPr>
            <w:r>
              <w:rPr/>
              <w:t>  </w:t>
            </w:r>
          </w:p>
        </w:tc>
        <w:tc>
          <w:tcPr>
            <w:tcW w:w="9518" w:type="dxa"/>
            <w:tcBorders/>
          </w:tcPr>
          <w:p>
            <w:pPr>
              <w:pStyle w:val="TableContents"/>
              <w:bidi w:val="0"/>
              <w:spacing w:before="0" w:after="283"/>
              <w:jc w:val="left"/>
              <w:rPr/>
            </w:pPr>
            <w:r>
              <w:rPr/>
              <w:t>Such Transfer is being made to the Company or a Subsidiary of the Company.</w:t>
            </w:r>
          </w:p>
        </w:tc>
      </w:tr>
      <w:tr>
        <w:trPr>
          <w:trHeight w:val="120" w:hRule="atLeast"/>
        </w:trPr>
        <w:tc>
          <w:tcPr>
            <w:tcW w:w="143" w:type="dxa"/>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9655" w:type="dxa"/>
            <w:gridSpan w:val="2"/>
            <w:tcBorders/>
            <w:vAlign w:val="center"/>
          </w:tcPr>
          <w:p>
            <w:pPr>
              <w:pStyle w:val="TableContents"/>
              <w:bidi w:val="0"/>
              <w:spacing w:before="0" w:after="283"/>
              <w:jc w:val="left"/>
              <w:rPr>
                <w:sz w:val="4"/>
                <w:szCs w:val="4"/>
              </w:rPr>
            </w:pPr>
            <w:r>
              <w:rPr>
                <w:sz w:val="4"/>
                <w:szCs w:val="4"/>
              </w:rPr>
            </w:r>
          </w:p>
        </w:tc>
      </w:tr>
      <w:tr>
        <w:trPr/>
        <w:tc>
          <w:tcPr>
            <w:tcW w:w="143" w:type="dxa"/>
            <w:tcBorders/>
          </w:tcPr>
          <w:p>
            <w:pPr>
              <w:pStyle w:val="TableContents"/>
              <w:bidi w:val="0"/>
              <w:spacing w:before="0" w:after="283"/>
              <w:jc w:val="left"/>
              <w:rPr/>
            </w:pPr>
            <w:r>
              <w:rPr/>
              <w:t>2.</w:t>
            </w:r>
          </w:p>
        </w:tc>
        <w:tc>
          <w:tcPr>
            <w:tcW w:w="137" w:type="dxa"/>
            <w:tcBorders/>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w:t>
            </w:r>
          </w:p>
        </w:tc>
        <w:tc>
          <w:tcPr>
            <w:tcW w:w="137" w:type="dxa"/>
            <w:tcBorders/>
            <w:vAlign w:val="bottom"/>
          </w:tcPr>
          <w:p>
            <w:pPr>
              <w:pStyle w:val="TableContents"/>
              <w:bidi w:val="0"/>
              <w:spacing w:before="0" w:after="283"/>
              <w:jc w:val="left"/>
              <w:rPr/>
            </w:pPr>
            <w:r>
              <w:rPr/>
              <w:t>  </w:t>
            </w:r>
          </w:p>
        </w:tc>
        <w:tc>
          <w:tcPr>
            <w:tcW w:w="9518" w:type="dxa"/>
            <w:tcBorders/>
          </w:tcPr>
          <w:p>
            <w:pPr>
              <w:pStyle w:val="TableContents"/>
              <w:bidi w:val="0"/>
              <w:spacing w:before="0" w:after="283"/>
              <w:jc w:val="left"/>
              <w:rPr/>
            </w:pPr>
            <w:r>
              <w:rPr/>
              <w:t>Such Transfer is being made pursuant to, and in accordance with, a registration statement that is effective under the Securities Act at the time of the Transfer.</w:t>
            </w:r>
          </w:p>
        </w:tc>
      </w:tr>
      <w:tr>
        <w:trPr>
          <w:trHeight w:val="120" w:hRule="atLeast"/>
        </w:trPr>
        <w:tc>
          <w:tcPr>
            <w:tcW w:w="143" w:type="dxa"/>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9655" w:type="dxa"/>
            <w:gridSpan w:val="2"/>
            <w:tcBorders/>
            <w:vAlign w:val="center"/>
          </w:tcPr>
          <w:p>
            <w:pPr>
              <w:pStyle w:val="TableContents"/>
              <w:bidi w:val="0"/>
              <w:spacing w:before="0" w:after="283"/>
              <w:jc w:val="left"/>
              <w:rPr>
                <w:sz w:val="4"/>
                <w:szCs w:val="4"/>
              </w:rPr>
            </w:pPr>
            <w:r>
              <w:rPr>
                <w:sz w:val="4"/>
                <w:szCs w:val="4"/>
              </w:rPr>
            </w:r>
          </w:p>
        </w:tc>
      </w:tr>
      <w:tr>
        <w:trPr/>
        <w:tc>
          <w:tcPr>
            <w:tcW w:w="143" w:type="dxa"/>
            <w:tcBorders/>
          </w:tcPr>
          <w:p>
            <w:pPr>
              <w:pStyle w:val="TableContents"/>
              <w:bidi w:val="0"/>
              <w:spacing w:before="0" w:after="283"/>
              <w:jc w:val="left"/>
              <w:rPr/>
            </w:pPr>
            <w:r>
              <w:rPr/>
              <w:t>3.</w:t>
            </w:r>
          </w:p>
        </w:tc>
        <w:tc>
          <w:tcPr>
            <w:tcW w:w="137" w:type="dxa"/>
            <w:tcBorders/>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w:t>
            </w:r>
          </w:p>
        </w:tc>
        <w:tc>
          <w:tcPr>
            <w:tcW w:w="137" w:type="dxa"/>
            <w:tcBorders/>
            <w:vAlign w:val="bottom"/>
          </w:tcPr>
          <w:p>
            <w:pPr>
              <w:pStyle w:val="TableContents"/>
              <w:bidi w:val="0"/>
              <w:spacing w:before="0" w:after="283"/>
              <w:jc w:val="left"/>
              <w:rPr/>
            </w:pPr>
            <w:r>
              <w:rPr/>
              <w:t>  </w:t>
            </w:r>
          </w:p>
        </w:tc>
        <w:tc>
          <w:tcPr>
            <w:tcW w:w="9518" w:type="dxa"/>
            <w:tcBorders/>
          </w:tcPr>
          <w:p>
            <w:pPr>
              <w:pStyle w:val="TableContents"/>
              <w:bidi w:val="0"/>
              <w:spacing w:before="0" w:after="283"/>
              <w:jc w:val="left"/>
              <w:rPr/>
            </w:pPr>
            <w:r>
              <w:rPr/>
              <w:t xml:space="preserve">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Person reasonably believed to be a “qualified institutional buyer” within the meaning of Rule 144A under the Securities Act in a transaction meeting the requirements of Rule 144A. </w:t>
            </w:r>
            <w:r>
              <w:rPr>
                <w:b/>
              </w:rPr>
              <w:t>If this item is checked, then the transferee must complete and execute the acknowledgment contained on the next page</w:t>
            </w:r>
            <w:r>
              <w:rPr/>
              <w:t>.</w:t>
            </w:r>
          </w:p>
        </w:tc>
      </w:tr>
      <w:tr>
        <w:trPr>
          <w:trHeight w:val="120" w:hRule="atLeast"/>
        </w:trPr>
        <w:tc>
          <w:tcPr>
            <w:tcW w:w="143" w:type="dxa"/>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9655" w:type="dxa"/>
            <w:gridSpan w:val="2"/>
            <w:tcBorders/>
            <w:vAlign w:val="center"/>
          </w:tcPr>
          <w:p>
            <w:pPr>
              <w:pStyle w:val="TableContents"/>
              <w:bidi w:val="0"/>
              <w:spacing w:before="0" w:after="283"/>
              <w:jc w:val="left"/>
              <w:rPr>
                <w:sz w:val="4"/>
                <w:szCs w:val="4"/>
              </w:rPr>
            </w:pPr>
            <w:r>
              <w:rPr>
                <w:sz w:val="4"/>
                <w:szCs w:val="4"/>
              </w:rPr>
            </w:r>
          </w:p>
        </w:tc>
      </w:tr>
      <w:tr>
        <w:trPr/>
        <w:tc>
          <w:tcPr>
            <w:tcW w:w="143" w:type="dxa"/>
            <w:tcBorders/>
          </w:tcPr>
          <w:p>
            <w:pPr>
              <w:pStyle w:val="TableContents"/>
              <w:bidi w:val="0"/>
              <w:spacing w:before="0" w:after="283"/>
              <w:jc w:val="left"/>
              <w:rPr/>
            </w:pPr>
            <w:r>
              <w:rPr/>
              <w:t>4.</w:t>
            </w:r>
          </w:p>
        </w:tc>
        <w:tc>
          <w:tcPr>
            <w:tcW w:w="137" w:type="dxa"/>
            <w:tcBorders/>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w:t>
            </w:r>
          </w:p>
        </w:tc>
        <w:tc>
          <w:tcPr>
            <w:tcW w:w="137" w:type="dxa"/>
            <w:tcBorders/>
            <w:vAlign w:val="bottom"/>
          </w:tcPr>
          <w:p>
            <w:pPr>
              <w:pStyle w:val="TableContents"/>
              <w:bidi w:val="0"/>
              <w:spacing w:before="0" w:after="283"/>
              <w:jc w:val="left"/>
              <w:rPr/>
            </w:pPr>
            <w:r>
              <w:rPr/>
              <w:t>  </w:t>
            </w:r>
          </w:p>
        </w:tc>
        <w:tc>
          <w:tcPr>
            <w:tcW w:w="9518" w:type="dxa"/>
            <w:tcBorders/>
          </w:tcPr>
          <w:p>
            <w:pPr>
              <w:pStyle w:val="TableContents"/>
              <w:bidi w:val="0"/>
              <w:spacing w:before="0" w:after="283"/>
              <w:jc w:val="left"/>
              <w:rPr/>
            </w:pPr>
            <w:r>
              <w:rPr/>
              <w:t>Such Transfer is being made pursuant to, and in accordance with, any other available exemption from the registration requirements of the Securities Act (including, if available, the exemption provided by Rule 144 under the Securities Act).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2"/>
        <w:gridCol w:w="60"/>
        <w:gridCol w:w="3320"/>
      </w:tblGrid>
      <w:tr>
        <w:trPr/>
        <w:tc>
          <w:tcPr>
            <w:tcW w:w="7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Times New Roman" w:hAnsi="Times New Roman"/>
                <w:sz w:val="20"/>
              </w:rPr>
            </w:pPr>
            <w:r>
              <w:rPr>
                <w:rFonts w:ascii="Times New Roman" w:hAnsi="Times New Roman"/>
                <w:sz w:val="20"/>
              </w:rPr>
              <w:t>(Legal Name of Holder)</w:t>
            </w:r>
          </w:p>
        </w:tc>
      </w:tr>
      <w:tr>
        <w:trPr>
          <w:trHeight w:val="240" w:hRule="atLeast"/>
        </w:trPr>
        <w:tc>
          <w:tcPr>
            <w:tcW w:w="702"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pBdr>
                <w:bottom w:val="single" w:sz="2" w:space="1" w:color="000000"/>
              </w:pBdr>
              <w:bidi w:val="0"/>
              <w:spacing w:before="0" w:after="20"/>
              <w:jc w:val="left"/>
              <w:rPr/>
            </w:pPr>
            <w:r>
              <w:rPr/>
              <w:t> </w:t>
            </w:r>
          </w:p>
        </w:tc>
      </w:tr>
      <w:tr>
        <w:trPr/>
        <w:tc>
          <w:tcPr>
            <w:tcW w:w="7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pPr>
            <w:r>
              <w:rPr/>
              <w:t>Name:</w:t>
            </w:r>
          </w:p>
        </w:tc>
      </w:tr>
      <w:tr>
        <w:trPr/>
        <w:tc>
          <w:tcPr>
            <w:tcW w:w="7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Signature Guaranteed: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(Participant in a Recognized Signature</w:t>
            </w:r>
          </w:p>
        </w:tc>
      </w:tr>
      <w:tr>
        <w:trPr/>
        <w:tc>
          <w:tcPr>
            <w:tcW w:w="7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center"/>
              <w:rPr/>
            </w:pPr>
            <w:r>
              <w:rPr/>
              <w:t>Guarantee Medallion Program)</w:t>
            </w:r>
          </w:p>
        </w:tc>
      </w:tr>
      <w:tr>
        <w:trPr>
          <w:trHeight w:val="240" w:hRule="atLeast"/>
        </w:trPr>
        <w:tc>
          <w:tcPr>
            <w:tcW w:w="702"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pBdr>
                <w:bottom w:val="single" w:sz="2" w:space="1" w:color="000000"/>
              </w:pBdr>
              <w:bidi w:val="0"/>
              <w:spacing w:before="0" w:after="20"/>
              <w:jc w:val="left"/>
              <w:rPr/>
            </w:pPr>
            <w:r>
              <w:rPr/>
              <w:t> </w:t>
            </w:r>
          </w:p>
        </w:tc>
      </w:tr>
      <w:tr>
        <w:trPr/>
        <w:tc>
          <w:tcPr>
            <w:tcW w:w="7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TRANSFEREE ACKNOWLEDGMENT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represents that it is purchasing the within Note for its own account, or for one or more accounts with respect to which the undersigned exercises sole investment discretion, and that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12"/>
        <w:gridCol w:w="61"/>
        <w:gridCol w:w="3309"/>
      </w:tblGrid>
      <w:tr>
        <w:trPr/>
        <w:tc>
          <w:tcPr>
            <w:tcW w:w="71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712" w:type="dxa"/>
            <w:tcBorders/>
          </w:tcPr>
          <w:p>
            <w:pPr>
              <w:pStyle w:val="TableContents"/>
              <w:bidi w:val="0"/>
              <w:spacing w:before="0" w:after="283"/>
              <w:jc w:val="left"/>
              <w:rPr/>
            </w:pPr>
            <w:r>
              <w:rPr/>
              <w:t>Dated:</w:t>
            </w:r>
          </w:p>
        </w:tc>
        <w:tc>
          <w:tcPr>
            <w:tcW w:w="61" w:type="dxa"/>
            <w:tcBorders/>
            <w:vAlign w:val="bottom"/>
          </w:tcPr>
          <w:p>
            <w:pPr>
              <w:pStyle w:val="TableContents"/>
              <w:bidi w:val="0"/>
              <w:spacing w:before="0" w:after="283"/>
              <w:jc w:val="left"/>
              <w:rPr/>
            </w:pPr>
            <w:r>
              <w:rPr/>
              <w:t> </w:t>
            </w:r>
          </w:p>
        </w:tc>
        <w:tc>
          <w:tcPr>
            <w:tcW w:w="3309"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(Name of Transferee)</w:t>
            </w:r>
          </w:p>
        </w:tc>
      </w:tr>
      <w:tr>
        <w:trPr>
          <w:trHeight w:val="240" w:hRule="atLeast"/>
        </w:trPr>
        <w:tc>
          <w:tcPr>
            <w:tcW w:w="712"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r>
      <w:tr>
        <w:trPr/>
        <w:tc>
          <w:tcPr>
            <w:tcW w:w="71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09" w:type="dxa"/>
            <w:tcBorders/>
          </w:tcPr>
          <w:p>
            <w:pPr>
              <w:pStyle w:val="TableContents"/>
              <w:pBdr>
                <w:bottom w:val="single" w:sz="2" w:space="1" w:color="000000"/>
              </w:pBdr>
              <w:bidi w:val="0"/>
              <w:spacing w:before="0" w:after="20"/>
              <w:jc w:val="left"/>
              <w:rPr/>
            </w:pPr>
            <w:r>
              <w:rPr/>
              <w:t> </w:t>
            </w:r>
          </w:p>
        </w:tc>
      </w:tr>
      <w:tr>
        <w:trPr/>
        <w:tc>
          <w:tcPr>
            <w:tcW w:w="71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283"/>
              <w:jc w:val="left"/>
              <w:rPr/>
            </w:pPr>
            <w:r>
              <w:rPr/>
              <w:t>Name:</w:t>
            </w:r>
          </w:p>
        </w:tc>
      </w:tr>
      <w:tr>
        <w:trPr/>
        <w:tc>
          <w:tcPr>
            <w:tcW w:w="71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RESTRICTED NOTE LEGEND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THIS NOTE AND THE COMMON SHARES,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THAT IT AND ANY ACCOUNT FOR WHICH IT IS ACTING IS A “QUALIFIED INSTITUTIONAL BUYER” (WITHIN THE MEANING OF RULE 144A UNDER THE SECURITIES ACT) AND THAT IT EXERCISES SOLE INVESTMENT DISCRETION WITH RESPECT TO EACH SUCH ACCOUNT;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AGREES FOR THE BENEFIT OF THE COMPANY THAT IT WILL NOT OFFER, SELL OR OTHERWISE TRANSFER THIS NOTE OR ANY BENEFICIAL INTEREST HEREIN, EXCEPT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OR ANY SUBSIDIARY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REGISTRATION STATEMENT THAT IS EFFECTIVE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PERSON REASONABLY BELIEVED TO BE A QUALIFIED INSTITUTIONAL BUYER IN COMPLIANCE WITH RULE 144A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144 UNDER THE SECURITIES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ANY OTHER EXEMPTION FROM, OR IN A TRANSACTION NOT SUBJECT TO, THE REGISTRATION REQUIREMENTS OF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THE REGISTRATION OF ANY SALE OR TRANSFER IN ACCORDANCE WITH (2)(C), (D)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paragraph and the immediately preceding paragraph will be deemed to be removed from the face of this Note at such time when the Company delivers written notice to the Trustee of such deemed removal pursuant to Section </w:t>
            </w:r>
          </w:p>
        </w:tc>
      </w:tr>
    </w:tbl>
    <w:p>
      <w:pPr>
        <w:pStyle w:val="TextBody"/>
        <w:bidi w:val="0"/>
        <w:spacing w:before="0" w:after="0"/>
        <w:jc w:val="left"/>
        <w:rPr>
          <w:rFonts w:ascii="Times New Roman" w:hAnsi="Times New Roman"/>
          <w:sz w:val="20"/>
        </w:rPr>
      </w:pPr>
      <w:r>
        <w:rPr>
          <w:rFonts w:ascii="Times New Roman" w:hAnsi="Times New Roman"/>
          <w:sz w:val="20"/>
        </w:rPr>
        <w:t xml:space="preserve">2.12 of the within-mentioned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GLOBAL NOTE LEGEND </w:t>
      </w:r>
    </w:p>
    <w:p>
      <w:pPr>
        <w:pStyle w:val="TextBody"/>
        <w:bidi w:val="0"/>
        <w:spacing w:before="240" w:after="0"/>
        <w:jc w:val="left"/>
        <w:rPr>
          <w:rFonts w:ascii="Times New Roman" w:hAnsi="Times New Roman"/>
          <w:sz w:val="20"/>
        </w:rPr>
      </w:pPr>
      <w:r>
        <w:rPr>
          <w:rFonts w:ascii="Times New Roman" w:hAnsi="Times New Roman"/>
          <w:sz w:val="20"/>
        </w:rPr>
        <w:t xml:space="preserve">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B-3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NON-AFFILIATE LEGEND </w:t>
      </w:r>
    </w:p>
    <w:p>
      <w:pPr>
        <w:pStyle w:val="TextBody"/>
        <w:bidi w:val="0"/>
        <w:spacing w:before="240" w:after="0"/>
        <w:jc w:val="left"/>
        <w:rPr>
          <w:rFonts w:ascii="Times New Roman" w:hAnsi="Times New Roman"/>
          <w:sz w:val="20"/>
        </w:rPr>
      </w:pPr>
      <w:r>
        <w:rPr>
          <w:rFonts w:ascii="Times New Roman" w:hAnsi="Times New Roman"/>
          <w:sz w:val="20"/>
        </w:rPr>
        <w:t xml:space="preserve">NO AFFILIATE (AS DEFINED IN RULE 144 UNDER THE SECURITIES ACT OF 1933, AS AMENDED) OF THE COMPANY MAY PURCHASE OR OTHERWISE ACQUIRE THIS NOTE OR ANY BENEFICIAL INTEREST HEREIN.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122</Pages>
  <Words>54181</Words>
  <Characters>276303</Characters>
  <CharactersWithSpaces>331487</CharactersWithSpaces>
  <Paragraphs>3121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