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August 8,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On August 8, 2024, Civeo Corporation (the “Company”) entered into an amendment and extension (the “Third Amendment”) of that certain Second Amended and Restated Syndicated Facility Agreement (“the Syndicated Facility Agreement”) among the Company and certain subsidiaries of the Company, as borrowers, the lenders named therein, Royal Bank of Canada, as Administrative Agent, and the other agents party thereto (collectively, the “Parties”).</w:t>
      </w:r>
    </w:p>
    <w:p>
      <w:pPr>
        <w:spacing w:after="0" w:line="208"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7"/>
          <w:szCs w:val="17"/>
          <w:color w:val="auto"/>
        </w:rPr>
        <w:t>The Third Amendment amends the Syndicated Facility Agreement, dated as of September 8, 2021 (as amended by the First Amendment, dated March 31, 2023 and the Second Amendment, dated June 28, 2024). Pursuant to the Third Amendment, the Syndicated Facility Agreement was amended to</w:t>
      </w:r>
    </w:p>
    <w:p>
      <w:pPr>
        <w:spacing w:after="0" w:line="1" w:lineRule="exact"/>
        <w:rPr>
          <w:sz w:val="20"/>
          <w:szCs w:val="20"/>
          <w:color w:val="auto"/>
        </w:rPr>
      </w:pPr>
    </w:p>
    <w:p>
      <w:pPr>
        <w:ind w:right="20" w:firstLine="8"/>
        <w:spacing w:after="0" w:line="238"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Syndicated Facility Agreement until August 8, 2028; (ii) upsize the total revolving credit facility capacity to $245 million from $200 million via an increase in the Canadian Senior Secured Revolver from $155 million to $200 million; (iii) add Civeo USA LLC as a Borrower under the Syndicated Facility Agreement; (iv) reduce the interest rate spreads above the benchmark rates by 25 basis points; and (v) maintain the previous max net leverage ratio and max interest covenant levels.</w:t>
      </w:r>
    </w:p>
    <w:p>
      <w:pPr>
        <w:spacing w:after="0" w:line="21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Third Amendment includes restrictions customary for facilities of this type, including covenants that impose restrictions on the Company’s ability to, among other things, borrow funds, dispose of assets, pay dividends and make certain investments.</w:t>
      </w:r>
    </w:p>
    <w:p>
      <w:pPr>
        <w:spacing w:after="0" w:line="18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description of the Third Amendment set forth herein is summary in nature and is qualified in its entirety by reference to the full text of documents, copies of which are attached hereto as Exhibit 10.1, and are incorporated herein by reference. The Syndicated Facility Agreement is more fully described in the Company's annual report on Form 10-K for the year ended December 31, 2023 and its most recent quarterly report on Form 10-Q.</w:t>
      </w:r>
    </w:p>
    <w:p>
      <w:pPr>
        <w:spacing w:after="0" w:line="204"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a Registrant.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2.03.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6" w:lineRule="exact"/>
        <w:rPr>
          <w:sz w:val="20"/>
          <w:szCs w:val="20"/>
          <w:color w:val="auto"/>
        </w:rPr>
      </w:pPr>
    </w:p>
    <w:p>
      <w:pPr>
        <w:ind w:left="580" w:hanging="39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Description of Document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vMerge w:val="restart"/>
          </w:tcPr>
          <w:p>
            <w:pPr>
              <w:spacing w:after="0" w:line="21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4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26DCE"/>
              </w:rPr>
              <w:t>Third Amendment to Syndicated Facility Agreement, dated as of August 8, 2024, by and among Civeo Corporation,</w:t>
            </w:r>
          </w:p>
        </w:tc>
        <w:tc>
          <w:tcPr>
            <w:tcW w:w="0" w:type="dxa"/>
            <w:vAlign w:val="bottom"/>
          </w:tcPr>
          <w:p>
            <w:pPr>
              <w:spacing w:after="0"/>
              <w:rPr>
                <w:sz w:val="1"/>
                <w:szCs w:val="1"/>
                <w:color w:val="auto"/>
              </w:rPr>
            </w:pPr>
          </w:p>
        </w:tc>
      </w:tr>
      <w:tr>
        <w:trPr>
          <w:trHeight w:val="223"/>
        </w:trPr>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19"/>
                <w:szCs w:val="19"/>
                <w:color w:val="auto"/>
              </w:rPr>
            </w:pPr>
          </w:p>
        </w:tc>
        <w:tc>
          <w:tcPr>
            <w:tcW w:w="94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8860" w:type="dxa"/>
            <w:vAlign w:val="bottom"/>
            <w:tcBorders>
              <w:top w:val="single" w:sz="8" w:color="026DCE"/>
              <w:bottom w:val="single" w:sz="8" w:color="026DCE"/>
            </w:tcBorders>
            <w:gridSpan w:val="5"/>
          </w:tcPr>
          <w:p>
            <w:pPr>
              <w:spacing w:after="0" w:line="169" w:lineRule="exact"/>
              <w:rPr>
                <w:sz w:val="20"/>
                <w:szCs w:val="20"/>
                <w:color w:val="auto"/>
              </w:rPr>
            </w:pPr>
            <w:r>
              <w:rPr>
                <w:rFonts w:ascii="Times New Roman" w:cs="Times New Roman" w:eastAsia="Times New Roman" w:hAnsi="Times New Roman"/>
                <w:sz w:val="18"/>
                <w:szCs w:val="18"/>
                <w:color w:val="026DCE"/>
              </w:rPr>
              <w:t>Civeo Pty Limited, Civeo USA LLC and Civeo Management LLC, as Borrowers, the Lenders named therein, Royal Bank</w:t>
            </w:r>
          </w:p>
        </w:tc>
        <w:tc>
          <w:tcPr>
            <w:tcW w:w="20" w:type="dxa"/>
            <w:vAlign w:val="bottom"/>
            <w:tcBorders>
              <w:bottom w:val="single" w:sz="8" w:color="026DCE"/>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8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26DCE"/>
              </w:rPr>
              <w:t>of Canada, as Administrative Agent, U.S. Collateral Agent, Canadian Administrative Agent, Canadian Collateral Agent</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20" w:type="dxa"/>
            <w:vAlign w:val="bottom"/>
            <w:tcBorders>
              <w:top w:val="single" w:sz="8" w:color="026DCE"/>
              <w:bottom w:val="single" w:sz="8" w:color="026DCE"/>
            </w:tcBorders>
            <w:gridSpan w:val="3"/>
          </w:tcPr>
          <w:p>
            <w:pPr>
              <w:spacing w:after="0" w:line="156" w:lineRule="exact"/>
              <w:rPr>
                <w:sz w:val="20"/>
                <w:szCs w:val="20"/>
                <w:color w:val="auto"/>
              </w:rPr>
            </w:pPr>
            <w:r>
              <w:rPr>
                <w:rFonts w:ascii="Times New Roman" w:cs="Times New Roman" w:eastAsia="Times New Roman" w:hAnsi="Times New Roman"/>
                <w:sz w:val="18"/>
                <w:szCs w:val="18"/>
                <w:color w:val="026DCE"/>
              </w:rPr>
              <w:t>and an Issuing Bank and RBC Europe Limited, as Australian Administrative Agent, Australian Collateral Agent and an</w:t>
            </w:r>
          </w:p>
        </w:tc>
        <w:tc>
          <w:tcPr>
            <w:tcW w:w="20" w:type="dxa"/>
            <w:vAlign w:val="bottom"/>
            <w:tcBorders>
              <w:bottom w:val="single" w:sz="8" w:color="026DCE"/>
            </w:tcBorders>
          </w:tcPr>
          <w:p>
            <w:pPr>
              <w:spacing w:after="0"/>
              <w:rPr>
                <w:sz w:val="13"/>
                <w:szCs w:val="13"/>
                <w:color w:val="auto"/>
              </w:rPr>
            </w:pPr>
          </w:p>
        </w:tc>
        <w:tc>
          <w:tcPr>
            <w:tcW w:w="6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Borders>
              <w:bottom w:val="single" w:sz="8" w:color="026DCE"/>
            </w:tcBorders>
          </w:tcPr>
          <w:p>
            <w:pPr>
              <w:spacing w:after="0" w:line="169" w:lineRule="exact"/>
              <w:rPr>
                <w:sz w:val="20"/>
                <w:szCs w:val="20"/>
                <w:color w:val="auto"/>
              </w:rPr>
            </w:pPr>
            <w:r>
              <w:rPr>
                <w:rFonts w:ascii="Times New Roman" w:cs="Times New Roman" w:eastAsia="Times New Roman" w:hAnsi="Times New Roman"/>
                <w:sz w:val="18"/>
                <w:szCs w:val="18"/>
                <w:color w:val="026DCE"/>
                <w:w w:val="99"/>
              </w:rPr>
              <w:t>Issuing Bank</w:t>
            </w:r>
          </w:p>
        </w:tc>
        <w:tc>
          <w:tcPr>
            <w:tcW w:w="7880" w:type="dxa"/>
            <w:vAlign w:val="bottom"/>
            <w:gridSpan w:val="3"/>
          </w:tcPr>
          <w:p>
            <w:pPr>
              <w:spacing w:after="0"/>
              <w:rPr>
                <w:sz w:val="14"/>
                <w:szCs w:val="14"/>
                <w:color w:val="auto"/>
              </w:rPr>
            </w:pPr>
          </w:p>
        </w:tc>
        <w:tc>
          <w:tcPr>
            <w:tcW w:w="6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384"/>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-1910715</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13, 2024</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E. Collin Gerry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01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 Collin Gerry</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129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THIRD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SYNDICATED FACILITY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effective as 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August 8,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CORPORATION,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PTY LIMITED,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MANAGEMENT LLC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USA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as Borrowers,</w:t>
      </w:r>
    </w:p>
    <w:p>
      <w:pPr>
        <w:spacing w:after="0" w:line="17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THE GUARANTORS PARTY HERETO,</w:t>
      </w:r>
    </w:p>
    <w:p>
      <w:pPr>
        <w:spacing w:after="0" w:line="1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THE LENDERS NAMED HEREIN,</w:t>
      </w:r>
    </w:p>
    <w:p>
      <w:pPr>
        <w:spacing w:after="0" w:line="1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U.S. Collateral Agent,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Canadian Administrative Agent, Canadian Collateral Agent</w:t>
      </w:r>
    </w:p>
    <w:p>
      <w:pPr>
        <w:spacing w:after="0" w:line="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and an Issuing Bank,</w:t>
      </w:r>
    </w:p>
    <w:p>
      <w:pPr>
        <w:spacing w:after="0" w:line="1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RBC EUROPE LIMITED,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Australian Administrative Agent and Australian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231775</wp:posOffset>
            </wp:positionV>
            <wp:extent cx="879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RBC CAPITAL MARKETS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jc w:val="center"/>
        <w:spacing w:after="0"/>
        <w:rPr>
          <w:sz w:val="20"/>
          <w:szCs w:val="20"/>
          <w:color w:val="auto"/>
        </w:rPr>
      </w:pPr>
      <w:r>
        <w:rPr>
          <w:rFonts w:ascii="Times New Roman" w:cs="Times New Roman" w:eastAsia="Times New Roman" w:hAnsi="Times New Roman"/>
          <w:sz w:val="20"/>
          <w:szCs w:val="20"/>
          <w:color w:val="auto"/>
        </w:rPr>
        <w:t>as Joint Lead Arranger and Bookrunner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TORONTO-DOMINION BANK and BANK OF MONTREAL,</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Joint Lead Arrangers, Syndication Agents and Bookrunners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8"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the global brand name of the corporate and investment banking business of Royal Bank of Canada and its affiliates.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|US-DOCS\152187568.8||</w:t>
      </w:r>
    </w:p>
    <w:p>
      <w:pPr>
        <w:sectPr>
          <w:pgSz w:w="11900" w:h="16838" w:orient="portrait"/>
          <w:cols w:equalWidth="0" w:num="1">
            <w:col w:w="11240"/>
          </w:cols>
          <w:pgMar w:left="320" w:top="119" w:right="339" w:bottom="1440" w:gutter="0" w:footer="0" w:header="0"/>
          <w:type w:val="continuous"/>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THIRD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SYNDICATED FACILITY AGREEMENT</w:t>
      </w:r>
    </w:p>
    <w:p>
      <w:pPr>
        <w:spacing w:after="0" w:line="200" w:lineRule="exact"/>
        <w:rPr>
          <w:sz w:val="20"/>
          <w:szCs w:val="20"/>
          <w:color w:val="auto"/>
        </w:rPr>
      </w:pPr>
    </w:p>
    <w:p>
      <w:pPr>
        <w:jc w:val="both"/>
        <w:ind w:firstLine="221"/>
        <w:spacing w:after="0" w:line="266" w:lineRule="auto"/>
        <w:rPr>
          <w:sz w:val="20"/>
          <w:szCs w:val="20"/>
          <w:color w:val="auto"/>
        </w:rPr>
      </w:pPr>
      <w:r>
        <w:rPr>
          <w:rFonts w:ascii="Times New Roman" w:cs="Times New Roman" w:eastAsia="Times New Roman" w:hAnsi="Times New Roman"/>
          <w:sz w:val="19"/>
          <w:szCs w:val="19"/>
          <w:color w:val="auto"/>
        </w:rPr>
        <w:t>THIS THIRD AMENDMENT TO SYNDICATED FACILITY AGREEMENT (this “</w:t>
      </w:r>
      <w:r>
        <w:rPr>
          <w:rFonts w:ascii="Times New Roman" w:cs="Times New Roman" w:eastAsia="Times New Roman" w:hAnsi="Times New Roman"/>
          <w:sz w:val="19"/>
          <w:szCs w:val="19"/>
          <w:u w:val="single" w:color="auto"/>
          <w:color w:val="auto"/>
        </w:rPr>
        <w:t>Third Amendment</w:t>
      </w:r>
      <w:r>
        <w:rPr>
          <w:rFonts w:ascii="Times New Roman" w:cs="Times New Roman" w:eastAsia="Times New Roman" w:hAnsi="Times New Roman"/>
          <w:sz w:val="19"/>
          <w:szCs w:val="19"/>
          <w:color w:val="auto"/>
        </w:rPr>
        <w:t>”), dated effective as of August 8, 2024, is among CIVEO CORPORATION, a corporation incorporated under the laws of the Province of British Columbia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CIVEO MANAGEMENT LLC, a Delaware limited liability company (the “</w:t>
      </w:r>
      <w:r>
        <w:rPr>
          <w:rFonts w:ascii="Times New Roman" w:cs="Times New Roman" w:eastAsia="Times New Roman" w:hAnsi="Times New Roman"/>
          <w:sz w:val="19"/>
          <w:szCs w:val="19"/>
          <w:u w:val="single" w:color="auto"/>
          <w:color w:val="auto"/>
        </w:rPr>
        <w:t>Existing U.S. Borrower</w:t>
      </w:r>
      <w:r>
        <w:rPr>
          <w:rFonts w:ascii="Times New Roman" w:cs="Times New Roman" w:eastAsia="Times New Roman" w:hAnsi="Times New Roman"/>
          <w:sz w:val="19"/>
          <w:szCs w:val="19"/>
          <w:color w:val="auto"/>
        </w:rPr>
        <w:t>”), CIVEO PTY LIMITED ACN 003 657 510, an Australian proprietary limited company (the “</w:t>
      </w:r>
      <w:r>
        <w:rPr>
          <w:rFonts w:ascii="Times New Roman" w:cs="Times New Roman" w:eastAsia="Times New Roman" w:hAnsi="Times New Roman"/>
          <w:sz w:val="19"/>
          <w:szCs w:val="19"/>
          <w:u w:val="single" w:color="auto"/>
          <w:color w:val="auto"/>
        </w:rPr>
        <w:t>Australian Borrower</w:t>
      </w:r>
      <w:r>
        <w:rPr>
          <w:rFonts w:ascii="Times New Roman" w:cs="Times New Roman" w:eastAsia="Times New Roman" w:hAnsi="Times New Roman"/>
          <w:sz w:val="19"/>
          <w:szCs w:val="19"/>
          <w:color w:val="auto"/>
        </w:rPr>
        <w:t>” and, together with the Parent Borrower and the Existing U.S. Borrower, the “</w:t>
      </w:r>
      <w:r>
        <w:rPr>
          <w:rFonts w:ascii="Times New Roman" w:cs="Times New Roman" w:eastAsia="Times New Roman" w:hAnsi="Times New Roman"/>
          <w:sz w:val="19"/>
          <w:szCs w:val="19"/>
          <w:u w:val="single" w:color="auto"/>
          <w:color w:val="auto"/>
        </w:rPr>
        <w:t>Existing Borrowers</w:t>
      </w:r>
      <w:r>
        <w:rPr>
          <w:rFonts w:ascii="Times New Roman" w:cs="Times New Roman" w:eastAsia="Times New Roman" w:hAnsi="Times New Roman"/>
          <w:sz w:val="19"/>
          <w:szCs w:val="19"/>
          <w:color w:val="auto"/>
        </w:rPr>
        <w:t>”), CIVEO USA LLC, a Delaware limited liability company (the “</w:t>
      </w:r>
      <w:r>
        <w:rPr>
          <w:rFonts w:ascii="Times New Roman" w:cs="Times New Roman" w:eastAsia="Times New Roman" w:hAnsi="Times New Roman"/>
          <w:sz w:val="19"/>
          <w:szCs w:val="19"/>
          <w:u w:val="single" w:color="auto"/>
          <w:color w:val="auto"/>
        </w:rPr>
        <w:t>New U.S. Borrower</w:t>
      </w:r>
      <w:r>
        <w:rPr>
          <w:rFonts w:ascii="Times New Roman" w:cs="Times New Roman" w:eastAsia="Times New Roman" w:hAnsi="Times New Roman"/>
          <w:sz w:val="19"/>
          <w:szCs w:val="19"/>
          <w:color w:val="auto"/>
        </w:rPr>
        <w:t>” and, together with the Existing Borrowers,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certain subsidiary guarantors of the Borrowers party hereto, the Lenders party hereto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the Issuing Banks, the Swing Line Lenders,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 E C I T A L S</w:t>
      </w:r>
    </w:p>
    <w:p>
      <w:pPr>
        <w:spacing w:after="0" w:line="220" w:lineRule="exact"/>
        <w:rPr>
          <w:sz w:val="20"/>
          <w:szCs w:val="20"/>
          <w:color w:val="auto"/>
        </w:rPr>
      </w:pPr>
    </w:p>
    <w:p>
      <w:pPr>
        <w:jc w:val="both"/>
        <w:ind w:firstLine="656"/>
        <w:spacing w:after="0" w:line="253" w:lineRule="auto"/>
        <w:tabs>
          <w:tab w:leader="none" w:pos="106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Agents and the Lenders are parties to that certain Syndicated Facility Agreement, dated as of September 8, 2021, (as amended by that certain First Amendment to Syndicated Facility Agreement dated as of March 31, 2023, that certain Limited Waiver to Syndicated Facility Agreement dated as of August 4, 2023, that certain Second Amendment to Syndicated Facility Agreement dated as of June 28, 2024 and as otherwise amended, amended and restated, supplemented or otherwise modified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Third Amendment and as may be further amended, amended and restated supplemented or otherwise modified from time to time,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pursuant to which the Lenders have made certain loans to and other extensions of credit on behalf of the Borrowers.</w:t>
      </w:r>
    </w:p>
    <w:p>
      <w:pPr>
        <w:spacing w:after="0" w:line="179" w:lineRule="exact"/>
        <w:rPr>
          <w:rFonts w:ascii="Times New Roman" w:cs="Times New Roman" w:eastAsia="Times New Roman" w:hAnsi="Times New Roman"/>
          <w:sz w:val="20"/>
          <w:szCs w:val="20"/>
          <w:color w:val="auto"/>
        </w:rPr>
      </w:pPr>
    </w:p>
    <w:p>
      <w:pPr>
        <w:ind w:right="20" w:firstLine="656"/>
        <w:spacing w:after="0" w:line="283" w:lineRule="auto"/>
        <w:tabs>
          <w:tab w:leader="none" w:pos="11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Agents, the Issuing Banks, the Swing Line Lenders and the Lenders party hereto have agreed to amend certain provisions of the Credit Agreement as more particularly set forth herein.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Each capitalized term used herein but not otherwise defined herein has the meaning given such term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the Amended Credit Agreement. Unless otherwise indicated, all article and section references in this Third Amendment refer to articles and sections of the Amended Credit Agreement.</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010000"/>
        </w:rPr>
        <w:t xml:space="preserve">SECTION 2. </w:t>
      </w:r>
      <w:r>
        <w:rPr>
          <w:rFonts w:ascii="Times New Roman" w:cs="Times New Roman" w:eastAsia="Times New Roman" w:hAnsi="Times New Roman"/>
          <w:sz w:val="20"/>
          <w:szCs w:val="20"/>
          <w:u w:val="single" w:color="auto"/>
          <w:color w:val="000000"/>
        </w:rPr>
        <w:t>Amendments to Credit Agreement</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Subject to the terms and conditions set forth herein, effective as of the Third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Amendment Effective Date (as defined below):</w:t>
      </w:r>
    </w:p>
    <w:p>
      <w:pPr>
        <w:spacing w:after="0" w:line="156" w:lineRule="exact"/>
        <w:rPr>
          <w:sz w:val="20"/>
          <w:szCs w:val="20"/>
          <w:color w:val="auto"/>
        </w:rPr>
      </w:pPr>
    </w:p>
    <w:p>
      <w:pPr>
        <w:jc w:val="both"/>
        <w:ind w:firstLine="656"/>
        <w:spacing w:after="0" w:line="261" w:lineRule="auto"/>
        <w:tabs>
          <w:tab w:leader="none" w:pos="1119"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Credit Agreement (excluding the Schedules and Exhibits thereto)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as set forth in the document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|US-DOCS\152187568.8||</w:t>
      </w:r>
    </w:p>
    <w:p>
      <w:pPr>
        <w:sectPr>
          <w:pgSz w:w="11900" w:h="16838" w:orient="portrait"/>
          <w:cols w:equalWidth="0" w:num="1">
            <w:col w:w="11240"/>
          </w:cols>
          <w:pgMar w:left="320" w:top="1409" w:right="339" w:bottom="1440" w:gutter="0" w:footer="0" w:header="0"/>
        </w:sectPr>
      </w:pPr>
    </w:p>
    <w:bookmarkStart w:id="6" w:name="page7"/>
    <w:bookmarkEnd w:id="6"/>
    <w:p>
      <w:pPr>
        <w:spacing w:after="0" w:line="216" w:lineRule="exact"/>
        <w:rPr>
          <w:sz w:val="20"/>
          <w:szCs w:val="20"/>
          <w:color w:val="auto"/>
        </w:rPr>
      </w:pPr>
    </w:p>
    <w:p>
      <w:pPr>
        <w:ind w:right="20" w:firstLine="656"/>
        <w:spacing w:after="0" w:line="283" w:lineRule="auto"/>
        <w:tabs>
          <w:tab w:leader="none" w:pos="1076"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Schedules 1.01(b), 1.01(c) and 1.01(d) to the Credit Agreement are hereby amended and restated in their entirety in the form of </w:t>
      </w:r>
      <w:r>
        <w:rPr>
          <w:rFonts w:ascii="Times New Roman" w:cs="Times New Roman" w:eastAsia="Times New Roman" w:hAnsi="Times New Roman"/>
          <w:sz w:val="20"/>
          <w:szCs w:val="20"/>
          <w:u w:val="single" w:color="auto"/>
          <w:color w:val="auto"/>
        </w:rPr>
        <w:t>Schedules 1.01(b)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1.01(d)</w:t>
      </w:r>
      <w:r>
        <w:rPr>
          <w:rFonts w:ascii="Times New Roman" w:cs="Times New Roman" w:eastAsia="Times New Roman" w:hAnsi="Times New Roman"/>
          <w:sz w:val="20"/>
          <w:szCs w:val="20"/>
          <w:color w:val="auto"/>
        </w:rPr>
        <w:t xml:space="preserve"> hereto;</w:t>
      </w:r>
    </w:p>
    <w:p>
      <w:pPr>
        <w:spacing w:after="0" w:line="146"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Schedule 2.01 to the Credit Agreement is hereby amended and restated in its entirety in the form of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hereto; and</w:t>
      </w:r>
    </w:p>
    <w:p>
      <w:pPr>
        <w:spacing w:after="0" w:line="229"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Schedule 2.21 to the Credit Agreement is hereby amended and restated in its entirety in the form of </w:t>
      </w:r>
      <w:r>
        <w:rPr>
          <w:rFonts w:ascii="Times New Roman" w:cs="Times New Roman" w:eastAsia="Times New Roman" w:hAnsi="Times New Roman"/>
          <w:sz w:val="20"/>
          <w:szCs w:val="20"/>
          <w:u w:val="single" w:color="auto"/>
          <w:color w:val="auto"/>
        </w:rPr>
        <w:t>Schedule 2.21</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010000"/>
        </w:rPr>
        <w:t xml:space="preserve">SECTION 3. </w:t>
      </w:r>
      <w:r>
        <w:rPr>
          <w:rFonts w:ascii="Times New Roman" w:cs="Times New Roman" w:eastAsia="Times New Roman" w:hAnsi="Times New Roman"/>
          <w:sz w:val="20"/>
          <w:szCs w:val="20"/>
          <w:u w:val="single" w:color="auto"/>
          <w:color w:val="000000"/>
        </w:rPr>
        <w:t>Conditions Precedent</w:t>
      </w:r>
      <w:r>
        <w:rPr>
          <w:rFonts w:ascii="Times New Roman" w:cs="Times New Roman" w:eastAsia="Times New Roman" w:hAnsi="Times New Roman"/>
          <w:sz w:val="20"/>
          <w:szCs w:val="20"/>
          <w:color w:val="000000"/>
        </w:rPr>
        <w:t>. This Third Amendment shall not be deemed to be effective until the date on which each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following conditions is satisfied (or waived in accordance with Section 9.08 of the Credit Agreement) (the “</w:t>
      </w:r>
      <w:r>
        <w:rPr>
          <w:rFonts w:ascii="Times New Roman" w:cs="Times New Roman" w:eastAsia="Times New Roman" w:hAnsi="Times New Roman"/>
          <w:sz w:val="20"/>
          <w:szCs w:val="20"/>
          <w:u w:val="single" w:color="auto"/>
          <w:color w:val="000000"/>
        </w:rPr>
        <w:t>Third Amendment Effective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Date</w:t>
      </w:r>
      <w:r>
        <w:rPr>
          <w:rFonts w:ascii="Times New Roman" w:cs="Times New Roman" w:eastAsia="Times New Roman" w:hAnsi="Times New Roman"/>
          <w:sz w:val="20"/>
          <w:szCs w:val="20"/>
          <w:color w:val="000000"/>
        </w:rPr>
        <w:t>”):</w:t>
      </w:r>
    </w:p>
    <w:p>
      <w:pPr>
        <w:spacing w:after="0" w:line="161" w:lineRule="exact"/>
        <w:rPr>
          <w:sz w:val="20"/>
          <w:szCs w:val="20"/>
          <w:color w:val="auto"/>
        </w:rPr>
      </w:pPr>
    </w:p>
    <w:p>
      <w:pPr>
        <w:ind w:firstLine="656"/>
        <w:spacing w:after="0" w:line="283" w:lineRule="auto"/>
        <w:tabs>
          <w:tab w:leader="none" w:pos="1065"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Agents shall have received from all of the Lenders, the Borrowers and the Guarantors, counterparts (in such number as may be requested by the Administrative Agents) of this Third Amendment signed on behalf of such Persons.</w:t>
      </w:r>
    </w:p>
    <w:p>
      <w:pPr>
        <w:spacing w:after="0" w:line="146" w:lineRule="exact"/>
        <w:rPr>
          <w:rFonts w:ascii="Times New Roman" w:cs="Times New Roman" w:eastAsia="Times New Roman" w:hAnsi="Times New Roman"/>
          <w:sz w:val="20"/>
          <w:szCs w:val="20"/>
          <w:color w:val="010000"/>
        </w:rPr>
      </w:pPr>
    </w:p>
    <w:p>
      <w:pPr>
        <w:jc w:val="both"/>
        <w:ind w:firstLine="656"/>
        <w:spacing w:after="0" w:line="253" w:lineRule="auto"/>
        <w:tabs>
          <w:tab w:leader="none" w:pos="1090"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Third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92"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Default or Event of Default shall have occurred and be continuing, after giving effect to the terms of this Third Amendment.</w:t>
      </w:r>
    </w:p>
    <w:p>
      <w:pPr>
        <w:spacing w:after="0" w:line="227" w:lineRule="exact"/>
        <w:rPr>
          <w:rFonts w:ascii="Times New Roman" w:cs="Times New Roman" w:eastAsia="Times New Roman" w:hAnsi="Times New Roman"/>
          <w:sz w:val="19"/>
          <w:szCs w:val="19"/>
          <w:color w:val="010000"/>
        </w:rPr>
      </w:pPr>
    </w:p>
    <w:p>
      <w:pPr>
        <w:ind w:right="20" w:firstLine="656"/>
        <w:spacing w:after="0" w:line="283" w:lineRule="auto"/>
        <w:tabs>
          <w:tab w:leader="none" w:pos="1184"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Agents shall have received, on behalf of themselves, the Lenders and the Issuing Banks on the Third Amendment Effective Date:</w:t>
      </w:r>
    </w:p>
    <w:p>
      <w:pPr>
        <w:spacing w:after="0" w:line="146" w:lineRule="exact"/>
        <w:rPr>
          <w:rFonts w:ascii="Times New Roman" w:cs="Times New Roman" w:eastAsia="Times New Roman" w:hAnsi="Times New Roman"/>
          <w:sz w:val="20"/>
          <w:szCs w:val="20"/>
          <w:color w:val="010000"/>
        </w:rPr>
      </w:pPr>
    </w:p>
    <w:p>
      <w:pPr>
        <w:ind w:left="1300" w:right="20" w:firstLine="4"/>
        <w:spacing w:after="0" w:line="283" w:lineRule="auto"/>
        <w:tabs>
          <w:tab w:leader="none" w:pos="1698" w:val="left"/>
        </w:tabs>
        <w:numPr>
          <w:ilvl w:val="1"/>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Note requested by a Lender pursuant to Section 2.04 of the Amended Credit Agreement payable to such requesting Lender;</w:t>
      </w:r>
    </w:p>
    <w:p>
      <w:pPr>
        <w:spacing w:after="0" w:line="146" w:lineRule="exact"/>
        <w:rPr>
          <w:rFonts w:ascii="Times New Roman" w:cs="Times New Roman" w:eastAsia="Times New Roman" w:hAnsi="Times New Roman"/>
          <w:sz w:val="20"/>
          <w:szCs w:val="20"/>
          <w:color w:val="010000"/>
        </w:rPr>
      </w:pPr>
    </w:p>
    <w:p>
      <w:pPr>
        <w:jc w:val="both"/>
        <w:ind w:left="1300" w:firstLine="4"/>
        <w:spacing w:after="0" w:line="253" w:lineRule="auto"/>
        <w:tabs>
          <w:tab w:leader="none" w:pos="1861" w:val="left"/>
        </w:tabs>
        <w:numPr>
          <w:ilvl w:val="1"/>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favorable written opinion of each of (1) Simpson Thacher &amp; Bartlett LLP, U.S. counsel for the Borrowers, (2) Dentons Canada LLP, Canadian counsel to the Parent Borrower, and (3) Arnold Bloch Leibler, Australian counsel to the Secured Parties, in each case (A) dated as of the Third Amendment Effective Date, (B) addressed to the Administrative Agents, the Collateral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192" w:lineRule="exact"/>
        <w:rPr>
          <w:rFonts w:ascii="Times New Roman" w:cs="Times New Roman" w:eastAsia="Times New Roman" w:hAnsi="Times New Roman"/>
          <w:sz w:val="20"/>
          <w:szCs w:val="20"/>
          <w:color w:val="010000"/>
        </w:rPr>
      </w:pPr>
    </w:p>
    <w:p>
      <w:pPr>
        <w:jc w:val="both"/>
        <w:ind w:left="1300" w:right="20" w:firstLine="4"/>
        <w:spacing w:after="0" w:line="261" w:lineRule="auto"/>
        <w:tabs>
          <w:tab w:leader="none" w:pos="1862" w:val="left"/>
        </w:tabs>
        <w:numPr>
          <w:ilvl w:val="1"/>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as to the good standing or, if applicable,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ectPr>
          <w:pgSz w:w="11900" w:h="16838" w:orient="portrait"/>
          <w:cols w:equalWidth="0" w:num="1">
            <w:col w:w="11240"/>
          </w:cols>
          <w:pgMar w:left="320" w:top="1440" w:right="339" w:bottom="1440" w:gutter="0" w:footer="0" w:header="0"/>
        </w:sectPr>
      </w:pPr>
    </w:p>
    <w:bookmarkStart w:id="7" w:name="page8"/>
    <w:bookmarkEnd w:id="7"/>
    <w:p>
      <w:pPr>
        <w:jc w:val="both"/>
        <w:ind w:left="644" w:firstLine="4"/>
        <w:spacing w:after="0" w:line="251" w:lineRule="auto"/>
        <w:tabs>
          <w:tab w:leader="none" w:pos="1127" w:val="left"/>
        </w:tabs>
        <w:numPr>
          <w:ilvl w:val="1"/>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 Responsible Officer or, in respect of an Australian Loan Party, director or company secretary (or such other corporate officer satisfactory to the Administrative Agents) of each Loan Party dated as of the Third Amendment Effective Date and certifying (1) that attached thereto is a true and complete copy of the organizational documents of each Loan Party as in effect on the Third Amendment Effective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thereto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spacing w:after="0" w:line="178" w:lineRule="exact"/>
        <w:rPr>
          <w:rFonts w:ascii="Times New Roman" w:cs="Times New Roman" w:eastAsia="Times New Roman" w:hAnsi="Times New Roman"/>
          <w:sz w:val="20"/>
          <w:szCs w:val="20"/>
          <w:color w:val="010000"/>
        </w:rPr>
      </w:pPr>
    </w:p>
    <w:p>
      <w:pPr>
        <w:jc w:val="both"/>
        <w:ind w:left="644" w:firstLine="4"/>
        <w:spacing w:after="0" w:line="252" w:lineRule="auto"/>
        <w:tabs>
          <w:tab w:leader="none" w:pos="1072" w:val="left"/>
        </w:tabs>
        <w:numPr>
          <w:ilvl w:val="1"/>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results of (1) a search of the Uniform Commercial Code filings or (2)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of the Amended Credit Agreement or have been or will be contemporaneously released or terminated on the Third Amendment Effective Date;</w:t>
      </w:r>
    </w:p>
    <w:p>
      <w:pPr>
        <w:spacing w:after="0" w:line="175" w:lineRule="exact"/>
        <w:rPr>
          <w:rFonts w:ascii="Times New Roman" w:cs="Times New Roman" w:eastAsia="Times New Roman" w:hAnsi="Times New Roman"/>
          <w:sz w:val="20"/>
          <w:szCs w:val="20"/>
          <w:color w:val="010000"/>
        </w:rPr>
      </w:pPr>
    </w:p>
    <w:p>
      <w:pPr>
        <w:jc w:val="both"/>
        <w:ind w:left="644" w:firstLine="4"/>
        <w:spacing w:after="0" w:line="253" w:lineRule="auto"/>
        <w:tabs>
          <w:tab w:leader="none" w:pos="1195" w:val="left"/>
        </w:tabs>
        <w:numPr>
          <w:ilvl w:val="1"/>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dated the Third Amendment Effective Date and signed by a Financial Officer of the Parent Borrower, certifying (1) compliance with the conditions precedent set forth in Section 3(b) and 3(c) and (2) in each case after giving pro forma effect (using the criteria therefor described in Section 6.04(i) of the Amended Credit Agreement) to the Third Amendment, that (A) the Parent Borrower and its Subsidiaries, taken as a whole, will be Solvent on the Third Amendment Effective Date and (B) the Parent Borrower and its Subsidiaries will be in pro forma compliance (using the criteria therefor described in Section 6.04(i) of the Amended Credit Agreement) with Sections 6.10 and 6.11 of the Amended Credit Agreement as of the Third Amendment Effective Date; and</w:t>
      </w:r>
    </w:p>
    <w:p>
      <w:pPr>
        <w:spacing w:after="0" w:line="192" w:lineRule="exact"/>
        <w:rPr>
          <w:rFonts w:ascii="Times New Roman" w:cs="Times New Roman" w:eastAsia="Times New Roman" w:hAnsi="Times New Roman"/>
          <w:sz w:val="20"/>
          <w:szCs w:val="20"/>
          <w:color w:val="010000"/>
        </w:rPr>
      </w:pPr>
    </w:p>
    <w:p>
      <w:pPr>
        <w:jc w:val="both"/>
        <w:ind w:left="644" w:firstLine="4"/>
        <w:spacing w:after="0" w:line="254" w:lineRule="auto"/>
        <w:tabs>
          <w:tab w:leader="none" w:pos="1209" w:val="left"/>
        </w:tabs>
        <w:numPr>
          <w:ilvl w:val="1"/>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documentation and other information that the Administrative Agents or the Lenders shall have requested in order to comply with their respective obligations under applicable “know your customer” and anti-money laundering rules and regulations, including the Patriot Act, in each case to the extent such documentation and other information shall have been reasonably requested not less than five (5) Business Days prior to the Third Amendment Effective Date.</w:t>
      </w:r>
    </w:p>
    <w:p>
      <w:pPr>
        <w:spacing w:after="0" w:line="187" w:lineRule="exact"/>
        <w:rPr>
          <w:rFonts w:ascii="Times New Roman" w:cs="Times New Roman" w:eastAsia="Times New Roman" w:hAnsi="Times New Roman"/>
          <w:sz w:val="20"/>
          <w:szCs w:val="20"/>
          <w:color w:val="010000"/>
        </w:rPr>
      </w:pPr>
    </w:p>
    <w:p>
      <w:pPr>
        <w:ind w:left="-656" w:firstLine="656"/>
        <w:spacing w:after="0" w:line="283" w:lineRule="auto"/>
        <w:tabs>
          <w:tab w:leader="none" w:pos="401" w:val="left"/>
        </w:tabs>
        <w:numPr>
          <w:ilvl w:val="0"/>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Agents shall have received all fees and other amounts due and payable on or prior to the Third Amendment Effective Date, including, without limitation, (i) to the extent</w:t>
      </w:r>
    </w:p>
    <w:p>
      <w:pPr>
        <w:sectPr>
          <w:pgSz w:w="11900" w:h="16838" w:orient="portrait"/>
          <w:cols w:equalWidth="0" w:num="1">
            <w:col w:w="10584"/>
          </w:cols>
          <w:pgMar w:left="976" w:top="1413"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20"/>
          <w:szCs w:val="20"/>
          <w:color w:val="auto"/>
        </w:rPr>
        <w:t>invoiced, reimbursement or payment of all out-of-pocket expenses (including, without limitation, the reasonable fees, charges and disbursements of counsel for the Agents) required to be reimbursed or paid by the Borrowers hereunder, under the Amended Credit Agreement or under any other Loan Document and (ii) all fees and other amounts due and payable under the Third Amendment Fee Letter.</w:t>
      </w:r>
    </w:p>
    <w:p>
      <w:pPr>
        <w:spacing w:after="0" w:line="181"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0"/>
          <w:szCs w:val="20"/>
          <w:color w:val="010000"/>
        </w:rPr>
        <w:t>SECTION 4.</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As of the date hereof, each Borrower hereby represents and warrants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Agents and each of the Lenders as follows:</w:t>
      </w:r>
    </w:p>
    <w:p>
      <w:pPr>
        <w:spacing w:after="0" w:line="207" w:lineRule="exact"/>
        <w:rPr>
          <w:sz w:val="20"/>
          <w:szCs w:val="20"/>
          <w:color w:val="auto"/>
        </w:rPr>
      </w:pPr>
    </w:p>
    <w:p>
      <w:pPr>
        <w:jc w:val="both"/>
        <w:ind w:firstLine="656"/>
        <w:spacing w:after="0" w:line="253" w:lineRule="auto"/>
        <w:tabs>
          <w:tab w:leader="none" w:pos="1079" w:val="left"/>
        </w:tabs>
        <w:numPr>
          <w:ilvl w:val="0"/>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set forth in Article III of the Amended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79" w:lineRule="exact"/>
        <w:rPr>
          <w:rFonts w:ascii="Times New Roman" w:cs="Times New Roman" w:eastAsia="Times New Roman" w:hAnsi="Times New Roman"/>
          <w:sz w:val="20"/>
          <w:szCs w:val="20"/>
          <w:color w:val="010000"/>
        </w:rPr>
      </w:pPr>
    </w:p>
    <w:p>
      <w:pPr>
        <w:ind w:right="20" w:firstLine="656"/>
        <w:spacing w:after="0" w:line="283" w:lineRule="auto"/>
        <w:tabs>
          <w:tab w:leader="none" w:pos="1117" w:val="left"/>
        </w:tabs>
        <w:numPr>
          <w:ilvl w:val="0"/>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Default or Event of Default exists or would exist immediately, after giving effect to the transactions contemplated by this Third Amendment.</w:t>
      </w:r>
    </w:p>
    <w:p>
      <w:pPr>
        <w:spacing w:after="0" w:line="14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227"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Confirmation</w:t>
      </w:r>
      <w:r>
        <w:rPr>
          <w:rFonts w:ascii="Times New Roman" w:cs="Times New Roman" w:eastAsia="Times New Roman" w:hAnsi="Times New Roman"/>
          <w:sz w:val="20"/>
          <w:szCs w:val="20"/>
          <w:color w:val="auto"/>
        </w:rPr>
        <w:t>. The provisions of the Credit Agreement, as amended by this Third Amendment, are hereby ratified and confirmed by the Borrowers and shall remain in full force and effect following the effectiveness of this Third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191" w:lineRule="exact"/>
        <w:rPr>
          <w:rFonts w:ascii="Times New Roman" w:cs="Times New Roman" w:eastAsia="Times New Roman" w:hAnsi="Times New Roman"/>
          <w:sz w:val="20"/>
          <w:szCs w:val="20"/>
          <w:color w:val="010000"/>
        </w:rPr>
      </w:pPr>
    </w:p>
    <w:p>
      <w:pPr>
        <w:jc w:val="both"/>
        <w:ind w:firstLine="656"/>
        <w:spacing w:after="0" w:line="258" w:lineRule="auto"/>
        <w:tabs>
          <w:tab w:leader="none" w:pos="1252"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Ratification and Affirmation</w:t>
      </w:r>
      <w:r>
        <w:rPr>
          <w:rFonts w:ascii="Times New Roman" w:cs="Times New Roman" w:eastAsia="Times New Roman" w:hAnsi="Times New Roman"/>
          <w:sz w:val="20"/>
          <w:szCs w:val="20"/>
          <w:color w:val="auto"/>
        </w:rPr>
        <w:t>. Each of the Borrowers and Guarantors hereby (a) acknowledges the terms of this Third Amendment and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w:t>
      </w:r>
    </w:p>
    <w:p>
      <w:pPr>
        <w:spacing w:after="0" w:line="172" w:lineRule="exact"/>
        <w:rPr>
          <w:rFonts w:ascii="Times New Roman" w:cs="Times New Roman" w:eastAsia="Times New Roman" w:hAnsi="Times New Roman"/>
          <w:sz w:val="20"/>
          <w:szCs w:val="20"/>
          <w:color w:val="010000"/>
        </w:rPr>
      </w:pPr>
    </w:p>
    <w:p>
      <w:pPr>
        <w:ind w:firstLine="656"/>
        <w:spacing w:after="0" w:line="283" w:lineRule="auto"/>
        <w:tabs>
          <w:tab w:leader="none" w:pos="1065"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Third Amendment is a “Loan Document” as defined and described in the Credit Agreement and all of the terms and provisions of the Amended Credit Agreement relating to Loan Documents shall apply hereto.</w:t>
      </w:r>
    </w:p>
    <w:p>
      <w:pPr>
        <w:spacing w:after="0" w:line="146" w:lineRule="exact"/>
        <w:rPr>
          <w:rFonts w:ascii="Times New Roman" w:cs="Times New Roman" w:eastAsia="Times New Roman" w:hAnsi="Times New Roman"/>
          <w:sz w:val="20"/>
          <w:szCs w:val="20"/>
          <w:color w:val="010000"/>
        </w:rPr>
      </w:pPr>
    </w:p>
    <w:p>
      <w:pPr>
        <w:jc w:val="both"/>
        <w:ind w:firstLine="656"/>
        <w:spacing w:after="0" w:line="253" w:lineRule="auto"/>
        <w:tabs>
          <w:tab w:leader="none" w:pos="1211"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Third Amendment may be executed by one or more of the parties hereto in any number of separate counterparts, and all of such counterparts taken together shall be deemed to constitute one and the same instrument. Delivery of this Third Amendment by facsimile or electronic transmission shall be effective as delivery of a manually executed counterpart hereof. The words “execution,” “execute”, “signed,” “signature,” and words of like import in or related to any document to be signed in connection with this Third Amendment and the transactions contemplated hereby shall be deemed to include electronic signatures, the electronic matching of assignment terms and contract formations on electronic platforms approved by the Agents, or the keeping of records in electronic form, each of which shall be of the same legal effect, validity or enforceability as a manually executed signature</w:t>
      </w:r>
    </w:p>
    <w:p>
      <w:pPr>
        <w:sectPr>
          <w:pgSz w:w="11900" w:h="16838" w:orient="portrait"/>
          <w:cols w:equalWidth="0" w:num="1">
            <w:col w:w="11240"/>
          </w:cols>
          <w:pgMar w:left="320" w:top="141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20"/>
          <w:szCs w:val="20"/>
          <w:color w:val="auto"/>
        </w:rPr>
        <w:t>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firstLine="656"/>
        <w:spacing w:after="0" w:line="253" w:lineRule="auto"/>
        <w:tabs>
          <w:tab w:leader="none" w:pos="1146"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ORAL AGREEMENT</w:t>
      </w:r>
      <w:r>
        <w:rPr>
          <w:rFonts w:ascii="Times New Roman" w:cs="Times New Roman" w:eastAsia="Times New Roman" w:hAnsi="Times New Roman"/>
          <w:sz w:val="20"/>
          <w:szCs w:val="20"/>
          <w:color w:val="auto"/>
        </w:rPr>
        <w:t>. THIS THIRD AMENDMENT, THE AMENDED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91" w:lineRule="exact"/>
        <w:rPr>
          <w:rFonts w:ascii="Times New Roman" w:cs="Times New Roman" w:eastAsia="Times New Roman" w:hAnsi="Times New Roman"/>
          <w:sz w:val="20"/>
          <w:szCs w:val="20"/>
          <w:color w:val="010000"/>
        </w:rPr>
      </w:pPr>
    </w:p>
    <w:p>
      <w:pPr>
        <w:ind w:firstLine="656"/>
        <w:spacing w:after="0" w:line="269" w:lineRule="auto"/>
        <w:tabs>
          <w:tab w:leader="none" w:pos="1314"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THIRD AMENDMENT SHALL BE CONSTRUED IN ACCORDANCE WITH AND GOVERNED BY THE LAWS OF THE STATE OF NEW YORK.</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010000"/>
        </w:rPr>
        <w:t xml:space="preserve">SECTION 6. </w:t>
      </w:r>
      <w:r>
        <w:rPr>
          <w:rFonts w:ascii="Times New Roman" w:cs="Times New Roman" w:eastAsia="Times New Roman" w:hAnsi="Times New Roman"/>
          <w:sz w:val="20"/>
          <w:szCs w:val="20"/>
          <w:u w:val="single" w:color="auto"/>
          <w:color w:val="000000"/>
        </w:rPr>
        <w:t>No Fiduciary Relationship</w:t>
      </w:r>
      <w:r>
        <w:rPr>
          <w:rFonts w:ascii="Times New Roman" w:cs="Times New Roman" w:eastAsia="Times New Roman" w:hAnsi="Times New Roman"/>
          <w:sz w:val="20"/>
          <w:szCs w:val="20"/>
          <w:color w:val="000000"/>
        </w:rPr>
        <w:t>. The Loan Parties acknowledge that none of the Agents, the Issuing Banks, the Swing Line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Lenders, the Lenders or their respective Affiliates is acting as a fiduciary for or advisor to the Loan Parties.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BEGIN NEXT PAGE]</w:t>
      </w:r>
    </w:p>
    <w:p>
      <w:pPr>
        <w:sectPr>
          <w:pgSz w:w="11900" w:h="16838" w:orient="portrait"/>
          <w:cols w:equalWidth="0" w:num="1">
            <w:col w:w="11240"/>
          </w:cols>
          <w:pgMar w:left="320" w:top="1413"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Third Amendment to be duly executed as of the date first written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BORROWERS:</w:t>
      </w:r>
    </w:p>
    <w:p>
      <w:pPr>
        <w:spacing w:after="0" w:line="1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CIVEO CORPORATION</w:t>
      </w:r>
    </w:p>
    <w:p>
      <w:pPr>
        <w:spacing w:after="0" w:line="200" w:lineRule="exact"/>
        <w:rPr>
          <w:sz w:val="20"/>
          <w:szCs w:val="20"/>
          <w:color w:val="auto"/>
        </w:rPr>
      </w:pPr>
    </w:p>
    <w:p>
      <w:pPr>
        <w:spacing w:after="0" w:line="36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58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7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CIVEO MANAGEMENT LLC</w:t>
      </w:r>
    </w:p>
    <w:p>
      <w:pPr>
        <w:spacing w:after="0" w:line="200" w:lineRule="exact"/>
        <w:rPr>
          <w:sz w:val="20"/>
          <w:szCs w:val="20"/>
          <w:color w:val="auto"/>
        </w:rPr>
      </w:pPr>
    </w:p>
    <w:p>
      <w:pPr>
        <w:spacing w:after="0" w:line="38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584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CIVEO USA LLC</w:t>
      </w:r>
    </w:p>
    <w:p>
      <w:pPr>
        <w:spacing w:after="0" w:line="200" w:lineRule="exact"/>
        <w:rPr>
          <w:sz w:val="20"/>
          <w:szCs w:val="20"/>
          <w:color w:val="auto"/>
        </w:rPr>
      </w:pPr>
    </w:p>
    <w:p>
      <w:pPr>
        <w:spacing w:after="0" w:line="28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584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1220"/>
          </w:cols>
          <w:pgMar w:left="320" w:top="1413" w:right="359" w:bottom="1440" w:gutter="0" w:footer="0" w:header="0"/>
        </w:sectPr>
      </w:pPr>
    </w:p>
    <w:bookmarkStart w:id="11" w:name="page12"/>
    <w:bookmarkEnd w:id="11"/>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CIVEO PTY LIMITED</w:t>
      </w:r>
    </w:p>
    <w:p>
      <w:pPr>
        <w:spacing w:after="0" w:line="3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-10795</wp:posOffset>
            </wp:positionV>
            <wp:extent cx="1584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Signature of Director</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-10795</wp:posOffset>
            </wp:positionV>
            <wp:extent cx="1434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of Director</w:t>
      </w: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 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-10795</wp:posOffset>
            </wp:positionV>
            <wp:extent cx="15005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Signature of Director</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-10795</wp:posOffset>
            </wp:positionV>
            <wp:extent cx="13500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40" w:right="1440" w:bottom="1440" w:gutter="0" w:footer="0" w:header="0"/>
        </w:sectPr>
      </w:pPr>
    </w:p>
    <w:bookmarkStart w:id="12" w:name="page13"/>
    <w:bookmarkEnd w:id="12"/>
    <w:p>
      <w:pPr>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GUARANTORS:</w:t>
      </w:r>
      <w:r>
        <w:rPr>
          <w:sz w:val="20"/>
          <w:szCs w:val="20"/>
          <w:color w:val="auto"/>
        </w:rPr>
        <w:tab/>
      </w:r>
      <w:r>
        <w:rPr>
          <w:rFonts w:ascii="Times New Roman" w:cs="Times New Roman" w:eastAsia="Times New Roman" w:hAnsi="Times New Roman"/>
          <w:sz w:val="19"/>
          <w:szCs w:val="19"/>
          <w:color w:val="auto"/>
        </w:rPr>
        <w:t>CIVEO CANADA LIMITED PARTNERSHIP, by its general partner, Civeo Canada Operations GP Ltd.</w:t>
      </w:r>
    </w:p>
    <w:p>
      <w:pPr>
        <w:spacing w:after="0" w:line="200" w:lineRule="exact"/>
        <w:rPr>
          <w:sz w:val="20"/>
          <w:szCs w:val="20"/>
          <w:color w:val="auto"/>
        </w:rPr>
      </w:pPr>
    </w:p>
    <w:p>
      <w:pPr>
        <w:spacing w:after="0" w:line="3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-10795</wp:posOffset>
            </wp:positionV>
            <wp:extent cx="11798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CIVEO CANADA OPERATIONS GP LTD.</w:t>
      </w:r>
    </w:p>
    <w:p>
      <w:pPr>
        <w:spacing w:after="0" w:line="200" w:lineRule="exact"/>
        <w:rPr>
          <w:sz w:val="20"/>
          <w:szCs w:val="20"/>
          <w:color w:val="auto"/>
        </w:rPr>
      </w:pPr>
    </w:p>
    <w:p>
      <w:pPr>
        <w:spacing w:after="0" w:line="299" w:lineRule="exact"/>
        <w:rPr>
          <w:sz w:val="20"/>
          <w:szCs w:val="20"/>
          <w:color w:val="auto"/>
        </w:rPr>
      </w:pPr>
    </w:p>
    <w:p>
      <w:pPr>
        <w:ind w:left="4220"/>
        <w:spacing w:after="0"/>
        <w:tabs>
          <w:tab w:leader="none" w:pos="468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-10795</wp:posOffset>
            </wp:positionV>
            <wp:extent cx="1304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3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CIVEO GP HOLDINGS CORPORATION</w:t>
      </w:r>
    </w:p>
    <w:p>
      <w:pPr>
        <w:spacing w:after="0" w:line="200" w:lineRule="exact"/>
        <w:rPr>
          <w:sz w:val="20"/>
          <w:szCs w:val="20"/>
          <w:color w:val="auto"/>
        </w:rPr>
      </w:pPr>
    </w:p>
    <w:p>
      <w:pPr>
        <w:spacing w:after="0" w:line="286" w:lineRule="exact"/>
        <w:rPr>
          <w:sz w:val="20"/>
          <w:szCs w:val="20"/>
          <w:color w:val="auto"/>
        </w:rPr>
      </w:pPr>
    </w:p>
    <w:p>
      <w:pPr>
        <w:ind w:left="4220"/>
        <w:spacing w:after="0"/>
        <w:tabs>
          <w:tab w:leader="none" w:pos="468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-10795</wp:posOffset>
            </wp:positionV>
            <wp:extent cx="1336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Jason Hall</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CIVEO LODGE GP LTD.</w:t>
      </w:r>
    </w:p>
    <w:p>
      <w:pPr>
        <w:spacing w:after="0" w:line="200" w:lineRule="exact"/>
        <w:rPr>
          <w:sz w:val="20"/>
          <w:szCs w:val="20"/>
          <w:color w:val="auto"/>
        </w:rPr>
      </w:pPr>
    </w:p>
    <w:p>
      <w:pPr>
        <w:spacing w:after="0" w:line="299" w:lineRule="exact"/>
        <w:rPr>
          <w:sz w:val="20"/>
          <w:szCs w:val="20"/>
          <w:color w:val="auto"/>
        </w:rPr>
      </w:pPr>
    </w:p>
    <w:p>
      <w:pPr>
        <w:ind w:left="4220"/>
        <w:spacing w:after="0"/>
        <w:tabs>
          <w:tab w:leader="none" w:pos="468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-10795</wp:posOffset>
            </wp:positionV>
            <wp:extent cx="13049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84" w:lineRule="exact"/>
        <w:rPr>
          <w:sz w:val="20"/>
          <w:szCs w:val="20"/>
          <w:color w:val="auto"/>
        </w:rPr>
      </w:pPr>
    </w:p>
    <w:p>
      <w:pPr>
        <w:ind w:left="4220"/>
        <w:spacing w:after="0" w:line="269" w:lineRule="auto"/>
        <w:rPr>
          <w:sz w:val="20"/>
          <w:szCs w:val="20"/>
          <w:color w:val="auto"/>
        </w:rPr>
      </w:pPr>
      <w:r>
        <w:rPr>
          <w:rFonts w:ascii="Times New Roman" w:cs="Times New Roman" w:eastAsia="Times New Roman" w:hAnsi="Times New Roman"/>
          <w:sz w:val="20"/>
          <w:szCs w:val="20"/>
          <w:color w:val="auto"/>
        </w:rPr>
        <w:t>RED TABLE FOODS LIMITED PARTNERSHIP, by its general partner, Civeo Canada Operations GP Ltd.</w:t>
      </w:r>
    </w:p>
    <w:p>
      <w:pPr>
        <w:spacing w:after="0" w:line="200" w:lineRule="exact"/>
        <w:rPr>
          <w:sz w:val="20"/>
          <w:szCs w:val="20"/>
          <w:color w:val="auto"/>
        </w:rPr>
      </w:pPr>
    </w:p>
    <w:p>
      <w:pPr>
        <w:spacing w:after="0" w:line="243" w:lineRule="exact"/>
        <w:rPr>
          <w:sz w:val="20"/>
          <w:szCs w:val="20"/>
          <w:color w:val="auto"/>
        </w:rPr>
      </w:pPr>
    </w:p>
    <w:p>
      <w:pPr>
        <w:ind w:left="4220"/>
        <w:spacing w:after="0"/>
        <w:tabs>
          <w:tab w:leader="none" w:pos="468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-10795</wp:posOffset>
            </wp:positionV>
            <wp:extent cx="13049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4925"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1240"/>
          </w:cols>
          <w:pgMar w:left="320" w:top="1409" w:right="339" w:bottom="1440" w:gutter="0" w:footer="0" w:header="0"/>
        </w:sectPr>
      </w:pPr>
    </w:p>
    <w:bookmarkStart w:id="13" w:name="page14"/>
    <w:bookmarkEnd w:id="13"/>
    <w:p>
      <w:pPr>
        <w:spacing w:after="0" w:line="216" w:lineRule="exact"/>
        <w:rPr>
          <w:sz w:val="20"/>
          <w:szCs w:val="20"/>
          <w:color w:val="auto"/>
        </w:rPr>
      </w:pPr>
    </w:p>
    <w:p>
      <w:pPr>
        <w:ind w:left="3100"/>
        <w:spacing w:after="0" w:line="283" w:lineRule="auto"/>
        <w:rPr>
          <w:sz w:val="20"/>
          <w:szCs w:val="20"/>
          <w:color w:val="auto"/>
        </w:rPr>
      </w:pPr>
      <w:r>
        <w:rPr>
          <w:rFonts w:ascii="Times New Roman" w:cs="Times New Roman" w:eastAsia="Times New Roman" w:hAnsi="Times New Roman"/>
          <w:sz w:val="20"/>
          <w:szCs w:val="20"/>
          <w:color w:val="auto"/>
        </w:rPr>
        <w:t>CIVEO LODGE EMPLOYEES LIMITED PARTNERSHIP, by its general partner, Civeo Lodge GP Ltd.</w:t>
      </w:r>
    </w:p>
    <w:p>
      <w:pPr>
        <w:spacing w:after="0" w:line="200" w:lineRule="exact"/>
        <w:rPr>
          <w:sz w:val="20"/>
          <w:szCs w:val="20"/>
          <w:color w:val="auto"/>
        </w:rPr>
      </w:pPr>
    </w:p>
    <w:p>
      <w:pPr>
        <w:spacing w:after="0" w:line="216"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WATER CANADA GP LTD.</w:t>
      </w:r>
    </w:p>
    <w:p>
      <w:pPr>
        <w:spacing w:after="0" w:line="200" w:lineRule="exact"/>
        <w:rPr>
          <w:sz w:val="20"/>
          <w:szCs w:val="20"/>
          <w:color w:val="auto"/>
        </w:rPr>
      </w:pPr>
    </w:p>
    <w:p>
      <w:pPr>
        <w:spacing w:after="0" w:line="299"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0" w:lineRule="exact"/>
        <w:rPr>
          <w:sz w:val="20"/>
          <w:szCs w:val="20"/>
          <w:color w:val="auto"/>
        </w:rPr>
      </w:pPr>
    </w:p>
    <w:p>
      <w:pPr>
        <w:ind w:left="3100" w:right="20"/>
        <w:spacing w:after="0" w:line="283" w:lineRule="auto"/>
        <w:rPr>
          <w:sz w:val="20"/>
          <w:szCs w:val="20"/>
          <w:color w:val="auto"/>
        </w:rPr>
      </w:pPr>
      <w:r>
        <w:rPr>
          <w:rFonts w:ascii="Times New Roman" w:cs="Times New Roman" w:eastAsia="Times New Roman" w:hAnsi="Times New Roman"/>
          <w:sz w:val="20"/>
          <w:szCs w:val="20"/>
          <w:color w:val="auto"/>
        </w:rPr>
        <w:t>CIVEO WATER CANADA EMPLOYEES LIMITED PARTNERSHIP, by its general partner, Water Canada GP Ltd.</w:t>
      </w:r>
    </w:p>
    <w:p>
      <w:pPr>
        <w:spacing w:after="0" w:line="200" w:lineRule="exact"/>
        <w:rPr>
          <w:sz w:val="20"/>
          <w:szCs w:val="20"/>
          <w:color w:val="auto"/>
        </w:rPr>
      </w:pPr>
    </w:p>
    <w:p>
      <w:pPr>
        <w:spacing w:after="0" w:line="230"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RED TABLE CATERING GP LTD.</w:t>
      </w:r>
    </w:p>
    <w:p>
      <w:pPr>
        <w:spacing w:after="0" w:line="200" w:lineRule="exact"/>
        <w:rPr>
          <w:sz w:val="20"/>
          <w:szCs w:val="20"/>
          <w:color w:val="auto"/>
        </w:rPr>
      </w:pPr>
    </w:p>
    <w:p>
      <w:pPr>
        <w:spacing w:after="0" w:line="3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By: /s/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-10795</wp:posOffset>
            </wp:positionV>
            <wp:extent cx="11798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7" w:lineRule="exact"/>
        <w:rPr>
          <w:sz w:val="20"/>
          <w:szCs w:val="20"/>
          <w:color w:val="auto"/>
        </w:rPr>
      </w:pPr>
    </w:p>
    <w:p>
      <w:pPr>
        <w:ind w:left="3100" w:right="20"/>
        <w:spacing w:after="0" w:line="269" w:lineRule="auto"/>
        <w:rPr>
          <w:sz w:val="20"/>
          <w:szCs w:val="20"/>
          <w:color w:val="auto"/>
        </w:rPr>
      </w:pPr>
      <w:r>
        <w:rPr>
          <w:rFonts w:ascii="Times New Roman" w:cs="Times New Roman" w:eastAsia="Times New Roman" w:hAnsi="Times New Roman"/>
          <w:sz w:val="20"/>
          <w:szCs w:val="20"/>
          <w:color w:val="auto"/>
        </w:rPr>
        <w:t>RED TABLE EMPLOYEES LIMITED PARTNERSHIP, by its general partner, Red Table Catering GP Ltd.</w:t>
      </w:r>
    </w:p>
    <w:p>
      <w:pPr>
        <w:spacing w:after="0" w:line="200" w:lineRule="exact"/>
        <w:rPr>
          <w:sz w:val="20"/>
          <w:szCs w:val="20"/>
          <w:color w:val="auto"/>
        </w:rPr>
      </w:pPr>
    </w:p>
    <w:p>
      <w:pPr>
        <w:spacing w:after="0" w:line="243"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0120"/>
          </w:cols>
          <w:pgMar w:left="144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CANADA GP LTD.</w:t>
      </w:r>
    </w:p>
    <w:p>
      <w:pPr>
        <w:spacing w:after="0" w:line="200" w:lineRule="exact"/>
        <w:rPr>
          <w:sz w:val="20"/>
          <w:szCs w:val="20"/>
          <w:color w:val="auto"/>
        </w:rPr>
      </w:pPr>
    </w:p>
    <w:p>
      <w:pPr>
        <w:spacing w:after="0" w:line="299"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0" w:lineRule="exact"/>
        <w:rPr>
          <w:sz w:val="20"/>
          <w:szCs w:val="20"/>
          <w:color w:val="auto"/>
        </w:rPr>
      </w:pPr>
    </w:p>
    <w:p>
      <w:pPr>
        <w:ind w:left="3100"/>
        <w:spacing w:after="0" w:line="283" w:lineRule="auto"/>
        <w:rPr>
          <w:sz w:val="20"/>
          <w:szCs w:val="20"/>
          <w:color w:val="auto"/>
        </w:rPr>
      </w:pPr>
      <w:r>
        <w:rPr>
          <w:rFonts w:ascii="Times New Roman" w:cs="Times New Roman" w:eastAsia="Times New Roman" w:hAnsi="Times New Roman"/>
          <w:sz w:val="20"/>
          <w:szCs w:val="20"/>
          <w:color w:val="auto"/>
        </w:rPr>
        <w:t>CIVEO CANADA EMPLOYEES LIMITED PARTNERSHIP, by its general partner, Canada GP Ltd.</w:t>
      </w:r>
    </w:p>
    <w:p>
      <w:pPr>
        <w:spacing w:after="0" w:line="200" w:lineRule="exact"/>
        <w:rPr>
          <w:sz w:val="20"/>
          <w:szCs w:val="20"/>
          <w:color w:val="auto"/>
        </w:rPr>
      </w:pPr>
    </w:p>
    <w:p>
      <w:pPr>
        <w:spacing w:after="0" w:line="230"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PREMIUM SERVICES GP LTD.</w:t>
      </w:r>
    </w:p>
    <w:p>
      <w:pPr>
        <w:spacing w:after="0" w:line="200" w:lineRule="exact"/>
        <w:rPr>
          <w:sz w:val="20"/>
          <w:szCs w:val="20"/>
          <w:color w:val="auto"/>
        </w:rPr>
      </w:pPr>
    </w:p>
    <w:p>
      <w:pPr>
        <w:spacing w:after="0" w:line="299"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7"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auto"/>
        </w:rPr>
        <w:t>CIVEO PREMIUM SERVICES EMPLOYEES LIMITED PARTNERSHIP, by its general partner, Civeo Premium Services GP Ltd.</w:t>
      </w:r>
    </w:p>
    <w:p>
      <w:pPr>
        <w:spacing w:after="0" w:line="200" w:lineRule="exact"/>
        <w:rPr>
          <w:sz w:val="20"/>
          <w:szCs w:val="20"/>
          <w:color w:val="auto"/>
        </w:rPr>
      </w:pPr>
    </w:p>
    <w:p>
      <w:pPr>
        <w:spacing w:after="0" w:line="243"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4925"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BUFFALO CATERING GP LTD.</w:t>
      </w:r>
    </w:p>
    <w:p>
      <w:pPr>
        <w:spacing w:after="0" w:line="200" w:lineRule="exact"/>
        <w:rPr>
          <w:sz w:val="20"/>
          <w:szCs w:val="20"/>
          <w:color w:val="auto"/>
        </w:rPr>
      </w:pPr>
    </w:p>
    <w:p>
      <w:pPr>
        <w:spacing w:after="0" w:line="286"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0120"/>
          </w:cols>
          <w:pgMar w:left="1440" w:top="1440" w:right="3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line="283" w:lineRule="auto"/>
        <w:rPr>
          <w:sz w:val="20"/>
          <w:szCs w:val="20"/>
          <w:color w:val="auto"/>
        </w:rPr>
      </w:pPr>
      <w:r>
        <w:rPr>
          <w:rFonts w:ascii="Times New Roman" w:cs="Times New Roman" w:eastAsia="Times New Roman" w:hAnsi="Times New Roman"/>
          <w:sz w:val="20"/>
          <w:szCs w:val="20"/>
          <w:color w:val="auto"/>
        </w:rPr>
        <w:t>BUFFALO CATERING EMPLOYEES LIMITED PARTNERSHIP, by its general partner, Buffalo Catering GP Ltd.</w:t>
      </w:r>
    </w:p>
    <w:p>
      <w:pPr>
        <w:spacing w:after="0" w:line="173"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INSTALLATIONS GP LTD.</w:t>
      </w:r>
    </w:p>
    <w:p>
      <w:pPr>
        <w:spacing w:after="0" w:line="200" w:lineRule="exact"/>
        <w:rPr>
          <w:sz w:val="20"/>
          <w:szCs w:val="20"/>
          <w:color w:val="auto"/>
        </w:rPr>
      </w:pPr>
    </w:p>
    <w:p>
      <w:pPr>
        <w:spacing w:after="0" w:line="299"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0" w:lineRule="exact"/>
        <w:rPr>
          <w:sz w:val="20"/>
          <w:szCs w:val="20"/>
          <w:color w:val="auto"/>
        </w:rPr>
      </w:pPr>
    </w:p>
    <w:p>
      <w:pPr>
        <w:ind w:left="3100"/>
        <w:spacing w:after="0" w:line="283" w:lineRule="auto"/>
        <w:rPr>
          <w:sz w:val="20"/>
          <w:szCs w:val="20"/>
          <w:color w:val="auto"/>
        </w:rPr>
      </w:pPr>
      <w:r>
        <w:rPr>
          <w:rFonts w:ascii="Times New Roman" w:cs="Times New Roman" w:eastAsia="Times New Roman" w:hAnsi="Times New Roman"/>
          <w:sz w:val="20"/>
          <w:szCs w:val="20"/>
          <w:color w:val="auto"/>
        </w:rPr>
        <w:t>CIVEO INSTALLATIONS EMPLOYEES LIMITED PARTNERSHIP, by its general partner, Installations GP Ltd.</w:t>
      </w:r>
    </w:p>
    <w:p>
      <w:pPr>
        <w:spacing w:after="0" w:line="200" w:lineRule="exact"/>
        <w:rPr>
          <w:sz w:val="20"/>
          <w:szCs w:val="20"/>
          <w:color w:val="auto"/>
        </w:rPr>
      </w:pPr>
    </w:p>
    <w:p>
      <w:pPr>
        <w:spacing w:after="0" w:line="230"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CROWN SERVICES GP LTD.</w:t>
      </w:r>
    </w:p>
    <w:p>
      <w:pPr>
        <w:spacing w:after="0" w:line="200" w:lineRule="exact"/>
        <w:rPr>
          <w:sz w:val="20"/>
          <w:szCs w:val="20"/>
          <w:color w:val="auto"/>
        </w:rPr>
      </w:pPr>
    </w:p>
    <w:p>
      <w:pPr>
        <w:spacing w:after="0" w:line="299"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4925"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pacing w:after="0" w:line="200" w:lineRule="exact"/>
        <w:rPr>
          <w:sz w:val="20"/>
          <w:szCs w:val="20"/>
          <w:color w:val="auto"/>
        </w:rPr>
      </w:pPr>
    </w:p>
    <w:p>
      <w:pPr>
        <w:spacing w:after="0" w:line="277" w:lineRule="exact"/>
        <w:rPr>
          <w:sz w:val="20"/>
          <w:szCs w:val="20"/>
          <w:color w:val="auto"/>
        </w:rPr>
      </w:pPr>
    </w:p>
    <w:p>
      <w:pPr>
        <w:ind w:left="3100" w:right="20"/>
        <w:spacing w:after="0" w:line="269" w:lineRule="auto"/>
        <w:rPr>
          <w:sz w:val="20"/>
          <w:szCs w:val="20"/>
          <w:color w:val="auto"/>
        </w:rPr>
      </w:pPr>
      <w:r>
        <w:rPr>
          <w:rFonts w:ascii="Times New Roman" w:cs="Times New Roman" w:eastAsia="Times New Roman" w:hAnsi="Times New Roman"/>
          <w:sz w:val="20"/>
          <w:szCs w:val="20"/>
          <w:color w:val="auto"/>
        </w:rPr>
        <w:t>CIVEO CROWN SERVICES EMPLOYEES LIMITED PARTNERSHIP, by its general partner, Crown Services GP Ltd.</w:t>
      </w:r>
    </w:p>
    <w:p>
      <w:pPr>
        <w:spacing w:after="0" w:line="200" w:lineRule="exact"/>
        <w:rPr>
          <w:sz w:val="20"/>
          <w:szCs w:val="20"/>
          <w:color w:val="auto"/>
        </w:rPr>
      </w:pPr>
    </w:p>
    <w:p>
      <w:pPr>
        <w:spacing w:after="0" w:line="243"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tab/>
        <w:t>/s/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04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0120"/>
          </w:cols>
          <w:pgMar w:left="1440" w:top="1440"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SERVICES GP LTD.</w:t>
      </w:r>
    </w:p>
    <w:p>
      <w:pPr>
        <w:spacing w:after="0" w:line="200" w:lineRule="exact"/>
        <w:rPr>
          <w:sz w:val="20"/>
          <w:szCs w:val="20"/>
          <w:color w:val="auto"/>
        </w:rPr>
      </w:pPr>
    </w:p>
    <w:p>
      <w:pPr>
        <w:spacing w:after="0" w:line="299"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4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Mark Menard</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70" w:lineRule="exact"/>
        <w:rPr>
          <w:sz w:val="20"/>
          <w:szCs w:val="20"/>
          <w:color w:val="auto"/>
        </w:rPr>
      </w:pPr>
    </w:p>
    <w:p>
      <w:pPr>
        <w:ind w:left="3100"/>
        <w:spacing w:after="0" w:line="283" w:lineRule="auto"/>
        <w:rPr>
          <w:sz w:val="20"/>
          <w:szCs w:val="20"/>
          <w:color w:val="auto"/>
        </w:rPr>
      </w:pPr>
      <w:r>
        <w:rPr>
          <w:rFonts w:ascii="Times New Roman" w:cs="Times New Roman" w:eastAsia="Times New Roman" w:hAnsi="Times New Roman"/>
          <w:sz w:val="20"/>
          <w:szCs w:val="20"/>
          <w:color w:val="auto"/>
        </w:rPr>
        <w:t>CIVEO SERVICES EMPLOYEES LIMITED PARTNERSHIP, by its general partner, Civeo Services GP Ltd.</w:t>
      </w:r>
    </w:p>
    <w:p>
      <w:pPr>
        <w:spacing w:after="0" w:line="200" w:lineRule="exact"/>
        <w:rPr>
          <w:sz w:val="20"/>
          <w:szCs w:val="20"/>
          <w:color w:val="auto"/>
        </w:rPr>
      </w:pPr>
    </w:p>
    <w:p>
      <w:pPr>
        <w:spacing w:after="0" w:line="230"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4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Mark Menard</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2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PACIFIC NORTHWEST GP LTD.</w:t>
      </w:r>
    </w:p>
    <w:p>
      <w:pPr>
        <w:spacing w:after="0" w:line="200" w:lineRule="exact"/>
        <w:rPr>
          <w:sz w:val="20"/>
          <w:szCs w:val="20"/>
          <w:color w:val="auto"/>
        </w:rPr>
      </w:pPr>
    </w:p>
    <w:p>
      <w:pPr>
        <w:spacing w:after="0" w:line="299"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4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Mark Menard</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277"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auto"/>
        </w:rPr>
        <w:t>CIVEO PACIFIC NORTHWEST EMPLOYEES LIMITED PARTNERSHIP, by its general partner, Civeo Pacific Northwest GP Ltd.</w:t>
      </w:r>
    </w:p>
    <w:p>
      <w:pPr>
        <w:spacing w:after="0" w:line="200" w:lineRule="exact"/>
        <w:rPr>
          <w:sz w:val="20"/>
          <w:szCs w:val="20"/>
          <w:color w:val="auto"/>
        </w:rPr>
      </w:pPr>
    </w:p>
    <w:p>
      <w:pPr>
        <w:spacing w:after="0" w:line="243" w:lineRule="exact"/>
        <w:rPr>
          <w:sz w:val="20"/>
          <w:szCs w:val="20"/>
          <w:color w:val="auto"/>
        </w:rPr>
      </w:pPr>
    </w:p>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Mark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785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Mark Menard</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2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CHRISTINA LAKE ENTERPRISES LTD.</w:t>
      </w: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By: /s/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-10795</wp:posOffset>
            </wp:positionV>
            <wp:extent cx="11798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Jason Hall</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Corporate Controller &amp; Secretary</w:t>
      </w:r>
    </w:p>
    <w:p>
      <w:pPr>
        <w:sectPr>
          <w:pgSz w:w="11900" w:h="16838" w:orient="portrait"/>
          <w:cols w:equalWidth="0" w:num="1">
            <w:col w:w="10100"/>
          </w:cols>
          <w:pgMar w:left="14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0100"/>
          </w:cols>
          <w:pgMar w:left="1440" w:top="1440" w:right="35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B0B0B"/>
        </w:rPr>
        <w:t>CIVEO PROPERTY PTY LTD</w:t>
      </w:r>
    </w:p>
    <w:p>
      <w:pPr>
        <w:spacing w:after="0" w:line="200" w:lineRule="exact"/>
        <w:rPr>
          <w:sz w:val="20"/>
          <w:szCs w:val="20"/>
          <w:color w:val="auto"/>
        </w:rPr>
      </w:pPr>
    </w:p>
    <w:p>
      <w:pPr>
        <w:spacing w:after="0" w:line="272" w:lineRule="exact"/>
        <w:rPr>
          <w:sz w:val="20"/>
          <w:szCs w:val="20"/>
          <w:color w:val="auto"/>
        </w:rPr>
      </w:pPr>
    </w:p>
    <w:p>
      <w:pPr>
        <w:ind w:left="40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-10795</wp:posOffset>
            </wp:positionV>
            <wp:extent cx="15005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Vanessa Mackett</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40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Peter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-10795</wp:posOffset>
            </wp:positionV>
            <wp:extent cx="1374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Peter McCann</w:t>
      </w:r>
    </w:p>
    <w:p>
      <w:pPr>
        <w:spacing w:after="0" w:line="1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27"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20"/>
          <w:szCs w:val="20"/>
          <w:color w:val="auto"/>
        </w:rPr>
        <w:t>ACTION INDUSTRIAL CATERING PTY LTD</w:t>
      </w:r>
    </w:p>
    <w:p>
      <w:pPr>
        <w:spacing w:after="0" w:line="200" w:lineRule="exact"/>
        <w:rPr>
          <w:sz w:val="20"/>
          <w:szCs w:val="20"/>
          <w:color w:val="auto"/>
        </w:rPr>
      </w:pPr>
    </w:p>
    <w:p>
      <w:pPr>
        <w:spacing w:after="0" w:line="272" w:lineRule="exact"/>
        <w:rPr>
          <w:sz w:val="20"/>
          <w:szCs w:val="20"/>
          <w:color w:val="auto"/>
        </w:rPr>
      </w:pPr>
    </w:p>
    <w:p>
      <w:pPr>
        <w:ind w:left="40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-10795</wp:posOffset>
            </wp:positionV>
            <wp:extent cx="15005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Vanessa Mackett</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57" w:lineRule="exact"/>
        <w:rPr>
          <w:sz w:val="20"/>
          <w:szCs w:val="20"/>
          <w:color w:val="auto"/>
        </w:rPr>
      </w:pPr>
    </w:p>
    <w:p>
      <w:pPr>
        <w:ind w:left="40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Peter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-10795</wp:posOffset>
            </wp:positionV>
            <wp:extent cx="1374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Peter McCann</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CIVEO HOLDING COMPANY 1 PTY LTD</w:t>
      </w:r>
    </w:p>
    <w:p>
      <w:pPr>
        <w:spacing w:after="0" w:line="200" w:lineRule="exact"/>
        <w:rPr>
          <w:sz w:val="20"/>
          <w:szCs w:val="20"/>
          <w:color w:val="auto"/>
        </w:rPr>
      </w:pPr>
    </w:p>
    <w:p>
      <w:pPr>
        <w:spacing w:after="0" w:line="272" w:lineRule="exact"/>
        <w:rPr>
          <w:sz w:val="20"/>
          <w:szCs w:val="20"/>
          <w:color w:val="auto"/>
        </w:rPr>
      </w:pPr>
    </w:p>
    <w:p>
      <w:pPr>
        <w:ind w:left="40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-10795</wp:posOffset>
            </wp:positionV>
            <wp:extent cx="15005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Vanessa Mackett</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50" w:lineRule="exact"/>
        <w:rPr>
          <w:sz w:val="20"/>
          <w:szCs w:val="20"/>
          <w:color w:val="auto"/>
        </w:rPr>
      </w:pPr>
    </w:p>
    <w:p>
      <w:pPr>
        <w:ind w:left="40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Peter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-10795</wp:posOffset>
            </wp:positionV>
            <wp:extent cx="1374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Peter McCann</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Director</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CIVEO HOLDING COMPANY 2 PTY LTD</w:t>
      </w:r>
    </w:p>
    <w:p>
      <w:pPr>
        <w:spacing w:after="0" w:line="200" w:lineRule="exact"/>
        <w:rPr>
          <w:sz w:val="20"/>
          <w:szCs w:val="20"/>
          <w:color w:val="auto"/>
        </w:rPr>
      </w:pPr>
    </w:p>
    <w:p>
      <w:pPr>
        <w:spacing w:after="0" w:line="250" w:lineRule="exact"/>
        <w:rPr>
          <w:sz w:val="20"/>
          <w:szCs w:val="20"/>
          <w:color w:val="auto"/>
        </w:rPr>
      </w:pPr>
    </w:p>
    <w:p>
      <w:pPr>
        <w:ind w:left="40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-10795</wp:posOffset>
            </wp:positionV>
            <wp:extent cx="15005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Vanessa Mackett</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919"/>
          </w:cols>
          <w:pgMar w:left="5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919"/>
          </w:cols>
          <w:pgMar w:left="540" w:top="1440" w:right="1440" w:bottom="1440" w:gutter="0" w:footer="0" w:header="0"/>
          <w:type w:val="continuous"/>
        </w:sectPr>
      </w:pPr>
    </w:p>
    <w:bookmarkStart w:id="18" w:name="page19"/>
    <w:bookmarkEnd w:id="18"/>
    <w:p>
      <w:pPr>
        <w:ind w:left="3100"/>
        <w:spacing w:after="0"/>
        <w:tabs>
          <w:tab w:leader="none" w:pos="35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Peter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-10795</wp:posOffset>
            </wp:positionV>
            <wp:extent cx="1374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Peter McCann</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1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8" w:lineRule="exact"/>
        <w:rPr>
          <w:sz w:val="20"/>
          <w:szCs w:val="20"/>
          <w:color w:val="auto"/>
        </w:rPr>
      </w:pPr>
    </w:p>
    <w:p>
      <w:pPr>
        <w:ind w:left="3700"/>
        <w:spacing w:after="0" w:line="253" w:lineRule="auto"/>
        <w:rPr>
          <w:sz w:val="20"/>
          <w:szCs w:val="20"/>
          <w:color w:val="auto"/>
        </w:rPr>
      </w:pPr>
      <w:r>
        <w:rPr>
          <w:rFonts w:ascii="Times New Roman" w:cs="Times New Roman" w:eastAsia="Times New Roman" w:hAnsi="Times New Roman"/>
          <w:sz w:val="20"/>
          <w:szCs w:val="20"/>
          <w:color w:val="auto"/>
        </w:rPr>
        <w:t>as Administrative Agent, U.S. Collateral Agent, Canadian Administrative Agent and Canadian Collateral Agent</w:t>
      </w:r>
    </w:p>
    <w:p>
      <w:pPr>
        <w:spacing w:after="0" w:line="200" w:lineRule="exact"/>
        <w:rPr>
          <w:sz w:val="20"/>
          <w:szCs w:val="20"/>
          <w:color w:val="auto"/>
        </w:rPr>
      </w:pPr>
    </w:p>
    <w:p>
      <w:pPr>
        <w:spacing w:after="0" w:line="326" w:lineRule="exact"/>
        <w:rPr>
          <w:sz w:val="20"/>
          <w:szCs w:val="20"/>
          <w:color w:val="auto"/>
        </w:rPr>
      </w:pPr>
    </w:p>
    <w:p>
      <w:pPr>
        <w:ind w:left="3700"/>
        <w:spacing w:after="0"/>
        <w:tabs>
          <w:tab w:leader="none" w:pos="4200" w:val="left"/>
        </w:tabs>
        <w:rPr>
          <w:sz w:val="20"/>
          <w:szCs w:val="20"/>
          <w:color w:val="auto"/>
        </w:rPr>
      </w:pPr>
      <w:r>
        <w:rPr>
          <w:rFonts w:ascii="Times New Roman" w:cs="Times New Roman" w:eastAsia="Times New Roman" w:hAnsi="Times New Roman"/>
          <w:sz w:val="20"/>
          <w:szCs w:val="20"/>
          <w:color w:val="auto"/>
        </w:rPr>
        <w:t>By:</w:t>
        <w:tab/>
        <w:t>/s/ 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-10795</wp:posOffset>
            </wp:positionV>
            <wp:extent cx="11791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8" w:lineRule="exact"/>
        <w:rPr>
          <w:sz w:val="20"/>
          <w:szCs w:val="20"/>
          <w:color w:val="auto"/>
        </w:rPr>
      </w:pPr>
    </w:p>
    <w:p>
      <w:pPr>
        <w:ind w:left="3700"/>
        <w:spacing w:after="0"/>
        <w:tabs>
          <w:tab w:leader="none" w:pos="4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Annie Lee</w:t>
      </w:r>
    </w:p>
    <w:p>
      <w:pPr>
        <w:spacing w:after="0" w:line="1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Title: Associate Director, Agency Services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0400"/>
          </w:cols>
          <w:pgMar w:left="520" w:top="1413" w:right="979" w:bottom="1440" w:gutter="0" w:footer="0" w:header="0"/>
        </w:sectPr>
      </w:pPr>
    </w:p>
    <w:bookmarkStart w:id="20" w:name="page21"/>
    <w:bookmarkEnd w:id="20"/>
    <w:p>
      <w:pPr>
        <w:ind w:left="2780"/>
        <w:spacing w:after="0"/>
        <w:rPr>
          <w:sz w:val="20"/>
          <w:szCs w:val="20"/>
          <w:color w:val="auto"/>
        </w:rPr>
      </w:pPr>
      <w:r>
        <w:rPr>
          <w:rFonts w:ascii="Times New Roman" w:cs="Times New Roman" w:eastAsia="Times New Roman" w:hAnsi="Times New Roman"/>
          <w:sz w:val="20"/>
          <w:szCs w:val="20"/>
          <w:color w:val="auto"/>
        </w:rPr>
        <w:t>RBC EUROPE LIMITED,</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as Australian Administrative Agent and Australian Collateral Agent</w:t>
      </w:r>
    </w:p>
    <w:p>
      <w:pPr>
        <w:spacing w:after="0" w:line="200" w:lineRule="exact"/>
        <w:rPr>
          <w:sz w:val="20"/>
          <w:szCs w:val="20"/>
          <w:color w:val="auto"/>
        </w:rPr>
      </w:pPr>
    </w:p>
    <w:p>
      <w:pPr>
        <w:spacing w:after="0" w:line="36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0"/>
          <w:szCs w:val="20"/>
          <w:color w:val="auto"/>
        </w:rPr>
        <w:t>By:</w:t>
        <w:tab/>
        <w:t>/s/ Johnson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-10795</wp:posOffset>
            </wp:positionV>
            <wp:extent cx="1268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Johnson Tse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1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color w:val="auto"/>
        </w:rPr>
        <w:t>ROYAL BANK OF CANADA, as a U.S. Lender, the U.S. Swing Line Lender and an Issuing Bank</w:t>
      </w:r>
    </w:p>
    <w:p>
      <w:pPr>
        <w:sectPr>
          <w:pgSz w:w="11900" w:h="16838" w:orient="portrait"/>
          <w:cols w:equalWidth="0" w:num="1">
            <w:col w:w="9939"/>
          </w:cols>
          <w:pgMar w:left="520" w:top="141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3700"/>
        <w:spacing w:after="0"/>
        <w:tabs>
          <w:tab w:leader="none" w:pos="4200" w:val="left"/>
        </w:tabs>
        <w:rPr>
          <w:sz w:val="20"/>
          <w:szCs w:val="20"/>
          <w:color w:val="auto"/>
        </w:rPr>
      </w:pPr>
      <w:r>
        <w:rPr>
          <w:rFonts w:ascii="Times New Roman" w:cs="Times New Roman" w:eastAsia="Times New Roman" w:hAnsi="Times New Roman"/>
          <w:sz w:val="20"/>
          <w:szCs w:val="20"/>
          <w:color w:val="auto"/>
        </w:rPr>
        <w:t>By:</w:t>
        <w:tab/>
        <w:t>/s/ Cameron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-10795</wp:posOffset>
            </wp:positionV>
            <wp:extent cx="1430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30655" cy="8890"/>
                    </a:xfrm>
                    <a:prstGeom prst="rect">
                      <a:avLst/>
                    </a:prstGeom>
                    <a:noFill/>
                  </pic:spPr>
                </pic:pic>
              </a:graphicData>
            </a:graphic>
          </wp:anchor>
        </w:drawing>
      </w:r>
    </w:p>
    <w:p>
      <w:pPr>
        <w:spacing w:after="0" w:line="8" w:lineRule="exact"/>
        <w:rPr>
          <w:sz w:val="20"/>
          <w:szCs w:val="20"/>
          <w:color w:val="auto"/>
        </w:rPr>
      </w:pPr>
    </w:p>
    <w:p>
      <w:pPr>
        <w:ind w:left="3700"/>
        <w:spacing w:after="0"/>
        <w:tabs>
          <w:tab w:leader="none" w:pos="4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Cameron Johnson</w:t>
      </w:r>
    </w:p>
    <w:p>
      <w:pPr>
        <w:spacing w:after="0" w:line="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939"/>
          </w:cols>
          <w:pgMar w:left="520" w:top="1413" w:right="1440" w:bottom="1440" w:gutter="0" w:footer="0" w:header="0"/>
          <w:type w:val="continuous"/>
        </w:sectPr>
      </w:pPr>
    </w:p>
    <w:bookmarkStart w:id="22" w:name="page23"/>
    <w:bookmarkEnd w:id="22"/>
    <w:p>
      <w:pPr>
        <w:ind w:left="2780"/>
        <w:spacing w:after="0" w:line="283" w:lineRule="auto"/>
        <w:rPr>
          <w:sz w:val="20"/>
          <w:szCs w:val="20"/>
          <w:color w:val="auto"/>
        </w:rPr>
      </w:pPr>
      <w:r>
        <w:rPr>
          <w:rFonts w:ascii="Times New Roman" w:cs="Times New Roman" w:eastAsia="Times New Roman" w:hAnsi="Times New Roman"/>
          <w:sz w:val="20"/>
          <w:szCs w:val="20"/>
          <w:color w:val="auto"/>
        </w:rPr>
        <w:t>ROYAL BANK OF CANADA, as a Canadian Lender, the Canadian Swing Line Lender and an Issuing Bank</w:t>
      </w:r>
    </w:p>
    <w:p>
      <w:pPr>
        <w:spacing w:after="0" w:line="200" w:lineRule="exact"/>
        <w:rPr>
          <w:sz w:val="20"/>
          <w:szCs w:val="20"/>
          <w:color w:val="auto"/>
        </w:rPr>
      </w:pPr>
    </w:p>
    <w:p>
      <w:pPr>
        <w:spacing w:after="0" w:line="21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Mike Gaudet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3119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Mike Gaudet</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0120"/>
          </w:cols>
          <w:pgMar w:left="1440" w:top="1413" w:right="339" w:bottom="1440" w:gutter="0" w:footer="0" w:header="0"/>
        </w:sectPr>
      </w:pPr>
    </w:p>
    <w:bookmarkStart w:id="23" w:name="page24"/>
    <w:bookmarkEnd w:id="23"/>
    <w:p>
      <w:pPr>
        <w:ind w:left="2780"/>
        <w:spacing w:after="0"/>
        <w:rPr>
          <w:sz w:val="20"/>
          <w:szCs w:val="20"/>
          <w:color w:val="auto"/>
        </w:rPr>
      </w:pPr>
      <w:r>
        <w:rPr>
          <w:rFonts w:ascii="Times New Roman" w:cs="Times New Roman" w:eastAsia="Times New Roman" w:hAnsi="Times New Roman"/>
          <w:sz w:val="19"/>
          <w:szCs w:val="19"/>
          <w:color w:val="auto"/>
        </w:rPr>
        <w:t>ROYAL BANK OF CANADA, as an Australian Lender and an Issuing Bank</w:t>
      </w:r>
    </w:p>
    <w:p>
      <w:pPr>
        <w:spacing w:after="0" w:line="200" w:lineRule="exact"/>
        <w:rPr>
          <w:sz w:val="20"/>
          <w:szCs w:val="20"/>
          <w:color w:val="auto"/>
        </w:rPr>
      </w:pPr>
    </w:p>
    <w:p>
      <w:pPr>
        <w:spacing w:after="0" w:line="31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Dilyana Lupanova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4585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Dilyana Lupanova</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13" w:right="1440" w:bottom="1440" w:gutter="0" w:footer="0" w:header="0"/>
        </w:sectPr>
      </w:pPr>
    </w:p>
    <w:bookmarkStart w:id="24" w:name="page25"/>
    <w:bookmarkEnd w:id="24"/>
    <w:p>
      <w:pPr>
        <w:jc w:val="both"/>
        <w:ind w:left="2780"/>
        <w:spacing w:after="0" w:line="261" w:lineRule="auto"/>
        <w:rPr>
          <w:sz w:val="20"/>
          <w:szCs w:val="20"/>
          <w:color w:val="auto"/>
        </w:rPr>
      </w:pPr>
      <w:r>
        <w:rPr>
          <w:rFonts w:ascii="Times New Roman" w:cs="Times New Roman" w:eastAsia="Times New Roman" w:hAnsi="Times New Roman"/>
          <w:sz w:val="20"/>
          <w:szCs w:val="20"/>
          <w:color w:val="auto"/>
        </w:rPr>
        <w:t>For and on behalf of THE HONGKONG AND SHANGHAI BANKING CORPORATION LIMITED, SYDNEY BRANCH, as an Australian Lender, by its duly authorized attorney pursuant to a Power of Attorney</w:t>
      </w:r>
    </w:p>
    <w:p>
      <w:pPr>
        <w:spacing w:after="0" w:line="200" w:lineRule="exact"/>
        <w:rPr>
          <w:sz w:val="20"/>
          <w:szCs w:val="20"/>
          <w:color w:val="auto"/>
        </w:rPr>
      </w:pPr>
    </w:p>
    <w:p>
      <w:pPr>
        <w:spacing w:after="0" w:line="25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Christopher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451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1610" cy="8890"/>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Owen</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 Wholesale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10120"/>
          </w:cols>
          <w:pgMar w:left="1440" w:top="14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color w:val="auto"/>
        </w:rPr>
        <w:t>BANK OF MONTREAL, acting via its Chicago Branch, as a U.S. Lender</w:t>
      </w:r>
    </w:p>
    <w:p>
      <w:pPr>
        <w:spacing w:after="0" w:line="200" w:lineRule="exact"/>
        <w:rPr>
          <w:sz w:val="20"/>
          <w:szCs w:val="20"/>
          <w:color w:val="auto"/>
        </w:rPr>
      </w:pPr>
    </w:p>
    <w:p>
      <w:pPr>
        <w:spacing w:after="0" w:line="36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By: /s/ Charles Reggie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-10795</wp:posOffset>
            </wp:positionV>
            <wp:extent cx="1591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1310" cy="8890"/>
                    </a:xfrm>
                    <a:prstGeom prst="rect">
                      <a:avLst/>
                    </a:prstGeom>
                    <a:noFill/>
                  </pic:spPr>
                </pic:pic>
              </a:graphicData>
            </a:graphic>
          </wp:anchor>
        </w:drawing>
      </w:r>
    </w:p>
    <w:p>
      <w:pPr>
        <w:spacing w:after="0" w:line="8" w:lineRule="exact"/>
        <w:rPr>
          <w:sz w:val="20"/>
          <w:szCs w:val="20"/>
          <w:color w:val="auto"/>
        </w:rPr>
      </w:pPr>
    </w:p>
    <w:p>
      <w:pPr>
        <w:ind w:left="3700"/>
        <w:spacing w:after="0"/>
        <w:tabs>
          <w:tab w:leader="none" w:pos="4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Charles Reggie Rice</w:t>
      </w:r>
    </w:p>
    <w:p>
      <w:pPr>
        <w:spacing w:after="0" w:line="6" w:lineRule="exact"/>
        <w:rPr>
          <w:sz w:val="20"/>
          <w:szCs w:val="20"/>
          <w:color w:val="auto"/>
        </w:rPr>
      </w:pPr>
    </w:p>
    <w:p>
      <w:pPr>
        <w:ind w:left="3700"/>
        <w:spacing w:after="0"/>
        <w:tabs>
          <w:tab w:leader="none" w:pos="4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939"/>
          </w:cols>
          <w:pgMar w:left="520" w:top="1413" w:right="1440" w:bottom="1440" w:gutter="0" w:footer="0" w:header="0"/>
        </w:sectPr>
      </w:pPr>
    </w:p>
    <w:bookmarkStart w:id="26" w:name="page27"/>
    <w:bookmarkEnd w:id="26"/>
    <w:p>
      <w:pPr>
        <w:ind w:left="2780"/>
        <w:spacing w:after="0"/>
        <w:rPr>
          <w:sz w:val="20"/>
          <w:szCs w:val="20"/>
          <w:color w:val="auto"/>
        </w:rPr>
      </w:pPr>
      <w:r>
        <w:rPr>
          <w:rFonts w:ascii="Times New Roman" w:cs="Times New Roman" w:eastAsia="Times New Roman" w:hAnsi="Times New Roman"/>
          <w:sz w:val="20"/>
          <w:szCs w:val="20"/>
          <w:color w:val="auto"/>
        </w:rPr>
        <w:t>BANK OF MONTREAL, as a Canadian Lender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Nicholas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82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Nicholas Power</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Director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Jared Dillabaugh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386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Jared Dillabaugh</w:t>
      </w:r>
    </w:p>
    <w:p>
      <w:pPr>
        <w:spacing w:after="0" w:line="13"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13" w:right="1440" w:bottom="1440" w:gutter="0" w:footer="0" w:header="0"/>
        </w:sectPr>
      </w:pPr>
    </w:p>
    <w:bookmarkStart w:id="27" w:name="page28"/>
    <w:bookmarkEnd w:id="27"/>
    <w:p>
      <w:pPr>
        <w:jc w:val="right"/>
        <w:ind w:right="1359"/>
        <w:spacing w:after="0"/>
        <w:rPr>
          <w:sz w:val="20"/>
          <w:szCs w:val="20"/>
          <w:color w:val="auto"/>
        </w:rPr>
      </w:pPr>
      <w:r>
        <w:rPr>
          <w:rFonts w:ascii="Times New Roman" w:cs="Times New Roman" w:eastAsia="Times New Roman" w:hAnsi="Times New Roman"/>
          <w:sz w:val="20"/>
          <w:szCs w:val="20"/>
          <w:color w:val="auto"/>
        </w:rPr>
        <w:t>THE TORONTO-DOMINION BANK, as a Canadian Lender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Qamar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274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Qamar Ahmed</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 National Accounts</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Cody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392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Cody Murphy</w:t>
      </w:r>
    </w:p>
    <w:p>
      <w:pPr>
        <w:spacing w:after="0" w:line="13"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 Credit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13" w:right="1440" w:bottom="1440" w:gutter="0" w:footer="0" w:header="0"/>
        </w:sectPr>
      </w:pPr>
    </w:p>
    <w:bookmarkStart w:id="28" w:name="page29"/>
    <w:bookmarkEnd w:id="28"/>
    <w:p>
      <w:pPr>
        <w:ind w:left="2780"/>
        <w:spacing w:after="0"/>
        <w:rPr>
          <w:sz w:val="20"/>
          <w:szCs w:val="20"/>
          <w:color w:val="auto"/>
        </w:rPr>
      </w:pPr>
      <w:r>
        <w:rPr>
          <w:rFonts w:ascii="Times New Roman" w:cs="Times New Roman" w:eastAsia="Times New Roman" w:hAnsi="Times New Roman"/>
          <w:sz w:val="19"/>
          <w:szCs w:val="19"/>
          <w:color w:val="auto"/>
        </w:rPr>
        <w:t>NATIONAL BANK OF CANADA, as an Australian Lender and a Canadian Lender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Jason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833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Jason Anderson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 Energy Services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Darrell Stelmack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38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Darrell Stelmack</w:t>
      </w:r>
    </w:p>
    <w:p>
      <w:pPr>
        <w:spacing w:after="0" w:line="13"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Director, Energy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440"/>
          </w:cols>
          <w:pgMar w:left="1440" w:top="1413" w:right="1019" w:bottom="1440" w:gutter="0" w:footer="0" w:header="0"/>
        </w:sectPr>
      </w:pPr>
    </w:p>
    <w:bookmarkStart w:id="29" w:name="page30"/>
    <w:bookmarkEnd w:id="29"/>
    <w:p>
      <w:pPr>
        <w:jc w:val="center"/>
        <w:ind w:right="179"/>
        <w:spacing w:after="0"/>
        <w:rPr>
          <w:sz w:val="20"/>
          <w:szCs w:val="20"/>
          <w:color w:val="auto"/>
        </w:rPr>
      </w:pPr>
      <w:r>
        <w:rPr>
          <w:rFonts w:ascii="Times New Roman" w:cs="Times New Roman" w:eastAsia="Times New Roman" w:hAnsi="Times New Roman"/>
          <w:sz w:val="20"/>
          <w:szCs w:val="20"/>
          <w:color w:val="auto"/>
        </w:rPr>
        <w:t>ATB FINANCIAL, as a Canadian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Amish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3017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Amish Patel</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 Corporate Banking</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Davinder Jhutty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903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9034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Davinder Jhutty</w:t>
      </w:r>
    </w:p>
    <w:p>
      <w:pPr>
        <w:spacing w:after="0" w:line="13" w:lineRule="exact"/>
        <w:rPr>
          <w:sz w:val="20"/>
          <w:szCs w:val="20"/>
          <w:color w:val="auto"/>
        </w:rPr>
      </w:pPr>
    </w:p>
    <w:p>
      <w:pPr>
        <w:ind w:left="2780"/>
        <w:spacing w:after="0"/>
        <w:tabs>
          <w:tab w:leader="none" w:pos="3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Associate Director,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13" w:right="1440" w:bottom="1440" w:gutter="0" w:footer="0" w:header="0"/>
        </w:sectPr>
      </w:pPr>
    </w:p>
    <w:bookmarkStart w:id="30" w:name="page31"/>
    <w:bookmarkEnd w:id="30"/>
    <w:p>
      <w:pPr>
        <w:spacing w:after="0" w:line="200" w:lineRule="exact"/>
        <w:rPr>
          <w:sz w:val="20"/>
          <w:szCs w:val="20"/>
          <w:color w:val="auto"/>
        </w:rPr>
      </w:pPr>
    </w:p>
    <w:p>
      <w:pPr>
        <w:spacing w:after="0" w:line="232"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20"/>
          <w:szCs w:val="20"/>
          <w:color w:val="auto"/>
        </w:rPr>
        <w:t>CANADIAN WESTERN BANK, as a Canadian Lender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Stan Seto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62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Stan Seto</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 Corporate Banking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Ted Bobier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439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Ted Bobier</w:t>
      </w:r>
    </w:p>
    <w:p>
      <w:pPr>
        <w:spacing w:after="0" w:line="13" w:lineRule="exact"/>
        <w:rPr>
          <w:sz w:val="20"/>
          <w:szCs w:val="20"/>
          <w:color w:val="auto"/>
        </w:rPr>
      </w:pPr>
    </w:p>
    <w:p>
      <w:pPr>
        <w:ind w:left="2780"/>
        <w:spacing w:after="0"/>
        <w:tabs>
          <w:tab w:leader="none" w:pos="3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Associate Director, Corporate Banking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Syndicated Facility Agreement]</w:t>
      </w:r>
    </w:p>
    <w:p>
      <w:pPr>
        <w:sectPr>
          <w:pgSz w:w="11900" w:h="16838" w:orient="portrait"/>
          <w:cols w:equalWidth="0" w:num="1">
            <w:col w:w="9019"/>
          </w:cols>
          <w:pgMar w:left="1440" w:top="1440" w:right="1440" w:bottom="1440" w:gutter="0" w:footer="0" w:header="0"/>
        </w:sectPr>
      </w:pPr>
    </w:p>
    <w:bookmarkStart w:id="31" w:name="page32"/>
    <w:bookmarkEnd w:id="31"/>
    <w:p>
      <w:pPr>
        <w:ind w:left="21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Amendments to Credit Agreement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9019"/>
          </w:cols>
          <w:pgMar w:left="1440" w:top="1409"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SYNDICATED FACILITY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September 8, 2021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CIVEO PTY LIMITED</w:t>
      </w:r>
      <w:r>
        <w:rPr>
          <w:rFonts w:ascii="Times New Roman" w:cs="Times New Roman" w:eastAsia="Times New Roman" w:hAnsi="Times New Roman"/>
          <w:sz w:val="22"/>
          <w:szCs w:val="22"/>
          <w:u w:val="single" w:color="auto"/>
          <w:color w:val="0000FF"/>
          <w:highlight w:val="lightGray"/>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highlight w:val="lightGray"/>
        </w:rPr>
        <w:t>CIVEO MANAGEMENT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CIVEO </w:t>
      </w:r>
      <w:r>
        <w:rPr>
          <w:rFonts w:ascii="Times New Roman" w:cs="Times New Roman" w:eastAsia="Times New Roman" w:hAnsi="Times New Roman"/>
          <w:sz w:val="22"/>
          <w:szCs w:val="22"/>
          <w:color w:val="FF0000"/>
          <w:strike w:val="1"/>
        </w:rPr>
        <w:t>MANAGEMENT</w:t>
      </w:r>
      <w:r>
        <w:rPr>
          <w:rFonts w:ascii="Times New Roman" w:cs="Times New Roman" w:eastAsia="Times New Roman" w:hAnsi="Times New Roman"/>
          <w:sz w:val="22"/>
          <w:szCs w:val="22"/>
          <w:u w:val="single" w:color="auto"/>
          <w:color w:val="0000FF"/>
          <w:highlight w:val="lightGray"/>
        </w:rPr>
        <w:t>USA</w:t>
      </w:r>
      <w:r>
        <w:rPr>
          <w:rFonts w:ascii="Times New Roman" w:cs="Times New Roman" w:eastAsia="Times New Roman" w:hAnsi="Times New Roman"/>
          <w:sz w:val="22"/>
          <w:szCs w:val="22"/>
          <w:color w:val="auto"/>
        </w:rPr>
        <w:t xml:space="preserve"> LLC,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Borrowers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NAMED HEREIN,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U.S. Collateral Agent,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Canadian Administrative Agent, Canadian Collateral Agent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an Issuing Bank,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RBC EUROPE LIMITED,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Australian Administrative Agent</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and</w:t>
      </w:r>
      <w:r>
        <w:rPr>
          <w:rFonts w:ascii="Times New Roman" w:cs="Times New Roman" w:eastAsia="Times New Roman" w:hAnsi="Times New Roman"/>
          <w:sz w:val="22"/>
          <w:szCs w:val="22"/>
          <w:color w:val="auto"/>
        </w:rPr>
        <w:t xml:space="preserve"> Australian Collateral Agent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FF0000"/>
          <w:strike w:val="1"/>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269875</wp:posOffset>
            </wp:positionV>
            <wp:extent cx="9601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RBC CAPITAL MARKETS,</w:t>
      </w:r>
      <w:r>
        <w:rPr>
          <w:rFonts w:ascii="Times New Roman" w:cs="Times New Roman" w:eastAsia="Times New Roman" w:hAnsi="Times New Roman"/>
          <w:sz w:val="28"/>
          <w:szCs w:val="28"/>
          <w:color w:val="auto"/>
          <w:vertAlign w:val="superscript"/>
        </w:rPr>
        <w:t>2</w:t>
      </w:r>
    </w:p>
    <w:p>
      <w:pPr>
        <w:jc w:val="center"/>
        <w:spacing w:after="0"/>
        <w:rPr>
          <w:sz w:val="20"/>
          <w:szCs w:val="20"/>
          <w:color w:val="auto"/>
        </w:rPr>
      </w:pPr>
      <w:r>
        <w:rPr>
          <w:rFonts w:ascii="Times New Roman" w:cs="Times New Roman" w:eastAsia="Times New Roman" w:hAnsi="Times New Roman"/>
          <w:sz w:val="22"/>
          <w:szCs w:val="22"/>
          <w:color w:val="auto"/>
        </w:rPr>
        <w:t xml:space="preserve">as Joint Lead Arranger and </w:t>
      </w:r>
      <w:r>
        <w:rPr>
          <w:rFonts w:ascii="Times New Roman" w:cs="Times New Roman" w:eastAsia="Times New Roman" w:hAnsi="Times New Roman"/>
          <w:sz w:val="22"/>
          <w:szCs w:val="22"/>
          <w:color w:val="FF0000"/>
          <w:strike w:val="1"/>
        </w:rPr>
        <w:t>Sole</w:t>
      </w:r>
      <w:r>
        <w:rPr>
          <w:rFonts w:ascii="Times New Roman" w:cs="Times New Roman" w:eastAsia="Times New Roman" w:hAnsi="Times New Roman"/>
          <w:sz w:val="22"/>
          <w:szCs w:val="22"/>
          <w:color w:val="auto"/>
        </w:rPr>
        <w:t xml:space="preserve"> Bookrunner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FF0000"/>
          <w:strike w:val="1"/>
        </w:rPr>
        <w:t>HSBC</w:t>
      </w:r>
      <w:r>
        <w:rPr>
          <w:rFonts w:ascii="Times New Roman" w:cs="Times New Roman" w:eastAsia="Times New Roman" w:hAnsi="Times New Roman"/>
          <w:sz w:val="22"/>
          <w:szCs w:val="22"/>
          <w:u w:val="single" w:color="auto"/>
          <w:color w:val="0000FF"/>
          <w:highlight w:val="lightGray"/>
        </w:rPr>
        <w:t>THE TORONTO-DOMINION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BANK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CANADA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BANK OF MONTREAL,</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as Joint Lead Arrangers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color w:val="auto"/>
        </w:rPr>
        <w:t xml:space="preserve"> Syndication Agents </w:t>
      </w:r>
      <w:r>
        <w:rPr>
          <w:rFonts w:ascii="Times New Roman" w:cs="Times New Roman" w:eastAsia="Times New Roman" w:hAnsi="Times New Roman"/>
          <w:sz w:val="22"/>
          <w:szCs w:val="22"/>
          <w:color w:val="0000FF"/>
        </w:rPr>
        <w:t>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14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-80645</wp:posOffset>
            </wp:positionV>
            <wp:extent cx="2324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2410" cy="889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-158115</wp:posOffset>
            </wp:positionV>
            <wp:extent cx="97917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79170" cy="145415"/>
                    </a:xfrm>
                    <a:prstGeom prst="rect">
                      <a:avLst/>
                    </a:prstGeom>
                    <a:noFill/>
                  </pic:spPr>
                </pic:pic>
              </a:graphicData>
            </a:graphic>
          </wp:anchor>
        </w:drawing>
      </w:r>
    </w:p>
    <w:p>
      <w:pPr>
        <w:spacing w:after="0" w:line="311" w:lineRule="exact"/>
        <w:rPr>
          <w:sz w:val="20"/>
          <w:szCs w:val="20"/>
          <w:color w:val="auto"/>
        </w:rPr>
      </w:pPr>
    </w:p>
    <w:p>
      <w:pPr>
        <w:ind w:left="660" w:right="260" w:hanging="652"/>
        <w:spacing w:after="0" w:line="224" w:lineRule="auto"/>
        <w:tabs>
          <w:tab w:leader="none" w:pos="352"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RBC Capital Markets is the global brand name of the corporate and investment banking business of Royal Bank of Canada and its affiliates.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color w:val="FF0000"/>
          <w:strike w:val="1"/>
        </w:rPr>
        <w:t>151680782.5</w:t>
      </w:r>
      <w:r>
        <w:rPr>
          <w:rFonts w:ascii="Times New Roman" w:cs="Times New Roman" w:eastAsia="Times New Roman" w:hAnsi="Times New Roman"/>
          <w:sz w:val="14"/>
          <w:szCs w:val="14"/>
          <w:u w:val="single" w:color="auto"/>
          <w:color w:val="0000FF"/>
          <w:highlight w:val="lightGray"/>
        </w:rPr>
        <w:t>152183578.7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26" w:right="339" w:bottom="1440" w:gutter="0" w:footer="0" w:header="0"/>
          <w:type w:val="continuous"/>
        </w:sectPr>
      </w:pPr>
    </w:p>
    <w:bookmarkStart w:id="33" w:name="page34"/>
    <w:bookmarkEnd w:id="33"/>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6460" w:type="dxa"/>
            <w:vAlign w:val="bottom"/>
            <w:gridSpan w:val="74"/>
          </w:tcPr>
          <w:p>
            <w:pPr>
              <w:jc w:val="right"/>
              <w:ind w:right="6212"/>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446"/>
        </w:trPr>
        <w:tc>
          <w:tcPr>
            <w:tcW w:w="2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1.01</w:t>
            </w:r>
          </w:p>
        </w:tc>
        <w:tc>
          <w:tcPr>
            <w:tcW w:w="1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Defined Terms</w:t>
            </w:r>
          </w:p>
        </w:tc>
        <w:tc>
          <w:tcPr>
            <w:tcW w:w="2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54</w:t>
            </w:r>
          </w:p>
        </w:tc>
        <w:tc>
          <w:tcPr>
            <w:tcW w:w="5020" w:type="dxa"/>
            <w:vAlign w:val="bottom"/>
            <w:gridSpan w:val="51"/>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980" w:type="dxa"/>
            <w:vAlign w:val="bottom"/>
            <w:vMerge w:val="restart"/>
          </w:tcPr>
          <w:p>
            <w:pPr>
              <w:ind w:left="660"/>
              <w:spacing w:after="0" w:line="224" w:lineRule="exact"/>
              <w:rPr>
                <w:sz w:val="20"/>
                <w:szCs w:val="20"/>
                <w:color w:val="auto"/>
              </w:rPr>
            </w:pPr>
            <w:r>
              <w:rPr>
                <w:rFonts w:ascii="Times New Roman" w:cs="Times New Roman" w:eastAsia="Times New Roman" w:hAnsi="Times New Roman"/>
                <w:sz w:val="20"/>
                <w:szCs w:val="20"/>
                <w:color w:val="auto"/>
              </w:rPr>
              <w:t>SECTION 1.02</w:t>
            </w:r>
          </w:p>
        </w:tc>
        <w:tc>
          <w:tcPr>
            <w:tcW w:w="1400" w:type="dxa"/>
            <w:vAlign w:val="bottom"/>
            <w:gridSpan w:val="16"/>
            <w:vMerge w:val="restart"/>
          </w:tcPr>
          <w:p>
            <w:pPr>
              <w:ind w:left="100"/>
              <w:spacing w:after="0" w:line="224" w:lineRule="exact"/>
              <w:rPr>
                <w:sz w:val="20"/>
                <w:szCs w:val="20"/>
                <w:color w:val="auto"/>
              </w:rPr>
            </w:pPr>
            <w:r>
              <w:rPr>
                <w:rFonts w:ascii="Times New Roman" w:cs="Times New Roman" w:eastAsia="Times New Roman" w:hAnsi="Times New Roman"/>
                <w:sz w:val="20"/>
                <w:szCs w:val="20"/>
                <w:color w:val="auto"/>
                <w:w w:val="93"/>
              </w:rPr>
              <w:t>Terms Generally</w:t>
            </w:r>
          </w:p>
        </w:tc>
        <w:tc>
          <w:tcPr>
            <w:tcW w:w="220" w:type="dxa"/>
            <w:vAlign w:val="bottom"/>
            <w:gridSpan w:val="3"/>
          </w:tcPr>
          <w:p>
            <w:pPr>
              <w:spacing w:after="0"/>
              <w:rPr>
                <w:sz w:val="3"/>
                <w:szCs w:val="3"/>
                <w:color w:val="auto"/>
              </w:rPr>
            </w:pPr>
          </w:p>
        </w:tc>
        <w:tc>
          <w:tcPr>
            <w:tcW w:w="220" w:type="dxa"/>
            <w:vAlign w:val="bottom"/>
            <w:gridSpan w:val="6"/>
            <w:vMerge w:val="continue"/>
          </w:tcPr>
          <w:p>
            <w:pPr>
              <w:spacing w:after="0"/>
              <w:rPr>
                <w:sz w:val="3"/>
                <w:szCs w:val="3"/>
                <w:color w:val="auto"/>
              </w:rPr>
            </w:pPr>
          </w:p>
        </w:tc>
        <w:tc>
          <w:tcPr>
            <w:tcW w:w="5020" w:type="dxa"/>
            <w:vAlign w:val="bottom"/>
            <w:gridSpan w:val="5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400" w:type="dxa"/>
            <w:vAlign w:val="bottom"/>
            <w:gridSpan w:val="16"/>
            <w:vMerge w:val="continue"/>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200" w:type="dxa"/>
            <w:vAlign w:val="bottom"/>
            <w:tcBorders>
              <w:bottom w:val="single" w:sz="8" w:color="0000FF"/>
            </w:tcBorders>
            <w:gridSpan w:val="6"/>
            <w:shd w:val="clear" w:color="auto" w:fill="DDDDDD"/>
          </w:tcPr>
          <w:p>
            <w:pPr>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22"/>
                <w:szCs w:val="22"/>
                <w:color w:val="FF0000"/>
                <w:strike w:val="1"/>
                <w:w w:val="99"/>
              </w:rPr>
              <w:t>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1.03</w:t>
            </w:r>
          </w:p>
        </w:tc>
        <w:tc>
          <w:tcPr>
            <w:tcW w:w="100" w:type="dxa"/>
            <w:vAlign w:val="bottom"/>
            <w:vMerge w:val="restart"/>
          </w:tcPr>
          <w:p>
            <w:pPr>
              <w:spacing w:after="0"/>
              <w:rPr>
                <w:sz w:val="3"/>
                <w:szCs w:val="3"/>
                <w:color w:val="auto"/>
              </w:rPr>
            </w:pPr>
          </w:p>
        </w:tc>
        <w:tc>
          <w:tcPr>
            <w:tcW w:w="3280" w:type="dxa"/>
            <w:vAlign w:val="bottom"/>
            <w:gridSpan w:val="51"/>
            <w:vMerge w:val="restart"/>
          </w:tcPr>
          <w:p>
            <w:pPr>
              <w:spacing w:after="0"/>
              <w:rPr>
                <w:sz w:val="20"/>
                <w:szCs w:val="20"/>
                <w:color w:val="auto"/>
              </w:rPr>
            </w:pPr>
            <w:r>
              <w:rPr>
                <w:rFonts w:ascii="Times New Roman" w:cs="Times New Roman" w:eastAsia="Times New Roman" w:hAnsi="Times New Roman"/>
                <w:sz w:val="20"/>
                <w:szCs w:val="20"/>
                <w:color w:val="auto"/>
              </w:rPr>
              <w:t>Several Obligations; Power of Attorney</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80" w:type="dxa"/>
            <w:vAlign w:val="bottom"/>
            <w:gridSpan w:val="51"/>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6"/>
            <w:vMerge w:val="continue"/>
          </w:tcPr>
          <w:p>
            <w:pPr>
              <w:spacing w:after="0"/>
              <w:rPr>
                <w:sz w:val="17"/>
                <w:szCs w:val="17"/>
                <w:color w:val="auto"/>
              </w:rPr>
            </w:pPr>
          </w:p>
        </w:tc>
        <w:tc>
          <w:tcPr>
            <w:tcW w:w="1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1.04</w:t>
            </w:r>
          </w:p>
        </w:tc>
        <w:tc>
          <w:tcPr>
            <w:tcW w:w="100" w:type="dxa"/>
            <w:vAlign w:val="bottom"/>
            <w:vMerge w:val="restart"/>
          </w:tcPr>
          <w:p>
            <w:pPr>
              <w:spacing w:after="0"/>
              <w:rPr>
                <w:sz w:val="4"/>
                <w:szCs w:val="4"/>
                <w:color w:val="auto"/>
              </w:rPr>
            </w:pPr>
          </w:p>
        </w:tc>
        <w:tc>
          <w:tcPr>
            <w:tcW w:w="3280" w:type="dxa"/>
            <w:vAlign w:val="bottom"/>
            <w:gridSpan w:val="51"/>
            <w:vMerge w:val="restart"/>
          </w:tcPr>
          <w:p>
            <w:pPr>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gridSpan w:val="6"/>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0"/>
              </w:rPr>
              <w:t>55</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80" w:type="dxa"/>
            <w:vAlign w:val="bottom"/>
            <w:gridSpan w:val="51"/>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6"/>
            <w:vMerge w:val="continue"/>
          </w:tcPr>
          <w:p>
            <w:pPr>
              <w:spacing w:after="0"/>
              <w:rPr>
                <w:sz w:val="17"/>
                <w:szCs w:val="17"/>
                <w:color w:val="auto"/>
              </w:rPr>
            </w:pPr>
          </w:p>
        </w:tc>
        <w:tc>
          <w:tcPr>
            <w:tcW w:w="1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1.05</w:t>
            </w:r>
          </w:p>
        </w:tc>
        <w:tc>
          <w:tcPr>
            <w:tcW w:w="2980" w:type="dxa"/>
            <w:vAlign w:val="bottom"/>
            <w:gridSpan w:val="48"/>
            <w:vMerge w:val="restart"/>
          </w:tcPr>
          <w:p>
            <w:pPr>
              <w:ind w:left="100"/>
              <w:spacing w:after="0"/>
              <w:rPr>
                <w:sz w:val="20"/>
                <w:szCs w:val="20"/>
                <w:color w:val="auto"/>
              </w:rPr>
            </w:pPr>
            <w:r>
              <w:rPr>
                <w:rFonts w:ascii="Times New Roman" w:cs="Times New Roman" w:eastAsia="Times New Roman" w:hAnsi="Times New Roman"/>
                <w:sz w:val="20"/>
                <w:szCs w:val="20"/>
                <w:color w:val="auto"/>
              </w:rPr>
              <w:t>Additional Alternative Currencies</w:t>
            </w:r>
          </w:p>
        </w:tc>
        <w:tc>
          <w:tcPr>
            <w:tcW w:w="220" w:type="dxa"/>
            <w:vAlign w:val="bottom"/>
            <w:gridSpan w:val="3"/>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0"/>
              </w:rPr>
              <w:t>55</w:t>
            </w: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980" w:type="dxa"/>
            <w:vAlign w:val="bottom"/>
            <w:vMerge w:val="continue"/>
          </w:tcPr>
          <w:p>
            <w:pPr>
              <w:spacing w:after="0"/>
              <w:rPr>
                <w:sz w:val="18"/>
                <w:szCs w:val="18"/>
                <w:color w:val="auto"/>
              </w:rPr>
            </w:pPr>
          </w:p>
        </w:tc>
        <w:tc>
          <w:tcPr>
            <w:tcW w:w="2980" w:type="dxa"/>
            <w:vAlign w:val="bottom"/>
            <w:gridSpan w:val="48"/>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200" w:type="dxa"/>
            <w:vAlign w:val="bottom"/>
            <w:tcBorders>
              <w:bottom w:val="single" w:sz="8" w:color="0000FF"/>
            </w:tcBorders>
            <w:gridSpan w:val="2"/>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1.06</w:t>
            </w:r>
          </w:p>
        </w:tc>
        <w:tc>
          <w:tcPr>
            <w:tcW w:w="100" w:type="dxa"/>
            <w:vAlign w:val="bottom"/>
          </w:tcPr>
          <w:p>
            <w:pPr>
              <w:spacing w:after="0"/>
              <w:rPr>
                <w:sz w:val="2"/>
                <w:szCs w:val="2"/>
                <w:color w:val="auto"/>
              </w:rPr>
            </w:pPr>
          </w:p>
        </w:tc>
        <w:tc>
          <w:tcPr>
            <w:tcW w:w="1280" w:type="dxa"/>
            <w:vAlign w:val="bottom"/>
            <w:gridSpan w:val="14"/>
            <w:vMerge w:val="restart"/>
          </w:tcPr>
          <w:p>
            <w:pPr>
              <w:spacing w:after="0" w:line="217" w:lineRule="exact"/>
              <w:rPr>
                <w:sz w:val="20"/>
                <w:szCs w:val="20"/>
                <w:color w:val="auto"/>
              </w:rPr>
            </w:pPr>
            <w:r>
              <w:rPr>
                <w:rFonts w:ascii="Times New Roman" w:cs="Times New Roman" w:eastAsia="Times New Roman" w:hAnsi="Times New Roman"/>
                <w:sz w:val="22"/>
                <w:szCs w:val="22"/>
                <w:color w:val="FF0000"/>
                <w:strike w:val="1"/>
                <w:w w:val="97"/>
              </w:rPr>
              <w:t>Cashless Rolls</w:t>
            </w:r>
          </w:p>
        </w:tc>
        <w:tc>
          <w:tcPr>
            <w:tcW w:w="200" w:type="dxa"/>
            <w:vAlign w:val="bottom"/>
            <w:gridSpan w:val="3"/>
          </w:tcPr>
          <w:p>
            <w:pPr>
              <w:spacing w:after="0"/>
              <w:rPr>
                <w:sz w:val="2"/>
                <w:szCs w:val="2"/>
                <w:color w:val="auto"/>
              </w:rPr>
            </w:pPr>
          </w:p>
        </w:tc>
        <w:tc>
          <w:tcPr>
            <w:tcW w:w="220" w:type="dxa"/>
            <w:vAlign w:val="bottom"/>
            <w:gridSpan w:val="5"/>
            <w:vMerge w:val="restart"/>
          </w:tcPr>
          <w:p>
            <w:pPr>
              <w:jc w:val="right"/>
              <w:spacing w:after="0" w:line="217" w:lineRule="exact"/>
              <w:rPr>
                <w:sz w:val="20"/>
                <w:szCs w:val="20"/>
                <w:color w:val="auto"/>
              </w:rPr>
            </w:pPr>
            <w:r>
              <w:rPr>
                <w:rFonts w:ascii="Times New Roman" w:cs="Times New Roman" w:eastAsia="Times New Roman" w:hAnsi="Times New Roman"/>
                <w:sz w:val="22"/>
                <w:szCs w:val="22"/>
                <w:color w:val="FF0000"/>
                <w:strike w:val="1"/>
                <w:w w:val="90"/>
              </w:rPr>
              <w:t>56</w:t>
            </w:r>
          </w:p>
        </w:tc>
        <w:tc>
          <w:tcPr>
            <w:tcW w:w="20" w:type="dxa"/>
            <w:vAlign w:val="bottom"/>
            <w:vMerge w:val="restart"/>
          </w:tcPr>
          <w:p>
            <w:pPr>
              <w:spacing w:after="0"/>
              <w:rPr>
                <w:sz w:val="2"/>
                <w:szCs w:val="2"/>
                <w:color w:val="auto"/>
              </w:rPr>
            </w:pPr>
          </w:p>
        </w:tc>
        <w:tc>
          <w:tcPr>
            <w:tcW w:w="860" w:type="dxa"/>
            <w:vAlign w:val="bottom"/>
            <w:gridSpan w:val="21"/>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0" w:type="dxa"/>
            <w:vAlign w:val="bottom"/>
            <w:tcBorders>
              <w:top w:val="single" w:sz="8" w:color="DDDDDD"/>
            </w:tcBorders>
            <w:gridSpan w:val="2"/>
          </w:tcPr>
          <w:p>
            <w:pPr>
              <w:spacing w:after="0"/>
              <w:rPr>
                <w:sz w:val="2"/>
                <w:szCs w:val="2"/>
                <w:color w:val="auto"/>
              </w:rPr>
            </w:pPr>
          </w:p>
        </w:tc>
        <w:tc>
          <w:tcPr>
            <w:tcW w:w="3460" w:type="dxa"/>
            <w:vAlign w:val="bottom"/>
            <w:gridSpan w:val="2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1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5"/>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860" w:type="dxa"/>
            <w:vAlign w:val="bottom"/>
            <w:tcBorders>
              <w:bottom w:val="single" w:sz="8" w:color="0000FF"/>
            </w:tcBorders>
            <w:gridSpan w:val="21"/>
            <w:shd w:val="clear" w:color="auto" w:fill="DDDDDD"/>
          </w:tcPr>
          <w:p>
            <w:pPr>
              <w:spacing w:after="0" w:line="189" w:lineRule="exact"/>
              <w:rPr>
                <w:sz w:val="20"/>
                <w:szCs w:val="20"/>
                <w:color w:val="auto"/>
              </w:rPr>
            </w:pPr>
            <w:r>
              <w:rPr>
                <w:rFonts w:ascii="Times New Roman" w:cs="Times New Roman" w:eastAsia="Times New Roman" w:hAnsi="Times New Roman"/>
                <w:sz w:val="20"/>
                <w:szCs w:val="20"/>
                <w:color w:val="0000FF"/>
                <w:highlight w:val="lightGray"/>
                <w:w w:val="95"/>
              </w:rPr>
              <w:t>[Reserved]</w:t>
            </w:r>
          </w:p>
        </w:tc>
        <w:tc>
          <w:tcPr>
            <w:tcW w:w="180" w:type="dxa"/>
            <w:vAlign w:val="bottom"/>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180" w:type="dxa"/>
            <w:vAlign w:val="bottom"/>
            <w:tcBorders>
              <w:left w:val="single" w:sz="8" w:color="DDDDDD"/>
              <w:bottom w:val="single" w:sz="8" w:color="0000FF"/>
            </w:tcBorders>
            <w:gridSpan w:val="2"/>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57</w:t>
            </w:r>
          </w:p>
        </w:tc>
        <w:tc>
          <w:tcPr>
            <w:tcW w:w="20" w:type="dxa"/>
            <w:vAlign w:val="bottom"/>
            <w:tcBorders>
              <w:bottom w:val="single" w:sz="8" w:color="0000FF"/>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56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gridSpan w:val="28"/>
          </w:tcPr>
          <w:p>
            <w:pPr>
              <w:spacing w:after="0" w:line="20" w:lineRule="exact"/>
              <w:rPr>
                <w:sz w:val="1"/>
                <w:szCs w:val="1"/>
                <w:color w:val="auto"/>
              </w:rPr>
            </w:pPr>
          </w:p>
        </w:tc>
        <w:tc>
          <w:tcPr>
            <w:tcW w:w="580" w:type="dxa"/>
            <w:vAlign w:val="bottom"/>
            <w:tcBorders>
              <w:left w:val="single" w:sz="8" w:color="DDDDDD"/>
            </w:tcBorders>
            <w:gridSpan w:val="16"/>
            <w:shd w:val="clear" w:color="auto" w:fill="DDDDDD"/>
          </w:tcPr>
          <w:p>
            <w:pPr>
              <w:spacing w:after="0" w:line="20" w:lineRule="exact"/>
              <w:rPr>
                <w:sz w:val="1"/>
                <w:szCs w:val="1"/>
                <w:color w:val="auto"/>
              </w:rPr>
            </w:pPr>
          </w:p>
        </w:tc>
        <w:tc>
          <w:tcPr>
            <w:tcW w:w="160" w:type="dxa"/>
            <w:vAlign w:val="bottom"/>
            <w:tcBorders>
              <w:left w:val="single" w:sz="8" w:color="DDDDDD"/>
            </w:tcBorders>
            <w:shd w:val="clear" w:color="auto" w:fill="DDDDDD"/>
          </w:tcPr>
          <w:p>
            <w:pPr>
              <w:spacing w:after="0" w:line="20" w:lineRule="exact"/>
              <w:rPr>
                <w:sz w:val="1"/>
                <w:szCs w:val="1"/>
                <w:color w:val="auto"/>
              </w:rPr>
            </w:pPr>
          </w:p>
        </w:tc>
        <w:tc>
          <w:tcPr>
            <w:tcW w:w="260" w:type="dxa"/>
            <w:vAlign w:val="bottom"/>
            <w:tcBorders>
              <w:left w:val="single" w:sz="8" w:color="DDDDDD"/>
            </w:tcBorders>
            <w:gridSpan w:val="3"/>
            <w:shd w:val="clear" w:color="auto" w:fill="DDDDDD"/>
          </w:tcPr>
          <w:p>
            <w:pPr>
              <w:spacing w:after="0" w:line="20" w:lineRule="exact"/>
              <w:rPr>
                <w:sz w:val="1"/>
                <w:szCs w:val="1"/>
                <w:color w:val="auto"/>
              </w:rPr>
            </w:pPr>
          </w:p>
        </w:tc>
        <w:tc>
          <w:tcPr>
            <w:tcW w:w="520" w:type="dxa"/>
            <w:vAlign w:val="bottom"/>
            <w:tcBorders>
              <w:left w:val="single" w:sz="8" w:color="DDDDDD"/>
            </w:tcBorders>
            <w:gridSpan w:val="6"/>
            <w:shd w:val="clear" w:color="auto" w:fill="DDDDDD"/>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32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1.07</w:t>
            </w:r>
          </w:p>
        </w:tc>
        <w:tc>
          <w:tcPr>
            <w:tcW w:w="100" w:type="dxa"/>
            <w:vAlign w:val="bottom"/>
          </w:tcPr>
          <w:p>
            <w:pPr>
              <w:spacing w:after="0"/>
              <w:rPr>
                <w:sz w:val="3"/>
                <w:szCs w:val="3"/>
                <w:color w:val="auto"/>
              </w:rPr>
            </w:pPr>
          </w:p>
        </w:tc>
        <w:tc>
          <w:tcPr>
            <w:tcW w:w="3280" w:type="dxa"/>
            <w:vAlign w:val="bottom"/>
            <w:gridSpan w:val="51"/>
            <w:vMerge w:val="restart"/>
          </w:tcPr>
          <w:p>
            <w:pPr>
              <w:spacing w:after="0"/>
              <w:rPr>
                <w:sz w:val="20"/>
                <w:szCs w:val="20"/>
                <w:color w:val="auto"/>
              </w:rPr>
            </w:pPr>
            <w:r>
              <w:rPr>
                <w:rFonts w:ascii="Times New Roman" w:cs="Times New Roman" w:eastAsia="Times New Roman" w:hAnsi="Times New Roman"/>
                <w:sz w:val="20"/>
                <w:szCs w:val="20"/>
                <w:color w:val="auto"/>
              </w:rPr>
              <w:t>Interest Rates; Benchmark Notification</w:t>
            </w:r>
          </w:p>
        </w:tc>
        <w:tc>
          <w:tcPr>
            <w:tcW w:w="20" w:type="dxa"/>
            <w:vAlign w:val="bottom"/>
          </w:tcPr>
          <w:p>
            <w:pPr>
              <w:spacing w:after="0"/>
              <w:rPr>
                <w:sz w:val="3"/>
                <w:szCs w:val="3"/>
                <w:color w:val="auto"/>
              </w:rPr>
            </w:pPr>
          </w:p>
        </w:tc>
        <w:tc>
          <w:tcPr>
            <w:tcW w:w="22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51"/>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20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57</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140" w:type="dxa"/>
            <w:vAlign w:val="bottom"/>
          </w:tcPr>
          <w:p>
            <w:pPr>
              <w:spacing w:after="0"/>
              <w:rPr>
                <w:sz w:val="22"/>
                <w:szCs w:val="22"/>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57</w:t>
            </w:r>
          </w:p>
        </w:tc>
        <w:tc>
          <w:tcPr>
            <w:tcW w:w="20" w:type="dxa"/>
            <w:vAlign w:val="bottom"/>
            <w:vMerge w:val="restart"/>
          </w:tcPr>
          <w:p>
            <w:pPr>
              <w:spacing w:after="0"/>
              <w:rPr>
                <w:sz w:val="22"/>
                <w:szCs w:val="22"/>
                <w:color w:val="auto"/>
              </w:rPr>
            </w:pPr>
          </w:p>
        </w:tc>
        <w:tc>
          <w:tcPr>
            <w:tcW w:w="6080" w:type="dxa"/>
            <w:vAlign w:val="bottom"/>
            <w:gridSpan w:val="7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2"/>
            <w:shd w:val="clear" w:color="auto" w:fill="DDDDDD"/>
          </w:tcPr>
          <w:p>
            <w:pPr>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59</w:t>
            </w:r>
          </w:p>
        </w:tc>
        <w:tc>
          <w:tcPr>
            <w:tcW w:w="440" w:type="dxa"/>
            <w:vAlign w:val="bottom"/>
            <w:gridSpan w:val="8"/>
          </w:tcPr>
          <w:p>
            <w:pPr>
              <w:spacing w:after="0"/>
              <w:rPr>
                <w:sz w:val="17"/>
                <w:szCs w:val="17"/>
                <w:color w:val="auto"/>
              </w:rPr>
            </w:pPr>
          </w:p>
        </w:tc>
        <w:tc>
          <w:tcPr>
            <w:tcW w:w="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2"/>
                <w:szCs w:val="22"/>
                <w:color w:val="FF0000"/>
                <w:strike w:val="1"/>
                <w:w w:val="99"/>
              </w:rPr>
              <w:t>57</w:t>
            </w:r>
          </w:p>
        </w:tc>
        <w:tc>
          <w:tcPr>
            <w:tcW w:w="5220" w:type="dxa"/>
            <w:vAlign w:val="bottom"/>
            <w:gridSpan w:val="56"/>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2.01</w:t>
            </w:r>
          </w:p>
        </w:tc>
        <w:tc>
          <w:tcPr>
            <w:tcW w:w="100" w:type="dxa"/>
            <w:vAlign w:val="bottom"/>
          </w:tcPr>
          <w:p>
            <w:pPr>
              <w:spacing w:after="0"/>
              <w:rPr>
                <w:sz w:val="23"/>
                <w:szCs w:val="23"/>
                <w:color w:val="auto"/>
              </w:rPr>
            </w:pPr>
          </w:p>
        </w:tc>
        <w:tc>
          <w:tcPr>
            <w:tcW w:w="130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auto"/>
              </w:rPr>
              <w:t>Commitments</w:t>
            </w:r>
          </w:p>
        </w:tc>
        <w:tc>
          <w:tcPr>
            <w:tcW w:w="240" w:type="dxa"/>
            <w:vAlign w:val="bottom"/>
            <w:gridSpan w:val="4"/>
            <w:vMerge w:val="continue"/>
          </w:tcPr>
          <w:p>
            <w:pPr>
              <w:spacing w:after="0"/>
              <w:rPr>
                <w:sz w:val="23"/>
                <w:szCs w:val="23"/>
                <w:color w:val="auto"/>
              </w:rPr>
            </w:pPr>
          </w:p>
        </w:tc>
        <w:tc>
          <w:tcPr>
            <w:tcW w:w="5220" w:type="dxa"/>
            <w:vAlign w:val="bottom"/>
            <w:gridSpan w:val="56"/>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15"/>
            <w:vMerge w:val="continue"/>
          </w:tcPr>
          <w:p>
            <w:pPr>
              <w:spacing w:after="0"/>
              <w:rPr>
                <w:sz w:val="17"/>
                <w:szCs w:val="17"/>
                <w:color w:val="auto"/>
              </w:rPr>
            </w:pPr>
          </w:p>
        </w:tc>
        <w:tc>
          <w:tcPr>
            <w:tcW w:w="240" w:type="dxa"/>
            <w:vAlign w:val="bottom"/>
            <w:gridSpan w:val="4"/>
            <w:vMerge w:val="continue"/>
          </w:tcPr>
          <w:p>
            <w:pPr>
              <w:spacing w:after="0"/>
              <w:rPr>
                <w:sz w:val="17"/>
                <w:szCs w:val="17"/>
                <w:color w:val="auto"/>
              </w:rPr>
            </w:pPr>
          </w:p>
        </w:tc>
        <w:tc>
          <w:tcPr>
            <w:tcW w:w="5220" w:type="dxa"/>
            <w:vAlign w:val="bottom"/>
            <w:tcBorders>
              <w:left w:val="single" w:sz="8" w:color="DDDDDD"/>
            </w:tcBorders>
            <w:gridSpan w:val="56"/>
            <w:shd w:val="clear" w:color="auto" w:fill="DDDDDD"/>
          </w:tcPr>
          <w:p>
            <w:pPr>
              <w:jc w:val="right"/>
              <w:ind w:right="4912"/>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59</w:t>
            </w:r>
          </w:p>
        </w:tc>
        <w:tc>
          <w:tcPr>
            <w:tcW w:w="0" w:type="dxa"/>
            <w:vAlign w:val="bottom"/>
          </w:tcPr>
          <w:p>
            <w:pPr>
              <w:spacing w:after="0"/>
              <w:rPr>
                <w:sz w:val="1"/>
                <w:szCs w:val="1"/>
                <w:color w:val="auto"/>
              </w:rPr>
            </w:pPr>
          </w:p>
        </w:tc>
      </w:tr>
      <w:tr>
        <w:trPr>
          <w:trHeight w:val="288"/>
        </w:trPr>
        <w:tc>
          <w:tcPr>
            <w:tcW w:w="2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2.02</w:t>
            </w:r>
          </w:p>
        </w:tc>
        <w:tc>
          <w:tcPr>
            <w:tcW w:w="6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Loans</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58</w:t>
            </w:r>
          </w:p>
        </w:tc>
        <w:tc>
          <w:tcPr>
            <w:tcW w:w="620" w:type="dxa"/>
            <w:vAlign w:val="bottom"/>
            <w:gridSpan w:val="9"/>
          </w:tcPr>
          <w:p>
            <w:pPr>
              <w:jc w:val="right"/>
              <w:ind w:right="292"/>
              <w:spacing w:after="0"/>
              <w:rPr>
                <w:sz w:val="20"/>
                <w:szCs w:val="20"/>
                <w:color w:val="auto"/>
              </w:rPr>
            </w:pPr>
            <w:r>
              <w:rPr>
                <w:rFonts w:ascii="Times New Roman" w:cs="Times New Roman" w:eastAsia="Times New Roman" w:hAnsi="Times New Roman"/>
                <w:sz w:val="22"/>
                <w:szCs w:val="22"/>
                <w:color w:val="FF0000"/>
                <w:w w:val="90"/>
              </w:rPr>
              <w:t>60</w:t>
            </w:r>
          </w:p>
        </w:tc>
        <w:tc>
          <w:tcPr>
            <w:tcW w:w="240" w:type="dxa"/>
            <w:vAlign w:val="bottom"/>
            <w:tcBorders>
              <w:top w:val="single" w:sz="8" w:color="0000FF"/>
            </w:tcBorders>
            <w:gridSpan w:val="7"/>
          </w:tcPr>
          <w:p>
            <w:pPr>
              <w:spacing w:after="0"/>
              <w:rPr>
                <w:sz w:val="24"/>
                <w:szCs w:val="24"/>
                <w:color w:val="auto"/>
              </w:rPr>
            </w:pPr>
          </w:p>
        </w:tc>
        <w:tc>
          <w:tcPr>
            <w:tcW w:w="140" w:type="dxa"/>
            <w:vAlign w:val="bottom"/>
            <w:gridSpan w:val="4"/>
          </w:tcPr>
          <w:p>
            <w:pPr>
              <w:spacing w:after="0"/>
              <w:rPr>
                <w:sz w:val="24"/>
                <w:szCs w:val="24"/>
                <w:color w:val="auto"/>
              </w:rPr>
            </w:pPr>
          </w:p>
        </w:tc>
        <w:tc>
          <w:tcPr>
            <w:tcW w:w="2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22"/>
                <w:szCs w:val="22"/>
                <w:color w:val="FF0000"/>
                <w:strike w:val="1"/>
                <w:w w:val="90"/>
              </w:rPr>
              <w:t>61</w:t>
            </w:r>
          </w:p>
        </w:tc>
        <w:tc>
          <w:tcPr>
            <w:tcW w:w="24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color w:val="FF0000"/>
                <w:w w:val="90"/>
              </w:rPr>
              <w:t>63</w:t>
            </w:r>
          </w:p>
        </w:tc>
        <w:tc>
          <w:tcPr>
            <w:tcW w:w="4400" w:type="dxa"/>
            <w:vAlign w:val="bottom"/>
            <w:gridSpan w:val="3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2.03</w:t>
            </w:r>
          </w:p>
        </w:tc>
        <w:tc>
          <w:tcPr>
            <w:tcW w:w="100" w:type="dxa"/>
            <w:vAlign w:val="bottom"/>
          </w:tcPr>
          <w:p>
            <w:pPr>
              <w:spacing w:after="0"/>
              <w:rPr>
                <w:sz w:val="22"/>
                <w:szCs w:val="22"/>
                <w:color w:val="auto"/>
              </w:rPr>
            </w:pPr>
          </w:p>
        </w:tc>
        <w:tc>
          <w:tcPr>
            <w:tcW w:w="1740" w:type="dxa"/>
            <w:vAlign w:val="bottom"/>
            <w:gridSpan w:val="24"/>
          </w:tcPr>
          <w:p>
            <w:pPr>
              <w:spacing w:after="0"/>
              <w:rPr>
                <w:sz w:val="20"/>
                <w:szCs w:val="20"/>
                <w:color w:val="auto"/>
              </w:rPr>
            </w:pPr>
            <w:r>
              <w:rPr>
                <w:rFonts w:ascii="Times New Roman" w:cs="Times New Roman" w:eastAsia="Times New Roman" w:hAnsi="Times New Roman"/>
                <w:sz w:val="20"/>
                <w:szCs w:val="20"/>
                <w:color w:val="auto"/>
                <w:w w:val="99"/>
              </w:rPr>
              <w:t>Borrowing Procedure</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7"/>
            <w:vMerge w:val="continue"/>
          </w:tcPr>
          <w:p>
            <w:pPr>
              <w:spacing w:after="0"/>
              <w:rPr>
                <w:sz w:val="22"/>
                <w:szCs w:val="22"/>
                <w:color w:val="auto"/>
              </w:rPr>
            </w:pPr>
          </w:p>
        </w:tc>
        <w:tc>
          <w:tcPr>
            <w:tcW w:w="240" w:type="dxa"/>
            <w:vAlign w:val="bottom"/>
            <w:gridSpan w:val="6"/>
            <w:vMerge w:val="continue"/>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9"/>
              </w:rPr>
              <w:t>63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1980" w:type="dxa"/>
            <w:vAlign w:val="bottom"/>
            <w:vMerge w:val="restart"/>
          </w:tcPr>
          <w:p>
            <w:pPr>
              <w:ind w:left="660"/>
              <w:spacing w:after="0" w:line="217" w:lineRule="exact"/>
              <w:rPr>
                <w:sz w:val="20"/>
                <w:szCs w:val="20"/>
                <w:color w:val="auto"/>
              </w:rPr>
            </w:pPr>
            <w:r>
              <w:rPr>
                <w:rFonts w:ascii="Times New Roman" w:cs="Times New Roman" w:eastAsia="Times New Roman" w:hAnsi="Times New Roman"/>
                <w:sz w:val="20"/>
                <w:szCs w:val="20"/>
                <w:color w:val="auto"/>
              </w:rPr>
              <w:t>SECTION 2.04</w:t>
            </w:r>
          </w:p>
        </w:tc>
        <w:tc>
          <w:tcPr>
            <w:tcW w:w="100" w:type="dxa"/>
            <w:vAlign w:val="bottom"/>
          </w:tcPr>
          <w:p>
            <w:pPr>
              <w:spacing w:after="0"/>
              <w:rPr>
                <w:sz w:val="2"/>
                <w:szCs w:val="2"/>
                <w:color w:val="auto"/>
              </w:rPr>
            </w:pPr>
          </w:p>
        </w:tc>
        <w:tc>
          <w:tcPr>
            <w:tcW w:w="3280" w:type="dxa"/>
            <w:vAlign w:val="bottom"/>
            <w:gridSpan w:val="51"/>
            <w:vMerge w:val="restart"/>
          </w:tcPr>
          <w:p>
            <w:pPr>
              <w:spacing w:after="0" w:line="217" w:lineRule="exact"/>
              <w:rPr>
                <w:sz w:val="20"/>
                <w:szCs w:val="20"/>
                <w:color w:val="auto"/>
              </w:rPr>
            </w:pPr>
            <w:r>
              <w:rPr>
                <w:rFonts w:ascii="Times New Roman" w:cs="Times New Roman" w:eastAsia="Times New Roman" w:hAnsi="Times New Roman"/>
                <w:sz w:val="20"/>
                <w:szCs w:val="20"/>
                <w:color w:val="auto"/>
              </w:rPr>
              <w:t>Evidence of Debt; Repayment of Loans</w:t>
            </w:r>
          </w:p>
        </w:tc>
        <w:tc>
          <w:tcPr>
            <w:tcW w:w="40" w:type="dxa"/>
            <w:vAlign w:val="bottom"/>
            <w:gridSpan w:val="2"/>
          </w:tcPr>
          <w:p>
            <w:pPr>
              <w:spacing w:after="0"/>
              <w:rPr>
                <w:sz w:val="2"/>
                <w:szCs w:val="2"/>
                <w:color w:val="auto"/>
              </w:rPr>
            </w:pPr>
          </w:p>
        </w:tc>
        <w:tc>
          <w:tcPr>
            <w:tcW w:w="240" w:type="dxa"/>
            <w:vAlign w:val="bottom"/>
            <w:gridSpan w:val="5"/>
            <w:vMerge w:val="continue"/>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51"/>
            <w:vMerge w:val="continue"/>
          </w:tcPr>
          <w:p>
            <w:pPr>
              <w:spacing w:after="0"/>
              <w:rPr>
                <w:sz w:val="17"/>
                <w:szCs w:val="17"/>
                <w:color w:val="auto"/>
              </w:rPr>
            </w:pPr>
          </w:p>
        </w:tc>
        <w:tc>
          <w:tcPr>
            <w:tcW w:w="40" w:type="dxa"/>
            <w:vAlign w:val="bottom"/>
            <w:gridSpan w:val="2"/>
          </w:tcPr>
          <w:p>
            <w:pPr>
              <w:spacing w:after="0"/>
              <w:rPr>
                <w:sz w:val="17"/>
                <w:szCs w:val="17"/>
                <w:color w:val="auto"/>
              </w:rPr>
            </w:pPr>
          </w:p>
        </w:tc>
        <w:tc>
          <w:tcPr>
            <w:tcW w:w="240" w:type="dxa"/>
            <w:vAlign w:val="bottom"/>
            <w:gridSpan w:val="5"/>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2.05</w:t>
            </w:r>
          </w:p>
        </w:tc>
        <w:tc>
          <w:tcPr>
            <w:tcW w:w="100" w:type="dxa"/>
            <w:vAlign w:val="bottom"/>
          </w:tcPr>
          <w:p>
            <w:pPr>
              <w:spacing w:after="0"/>
              <w:rPr>
                <w:sz w:val="3"/>
                <w:szCs w:val="3"/>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Fees</w:t>
            </w:r>
          </w:p>
        </w:tc>
        <w:tc>
          <w:tcPr>
            <w:tcW w:w="220" w:type="dxa"/>
            <w:vAlign w:val="bottom"/>
            <w:gridSpan w:val="3"/>
            <w:vMerge w:val="restart"/>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64</w:t>
            </w:r>
          </w:p>
        </w:tc>
        <w:tc>
          <w:tcPr>
            <w:tcW w:w="200" w:type="dxa"/>
            <w:vAlign w:val="bottom"/>
            <w:gridSpan w:val="4"/>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5480" w:type="dxa"/>
            <w:vAlign w:val="bottom"/>
            <w:gridSpan w:val="61"/>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200" w:type="dxa"/>
            <w:vAlign w:val="bottom"/>
            <w:tcBorders>
              <w:bottom w:val="single" w:sz="8" w:color="0000FF"/>
            </w:tcBorders>
            <w:gridSpan w:val="4"/>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67</w:t>
            </w:r>
          </w:p>
        </w:tc>
        <w:tc>
          <w:tcPr>
            <w:tcW w:w="20" w:type="dxa"/>
            <w:vAlign w:val="bottom"/>
            <w:tcBorders>
              <w:bottom w:val="single" w:sz="8" w:color="0000FF"/>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gridSpan w:val="5"/>
          </w:tcPr>
          <w:p>
            <w:pPr>
              <w:spacing w:after="0"/>
              <w:rPr>
                <w:sz w:val="16"/>
                <w:szCs w:val="16"/>
                <w:color w:val="auto"/>
              </w:rPr>
            </w:pPr>
          </w:p>
        </w:tc>
        <w:tc>
          <w:tcPr>
            <w:tcW w:w="24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9"/>
              </w:rPr>
              <w:t>66</w:t>
            </w:r>
          </w:p>
        </w:tc>
        <w:tc>
          <w:tcPr>
            <w:tcW w:w="4980" w:type="dxa"/>
            <w:vAlign w:val="bottom"/>
            <w:gridSpan w:val="4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gridSpan w:val="21"/>
          </w:tcPr>
          <w:p>
            <w:pPr>
              <w:spacing w:after="0" w:line="20" w:lineRule="exact"/>
              <w:rPr>
                <w:sz w:val="1"/>
                <w:szCs w:val="1"/>
                <w:color w:val="auto"/>
              </w:rPr>
            </w:pPr>
          </w:p>
        </w:tc>
        <w:tc>
          <w:tcPr>
            <w:tcW w:w="240" w:type="dxa"/>
            <w:vAlign w:val="bottom"/>
            <w:gridSpan w:val="7"/>
            <w:vMerge w:val="continue"/>
          </w:tcPr>
          <w:p>
            <w:pPr>
              <w:spacing w:after="0" w:line="20" w:lineRule="exact"/>
              <w:rPr>
                <w:sz w:val="1"/>
                <w:szCs w:val="1"/>
                <w:color w:val="auto"/>
              </w:rPr>
            </w:pPr>
          </w:p>
        </w:tc>
        <w:tc>
          <w:tcPr>
            <w:tcW w:w="4980" w:type="dxa"/>
            <w:vAlign w:val="bottom"/>
            <w:gridSpan w:val="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2.06</w:t>
            </w:r>
          </w:p>
        </w:tc>
        <w:tc>
          <w:tcPr>
            <w:tcW w:w="100" w:type="dxa"/>
            <w:vAlign w:val="bottom"/>
          </w:tcPr>
          <w:p>
            <w:pPr>
              <w:spacing w:after="0"/>
              <w:rPr>
                <w:sz w:val="3"/>
                <w:szCs w:val="3"/>
                <w:color w:val="auto"/>
              </w:rPr>
            </w:pPr>
          </w:p>
        </w:tc>
        <w:tc>
          <w:tcPr>
            <w:tcW w:w="1540" w:type="dxa"/>
            <w:vAlign w:val="bottom"/>
            <w:gridSpan w:val="19"/>
            <w:vMerge w:val="restart"/>
          </w:tcPr>
          <w:p>
            <w:pPr>
              <w:spacing w:after="0"/>
              <w:rPr>
                <w:sz w:val="20"/>
                <w:szCs w:val="20"/>
                <w:color w:val="auto"/>
              </w:rPr>
            </w:pPr>
            <w:r>
              <w:rPr>
                <w:rFonts w:ascii="Times New Roman" w:cs="Times New Roman" w:eastAsia="Times New Roman" w:hAnsi="Times New Roman"/>
                <w:sz w:val="20"/>
                <w:szCs w:val="20"/>
                <w:color w:val="auto"/>
              </w:rPr>
              <w:t>Interest on Loans</w:t>
            </w:r>
          </w:p>
        </w:tc>
        <w:tc>
          <w:tcPr>
            <w:tcW w:w="240" w:type="dxa"/>
            <w:vAlign w:val="bottom"/>
            <w:gridSpan w:val="7"/>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19"/>
            <w:vMerge w:val="continue"/>
          </w:tcPr>
          <w:p>
            <w:pPr>
              <w:spacing w:after="0"/>
              <w:rPr>
                <w:sz w:val="17"/>
                <w:szCs w:val="17"/>
                <w:color w:val="auto"/>
              </w:rPr>
            </w:pPr>
          </w:p>
        </w:tc>
        <w:tc>
          <w:tcPr>
            <w:tcW w:w="240" w:type="dxa"/>
            <w:vAlign w:val="bottom"/>
            <w:gridSpan w:val="7"/>
            <w:vMerge w:val="continue"/>
          </w:tcPr>
          <w:p>
            <w:pPr>
              <w:spacing w:after="0"/>
              <w:rPr>
                <w:sz w:val="17"/>
                <w:szCs w:val="17"/>
                <w:color w:val="auto"/>
              </w:rPr>
            </w:pPr>
          </w:p>
        </w:tc>
        <w:tc>
          <w:tcPr>
            <w:tcW w:w="220" w:type="dxa"/>
            <w:vAlign w:val="bottom"/>
            <w:tcBorders>
              <w:left w:val="single" w:sz="8" w:color="DDDDDD"/>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9"/>
              </w:rPr>
              <w:t>69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2.07</w:t>
            </w:r>
          </w:p>
        </w:tc>
        <w:tc>
          <w:tcPr>
            <w:tcW w:w="100" w:type="dxa"/>
            <w:vAlign w:val="bottom"/>
          </w:tcPr>
          <w:p>
            <w:pPr>
              <w:spacing w:after="0"/>
              <w:rPr>
                <w:sz w:val="24"/>
                <w:szCs w:val="24"/>
                <w:color w:val="auto"/>
              </w:rPr>
            </w:pPr>
          </w:p>
        </w:tc>
        <w:tc>
          <w:tcPr>
            <w:tcW w:w="1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Default Interest</w:t>
            </w:r>
          </w:p>
        </w:tc>
        <w:tc>
          <w:tcPr>
            <w:tcW w:w="14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68</w:t>
            </w:r>
          </w:p>
        </w:tc>
        <w:tc>
          <w:tcPr>
            <w:tcW w:w="240" w:type="dxa"/>
            <w:vAlign w:val="bottom"/>
            <w:gridSpan w:val="8"/>
          </w:tcPr>
          <w:p>
            <w:pPr>
              <w:spacing w:after="0"/>
              <w:rPr>
                <w:sz w:val="20"/>
                <w:szCs w:val="20"/>
                <w:color w:val="auto"/>
              </w:rPr>
            </w:pPr>
            <w:r>
              <w:rPr>
                <w:rFonts w:ascii="Times New Roman" w:cs="Times New Roman" w:eastAsia="Times New Roman" w:hAnsi="Times New Roman"/>
                <w:sz w:val="22"/>
                <w:szCs w:val="22"/>
                <w:color w:val="FF0000"/>
                <w:w w:val="99"/>
              </w:rPr>
              <w:t>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FF0000"/>
                <w:strike w:val="1"/>
                <w:w w:val="70"/>
              </w:rPr>
              <w:t>68</w:t>
            </w:r>
          </w:p>
        </w:tc>
        <w:tc>
          <w:tcPr>
            <w:tcW w:w="4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2"/>
                <w:szCs w:val="22"/>
                <w:color w:val="FF0000"/>
              </w:rPr>
              <w:t>71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2.08</w:t>
            </w:r>
          </w:p>
        </w:tc>
        <w:tc>
          <w:tcPr>
            <w:tcW w:w="2220" w:type="dxa"/>
            <w:vAlign w:val="bottom"/>
            <w:gridSpan w:val="37"/>
          </w:tcPr>
          <w:p>
            <w:pPr>
              <w:ind w:left="100"/>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gridSpan w:val="4"/>
            <w:vMerge w:val="continue"/>
          </w:tcPr>
          <w:p>
            <w:pPr>
              <w:spacing w:after="0"/>
              <w:rPr>
                <w:sz w:val="22"/>
                <w:szCs w:val="22"/>
                <w:color w:val="auto"/>
              </w:rPr>
            </w:pPr>
          </w:p>
        </w:tc>
        <w:tc>
          <w:tcPr>
            <w:tcW w:w="40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FF0000"/>
                <w:strike w:val="1"/>
                <w:w w:val="90"/>
              </w:rPr>
              <w:t>69</w:t>
            </w: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FF0000"/>
              </w:rPr>
              <w:t>73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2.09</w:t>
            </w:r>
          </w:p>
        </w:tc>
        <w:tc>
          <w:tcPr>
            <w:tcW w:w="3820" w:type="dxa"/>
            <w:vAlign w:val="bottom"/>
            <w:gridSpan w:val="65"/>
          </w:tcPr>
          <w:p>
            <w:pPr>
              <w:ind w:left="100"/>
              <w:spacing w:after="0"/>
              <w:rPr>
                <w:sz w:val="20"/>
                <w:szCs w:val="20"/>
                <w:color w:val="auto"/>
              </w:rPr>
            </w:pPr>
            <w:r>
              <w:rPr>
                <w:rFonts w:ascii="Times New Roman" w:cs="Times New Roman" w:eastAsia="Times New Roman" w:hAnsi="Times New Roman"/>
                <w:sz w:val="20"/>
                <w:szCs w:val="20"/>
                <w:color w:val="auto"/>
              </w:rPr>
              <w:t>Termination and Reduction of Commitments</w:t>
            </w:r>
          </w:p>
        </w:tc>
        <w:tc>
          <w:tcPr>
            <w:tcW w:w="20" w:type="dxa"/>
            <w:vAlign w:val="bottom"/>
          </w:tcPr>
          <w:p>
            <w:pPr>
              <w:spacing w:after="0"/>
              <w:rPr>
                <w:sz w:val="21"/>
                <w:szCs w:val="21"/>
                <w:color w:val="auto"/>
              </w:rPr>
            </w:pPr>
          </w:p>
        </w:tc>
        <w:tc>
          <w:tcPr>
            <w:tcW w:w="220" w:type="dxa"/>
            <w:vAlign w:val="bottom"/>
            <w:gridSpan w:val="5"/>
            <w:vMerge w:val="continue"/>
          </w:tcPr>
          <w:p>
            <w:pPr>
              <w:spacing w:after="0"/>
              <w:rPr>
                <w:sz w:val="21"/>
                <w:szCs w:val="21"/>
                <w:color w:val="auto"/>
              </w:rPr>
            </w:pPr>
          </w:p>
        </w:tc>
        <w:tc>
          <w:tcPr>
            <w:tcW w:w="238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2.10</w:t>
            </w:r>
          </w:p>
        </w:tc>
        <w:tc>
          <w:tcPr>
            <w:tcW w:w="100" w:type="dxa"/>
            <w:vAlign w:val="bottom"/>
          </w:tcPr>
          <w:p>
            <w:pPr>
              <w:spacing w:after="0"/>
              <w:rPr>
                <w:sz w:val="3"/>
                <w:szCs w:val="3"/>
                <w:color w:val="auto"/>
              </w:rPr>
            </w:pPr>
          </w:p>
        </w:tc>
        <w:tc>
          <w:tcPr>
            <w:tcW w:w="3720" w:type="dxa"/>
            <w:vAlign w:val="bottom"/>
            <w:gridSpan w:val="64"/>
            <w:vMerge w:val="restart"/>
          </w:tcPr>
          <w:p>
            <w:pPr>
              <w:spacing w:after="0"/>
              <w:rPr>
                <w:sz w:val="20"/>
                <w:szCs w:val="20"/>
                <w:color w:val="auto"/>
              </w:rPr>
            </w:pPr>
            <w:r>
              <w:rPr>
                <w:rFonts w:ascii="Times New Roman" w:cs="Times New Roman" w:eastAsia="Times New Roman" w:hAnsi="Times New Roman"/>
                <w:sz w:val="20"/>
                <w:szCs w:val="20"/>
                <w:color w:val="auto"/>
              </w:rPr>
              <w:t>Conversion and Continuation of Borrowings</w:t>
            </w:r>
          </w:p>
        </w:tc>
        <w:tc>
          <w:tcPr>
            <w:tcW w:w="20" w:type="dxa"/>
            <w:vAlign w:val="bottom"/>
          </w:tcPr>
          <w:p>
            <w:pPr>
              <w:spacing w:after="0"/>
              <w:rPr>
                <w:sz w:val="3"/>
                <w:szCs w:val="3"/>
                <w:color w:val="auto"/>
              </w:rPr>
            </w:pPr>
          </w:p>
        </w:tc>
        <w:tc>
          <w:tcPr>
            <w:tcW w:w="200" w:type="dxa"/>
            <w:vAlign w:val="bottom"/>
            <w:gridSpan w:val="4"/>
            <w:vMerge w:val="restart"/>
          </w:tcPr>
          <w:p>
            <w:pPr>
              <w:spacing w:after="0" w:line="230" w:lineRule="exact"/>
              <w:rPr>
                <w:sz w:val="20"/>
                <w:szCs w:val="20"/>
                <w:color w:val="auto"/>
              </w:rPr>
            </w:pPr>
            <w:r>
              <w:rPr>
                <w:rFonts w:ascii="Times New Roman" w:cs="Times New Roman" w:eastAsia="Times New Roman" w:hAnsi="Times New Roman"/>
                <w:sz w:val="22"/>
                <w:szCs w:val="22"/>
                <w:color w:val="FF0000"/>
                <w:strike w:val="1"/>
                <w:w w:val="81"/>
              </w:rPr>
              <w:t>70</w:t>
            </w:r>
          </w:p>
        </w:tc>
        <w:tc>
          <w:tcPr>
            <w:tcW w:w="2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64"/>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4"/>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0" w:type="dxa"/>
            <w:vAlign w:val="bottom"/>
            <w:gridSpan w:val="2"/>
            <w:shd w:val="clear" w:color="auto" w:fill="DDDDDD"/>
          </w:tcPr>
          <w:p>
            <w:pPr>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74</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2.11</w:t>
            </w:r>
          </w:p>
        </w:tc>
        <w:tc>
          <w:tcPr>
            <w:tcW w:w="1840" w:type="dxa"/>
            <w:vAlign w:val="bottom"/>
            <w:gridSpan w:val="25"/>
            <w:vMerge w:val="restart"/>
          </w:tcPr>
          <w:p>
            <w:pPr>
              <w:ind w:left="100"/>
              <w:spacing w:after="0"/>
              <w:rPr>
                <w:sz w:val="20"/>
                <w:szCs w:val="20"/>
                <w:color w:val="auto"/>
              </w:rPr>
            </w:pPr>
            <w:r>
              <w:rPr>
                <w:rFonts w:ascii="Times New Roman" w:cs="Times New Roman" w:eastAsia="Times New Roman" w:hAnsi="Times New Roman"/>
                <w:sz w:val="20"/>
                <w:szCs w:val="20"/>
                <w:color w:val="auto"/>
              </w:rPr>
              <w:t>Optional Prepayment</w:t>
            </w:r>
          </w:p>
        </w:tc>
        <w:tc>
          <w:tcPr>
            <w:tcW w:w="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6"/>
            <w:vMerge w:val="restart"/>
          </w:tcPr>
          <w:p>
            <w:pPr>
              <w:jc w:val="center"/>
              <w:spacing w:after="0" w:line="230" w:lineRule="exact"/>
              <w:rPr>
                <w:sz w:val="20"/>
                <w:szCs w:val="20"/>
                <w:color w:val="auto"/>
              </w:rPr>
            </w:pPr>
            <w:r>
              <w:rPr>
                <w:rFonts w:ascii="Times New Roman" w:cs="Times New Roman" w:eastAsia="Times New Roman" w:hAnsi="Times New Roman"/>
                <w:sz w:val="22"/>
                <w:szCs w:val="22"/>
                <w:color w:val="FF0000"/>
                <w:strike w:val="1"/>
                <w:w w:val="90"/>
              </w:rPr>
              <w:t>72</w:t>
            </w:r>
          </w:p>
        </w:tc>
        <w:tc>
          <w:tcPr>
            <w:tcW w:w="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840" w:type="dxa"/>
            <w:vAlign w:val="bottom"/>
            <w:gridSpan w:val="25"/>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5"/>
            <w:shd w:val="clear" w:color="auto" w:fill="DDDDDD"/>
          </w:tcPr>
          <w:p>
            <w:pPr>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76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2.12</w:t>
            </w:r>
          </w:p>
        </w:tc>
        <w:tc>
          <w:tcPr>
            <w:tcW w:w="100" w:type="dxa"/>
            <w:vAlign w:val="bottom"/>
          </w:tcPr>
          <w:p>
            <w:pPr>
              <w:spacing w:after="0"/>
              <w:rPr>
                <w:sz w:val="4"/>
                <w:szCs w:val="4"/>
                <w:color w:val="auto"/>
              </w:rPr>
            </w:pPr>
          </w:p>
        </w:tc>
        <w:tc>
          <w:tcPr>
            <w:tcW w:w="2120" w:type="dxa"/>
            <w:vAlign w:val="bottom"/>
            <w:gridSpan w:val="36"/>
            <w:vMerge w:val="restart"/>
          </w:tcPr>
          <w:p>
            <w:pPr>
              <w:spacing w:after="0"/>
              <w:rPr>
                <w:sz w:val="20"/>
                <w:szCs w:val="20"/>
                <w:color w:val="auto"/>
              </w:rPr>
            </w:pPr>
            <w:r>
              <w:rPr>
                <w:rFonts w:ascii="Times New Roman" w:cs="Times New Roman" w:eastAsia="Times New Roman" w:hAnsi="Times New Roman"/>
                <w:sz w:val="20"/>
                <w:szCs w:val="20"/>
                <w:color w:val="auto"/>
              </w:rPr>
              <w:t>Mandatory Prepayments</w:t>
            </w:r>
          </w:p>
        </w:tc>
        <w:tc>
          <w:tcPr>
            <w:tcW w:w="240" w:type="dxa"/>
            <w:vAlign w:val="bottom"/>
            <w:gridSpan w:val="6"/>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FF0000"/>
                <w:strike w:val="1"/>
                <w:w w:val="81"/>
              </w:rPr>
              <w:t>73</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6"/>
            <w:vMerge w:val="continue"/>
          </w:tcPr>
          <w:p>
            <w:pPr>
              <w:spacing w:after="0"/>
              <w:rPr>
                <w:sz w:val="16"/>
                <w:szCs w:val="16"/>
                <w:color w:val="auto"/>
              </w:rPr>
            </w:pPr>
          </w:p>
        </w:tc>
        <w:tc>
          <w:tcPr>
            <w:tcW w:w="240" w:type="dxa"/>
            <w:vAlign w:val="bottom"/>
            <w:gridSpan w:val="6"/>
            <w:vMerge w:val="continue"/>
          </w:tcPr>
          <w:p>
            <w:pPr>
              <w:spacing w:after="0"/>
              <w:rPr>
                <w:sz w:val="16"/>
                <w:szCs w:val="16"/>
                <w:color w:val="auto"/>
              </w:rPr>
            </w:pPr>
          </w:p>
        </w:tc>
        <w:tc>
          <w:tcPr>
            <w:tcW w:w="160" w:type="dxa"/>
            <w:vAlign w:val="bottom"/>
            <w:tcBorders>
              <w:left w:val="single" w:sz="8" w:color="DDDDDD"/>
              <w:bottom w:val="single" w:sz="8" w:color="0000FF"/>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77</w:t>
            </w:r>
          </w:p>
        </w:tc>
        <w:tc>
          <w:tcPr>
            <w:tcW w:w="60" w:type="dxa"/>
            <w:vAlign w:val="bottom"/>
            <w:tcBorders>
              <w:left w:val="single" w:sz="8" w:color="DDDDDD"/>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FF0000"/>
                <w:strike w:val="1"/>
                <w:w w:val="81"/>
              </w:rPr>
              <w:t>75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gridSpan w:val="44"/>
          </w:tcPr>
          <w:p>
            <w:pPr>
              <w:spacing w:after="0" w:line="20" w:lineRule="exact"/>
              <w:rPr>
                <w:sz w:val="1"/>
                <w:szCs w:val="1"/>
                <w:color w:val="auto"/>
              </w:rPr>
            </w:pPr>
          </w:p>
        </w:tc>
        <w:tc>
          <w:tcPr>
            <w:tcW w:w="160" w:type="dxa"/>
            <w:vAlign w:val="bottom"/>
            <w:tcBorders>
              <w:left w:val="single" w:sz="8" w:color="DDDDDD"/>
            </w:tcBorders>
            <w:shd w:val="clear" w:color="auto" w:fill="DDDDDD"/>
          </w:tcPr>
          <w:p>
            <w:pPr>
              <w:spacing w:after="0" w:line="20" w:lineRule="exact"/>
              <w:rPr>
                <w:sz w:val="1"/>
                <w:szCs w:val="1"/>
                <w:color w:val="auto"/>
              </w:rPr>
            </w:pPr>
          </w:p>
        </w:tc>
        <w:tc>
          <w:tcPr>
            <w:tcW w:w="760" w:type="dxa"/>
            <w:vAlign w:val="bottom"/>
            <w:tcBorders>
              <w:left w:val="single" w:sz="8" w:color="DDDDDD"/>
            </w:tcBorders>
            <w:gridSpan w:val="8"/>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2.13</w:t>
            </w:r>
          </w:p>
        </w:tc>
        <w:tc>
          <w:tcPr>
            <w:tcW w:w="100" w:type="dxa"/>
            <w:vAlign w:val="bottom"/>
          </w:tcPr>
          <w:p>
            <w:pPr>
              <w:spacing w:after="0"/>
              <w:rPr>
                <w:sz w:val="2"/>
                <w:szCs w:val="2"/>
                <w:color w:val="auto"/>
              </w:rPr>
            </w:pPr>
          </w:p>
        </w:tc>
        <w:tc>
          <w:tcPr>
            <w:tcW w:w="3280" w:type="dxa"/>
            <w:vAlign w:val="bottom"/>
            <w:gridSpan w:val="51"/>
            <w:vMerge w:val="restart"/>
          </w:tcPr>
          <w:p>
            <w:pPr>
              <w:spacing w:after="0" w:line="216" w:lineRule="exact"/>
              <w:rPr>
                <w:sz w:val="20"/>
                <w:szCs w:val="20"/>
                <w:color w:val="auto"/>
              </w:rPr>
            </w:pPr>
            <w:r>
              <w:rPr>
                <w:rFonts w:ascii="Times New Roman" w:cs="Times New Roman" w:eastAsia="Times New Roman" w:hAnsi="Times New Roman"/>
                <w:sz w:val="20"/>
                <w:szCs w:val="20"/>
                <w:color w:val="auto"/>
              </w:rPr>
              <w:t>Increased Costs; Capital Requirements</w:t>
            </w:r>
          </w:p>
        </w:tc>
        <w:tc>
          <w:tcPr>
            <w:tcW w:w="20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51"/>
            <w:vMerge w:val="continue"/>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220" w:type="dxa"/>
            <w:vAlign w:val="bottom"/>
            <w:tcBorders>
              <w:right w:val="single" w:sz="8" w:color="DDDDDD"/>
            </w:tcBorders>
            <w:gridSpan w:val="8"/>
            <w:shd w:val="clear" w:color="auto" w:fill="DDDDDD"/>
          </w:tcPr>
          <w:p>
            <w:pPr>
              <w:jc w:val="right"/>
              <w:ind w:right="20"/>
              <w:spacing w:after="0" w:line="189" w:lineRule="exact"/>
              <w:rPr>
                <w:sz w:val="20"/>
                <w:szCs w:val="20"/>
                <w:color w:val="auto"/>
              </w:rPr>
            </w:pPr>
            <w:r>
              <w:rPr>
                <w:rFonts w:ascii="Times New Roman" w:cs="Times New Roman" w:eastAsia="Times New Roman" w:hAnsi="Times New Roman"/>
                <w:sz w:val="20"/>
                <w:szCs w:val="20"/>
                <w:color w:val="0000FF"/>
                <w:highlight w:val="lightGray"/>
                <w:w w:val="89"/>
              </w:rPr>
              <w:t>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2.14</w:t>
            </w:r>
          </w:p>
        </w:tc>
        <w:tc>
          <w:tcPr>
            <w:tcW w:w="100" w:type="dxa"/>
            <w:vAlign w:val="bottom"/>
          </w:tcPr>
          <w:p>
            <w:pPr>
              <w:spacing w:after="0"/>
              <w:rPr>
                <w:sz w:val="23"/>
                <w:szCs w:val="23"/>
                <w:color w:val="auto"/>
              </w:rPr>
            </w:pPr>
          </w:p>
        </w:tc>
        <w:tc>
          <w:tcPr>
            <w:tcW w:w="1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w w:val="97"/>
              </w:rPr>
              <w:t>Change in Legality</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gridSpan w:val="2"/>
          </w:tcPr>
          <w:p>
            <w:pPr>
              <w:spacing w:after="0"/>
              <w:rPr>
                <w:sz w:val="23"/>
                <w:szCs w:val="23"/>
                <w:color w:val="auto"/>
              </w:rPr>
            </w:pPr>
          </w:p>
        </w:tc>
        <w:tc>
          <w:tcPr>
            <w:tcW w:w="220" w:type="dxa"/>
            <w:vAlign w:val="bottom"/>
            <w:gridSpan w:val="7"/>
          </w:tcPr>
          <w:p>
            <w:pPr>
              <w:spacing w:after="0"/>
              <w:rPr>
                <w:sz w:val="20"/>
                <w:szCs w:val="20"/>
                <w:color w:val="auto"/>
              </w:rPr>
            </w:pPr>
            <w:r>
              <w:rPr>
                <w:rFonts w:ascii="Times New Roman" w:cs="Times New Roman" w:eastAsia="Times New Roman" w:hAnsi="Times New Roman"/>
                <w:sz w:val="22"/>
                <w:szCs w:val="22"/>
                <w:color w:val="FF0000"/>
                <w:strike w:val="1"/>
                <w:w w:val="90"/>
              </w:rPr>
              <w:t>76</w:t>
            </w:r>
          </w:p>
        </w:tc>
        <w:tc>
          <w:tcPr>
            <w:tcW w:w="220" w:type="dxa"/>
            <w:vAlign w:val="bottom"/>
            <w:gridSpan w:val="7"/>
          </w:tcPr>
          <w:p>
            <w:pPr>
              <w:jc w:val="center"/>
              <w:spacing w:after="0"/>
              <w:rPr>
                <w:sz w:val="20"/>
                <w:szCs w:val="20"/>
                <w:color w:val="auto"/>
              </w:rPr>
            </w:pPr>
            <w:r>
              <w:rPr>
                <w:rFonts w:ascii="Times New Roman" w:cs="Times New Roman" w:eastAsia="Times New Roman" w:hAnsi="Times New Roman"/>
                <w:sz w:val="22"/>
                <w:szCs w:val="22"/>
                <w:color w:val="FF0000"/>
                <w:w w:val="99"/>
              </w:rPr>
              <w:t>80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Borders>
              <w:top w:val="single" w:sz="8" w:color="DDDDDD"/>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2.15</w:t>
            </w:r>
          </w:p>
        </w:tc>
        <w:tc>
          <w:tcPr>
            <w:tcW w:w="100" w:type="dxa"/>
            <w:vAlign w:val="bottom"/>
          </w:tcPr>
          <w:p>
            <w:pPr>
              <w:spacing w:after="0"/>
              <w:rPr>
                <w:sz w:val="23"/>
                <w:szCs w:val="23"/>
                <w:color w:val="auto"/>
              </w:rPr>
            </w:pPr>
          </w:p>
        </w:tc>
        <w:tc>
          <w:tcPr>
            <w:tcW w:w="1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Breakage Costs</w:t>
            </w:r>
          </w:p>
        </w:tc>
        <w:tc>
          <w:tcPr>
            <w:tcW w:w="140" w:type="dxa"/>
            <w:vAlign w:val="bottom"/>
          </w:tcPr>
          <w:p>
            <w:pPr>
              <w:spacing w:after="0"/>
              <w:rPr>
                <w:sz w:val="23"/>
                <w:szCs w:val="23"/>
                <w:color w:val="auto"/>
              </w:rPr>
            </w:pPr>
          </w:p>
        </w:tc>
        <w:tc>
          <w:tcPr>
            <w:tcW w:w="2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77</w:t>
            </w:r>
          </w:p>
        </w:tc>
        <w:tc>
          <w:tcPr>
            <w:tcW w:w="240" w:type="dxa"/>
            <w:vAlign w:val="bottom"/>
            <w:gridSpan w:val="8"/>
          </w:tcPr>
          <w:p>
            <w:pPr>
              <w:spacing w:after="0"/>
              <w:rPr>
                <w:sz w:val="20"/>
                <w:szCs w:val="20"/>
                <w:color w:val="auto"/>
              </w:rPr>
            </w:pPr>
            <w:r>
              <w:rPr>
                <w:rFonts w:ascii="Times New Roman" w:cs="Times New Roman" w:eastAsia="Times New Roman" w:hAnsi="Times New Roman"/>
                <w:sz w:val="22"/>
                <w:szCs w:val="22"/>
                <w:color w:val="FF0000"/>
                <w:w w:val="99"/>
              </w:rPr>
              <w:t>81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2.16</w:t>
            </w:r>
          </w:p>
        </w:tc>
        <w:tc>
          <w:tcPr>
            <w:tcW w:w="100" w:type="dxa"/>
            <w:vAlign w:val="bottom"/>
          </w:tcPr>
          <w:p>
            <w:pPr>
              <w:spacing w:after="0"/>
              <w:rPr>
                <w:sz w:val="3"/>
                <w:szCs w:val="3"/>
                <w:color w:val="auto"/>
              </w:rPr>
            </w:pPr>
          </w:p>
        </w:tc>
        <w:tc>
          <w:tcPr>
            <w:tcW w:w="1540" w:type="dxa"/>
            <w:vAlign w:val="bottom"/>
            <w:gridSpan w:val="19"/>
            <w:vMerge w:val="restart"/>
          </w:tcPr>
          <w:p>
            <w:pPr>
              <w:spacing w:after="0"/>
              <w:rPr>
                <w:sz w:val="20"/>
                <w:szCs w:val="20"/>
                <w:color w:val="auto"/>
              </w:rPr>
            </w:pPr>
            <w:r>
              <w:rPr>
                <w:rFonts w:ascii="Times New Roman" w:cs="Times New Roman" w:eastAsia="Times New Roman" w:hAnsi="Times New Roman"/>
                <w:sz w:val="20"/>
                <w:szCs w:val="20"/>
                <w:color w:val="auto"/>
                <w:w w:val="95"/>
              </w:rPr>
              <w:t>Pro Rata Treatment</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6"/>
            <w:vMerge w:val="restart"/>
          </w:tcPr>
          <w:p>
            <w:pPr>
              <w:spacing w:after="0" w:line="230" w:lineRule="exact"/>
              <w:rPr>
                <w:sz w:val="20"/>
                <w:szCs w:val="20"/>
                <w:color w:val="auto"/>
              </w:rPr>
            </w:pPr>
            <w:r>
              <w:rPr>
                <w:rFonts w:ascii="Times New Roman" w:cs="Times New Roman" w:eastAsia="Times New Roman" w:hAnsi="Times New Roman"/>
                <w:sz w:val="22"/>
                <w:szCs w:val="22"/>
                <w:color w:val="FF0000"/>
                <w:strike w:val="1"/>
                <w:w w:val="81"/>
              </w:rPr>
              <w:t>77</w:t>
            </w:r>
          </w:p>
        </w:tc>
        <w:tc>
          <w:tcPr>
            <w:tcW w:w="20" w:type="dxa"/>
            <w:vAlign w:val="bottom"/>
            <w:vMerge w:val="restart"/>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gridSpan w:val="3"/>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19"/>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82</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2.17</w:t>
            </w:r>
          </w:p>
        </w:tc>
        <w:tc>
          <w:tcPr>
            <w:tcW w:w="100" w:type="dxa"/>
            <w:vAlign w:val="bottom"/>
          </w:tcPr>
          <w:p>
            <w:pPr>
              <w:spacing w:after="0"/>
              <w:rPr>
                <w:sz w:val="3"/>
                <w:szCs w:val="3"/>
                <w:color w:val="auto"/>
              </w:rPr>
            </w:pPr>
          </w:p>
        </w:tc>
        <w:tc>
          <w:tcPr>
            <w:tcW w:w="1540" w:type="dxa"/>
            <w:vAlign w:val="bottom"/>
            <w:gridSpan w:val="19"/>
            <w:vMerge w:val="restart"/>
          </w:tcPr>
          <w:p>
            <w:pPr>
              <w:spacing w:after="0"/>
              <w:rPr>
                <w:sz w:val="20"/>
                <w:szCs w:val="20"/>
                <w:color w:val="auto"/>
              </w:rPr>
            </w:pPr>
            <w:r>
              <w:rPr>
                <w:rFonts w:ascii="Times New Roman" w:cs="Times New Roman" w:eastAsia="Times New Roman" w:hAnsi="Times New Roman"/>
                <w:sz w:val="20"/>
                <w:szCs w:val="20"/>
                <w:color w:val="auto"/>
              </w:rPr>
              <w:t>Sharing of Setoffs</w:t>
            </w:r>
          </w:p>
        </w:tc>
        <w:tc>
          <w:tcPr>
            <w:tcW w:w="100" w:type="dxa"/>
            <w:vAlign w:val="bottom"/>
          </w:tcPr>
          <w:p>
            <w:pPr>
              <w:spacing w:after="0"/>
              <w:rPr>
                <w:sz w:val="3"/>
                <w:szCs w:val="3"/>
                <w:color w:val="auto"/>
              </w:rPr>
            </w:pPr>
          </w:p>
        </w:tc>
        <w:tc>
          <w:tcPr>
            <w:tcW w:w="220" w:type="dxa"/>
            <w:vAlign w:val="bottom"/>
            <w:gridSpan w:val="7"/>
            <w:vMerge w:val="restart"/>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77</w:t>
            </w: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10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19"/>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82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2.18</w:t>
            </w:r>
          </w:p>
        </w:tc>
        <w:tc>
          <w:tcPr>
            <w:tcW w:w="9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Payments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81"/>
              </w:rPr>
              <w:t>81</w:t>
            </w:r>
          </w:p>
        </w:tc>
        <w:tc>
          <w:tcPr>
            <w:tcW w:w="5580" w:type="dxa"/>
            <w:vAlign w:val="bottom"/>
            <w:gridSpan w:val="62"/>
          </w:tcPr>
          <w:p>
            <w:pPr>
              <w:jc w:val="right"/>
              <w:ind w:right="5252"/>
              <w:spacing w:after="0"/>
              <w:rPr>
                <w:sz w:val="20"/>
                <w:szCs w:val="20"/>
                <w:color w:val="auto"/>
              </w:rPr>
            </w:pPr>
            <w:r>
              <w:rPr>
                <w:rFonts w:ascii="Times New Roman" w:cs="Times New Roman" w:eastAsia="Times New Roman" w:hAnsi="Times New Roman"/>
                <w:sz w:val="22"/>
                <w:szCs w:val="22"/>
                <w:color w:val="FF0000"/>
                <w:w w:val="90"/>
              </w:rPr>
              <w:t>86</w:t>
            </w:r>
          </w:p>
        </w:tc>
        <w:tc>
          <w:tcPr>
            <w:tcW w:w="0" w:type="dxa"/>
            <w:vAlign w:val="bottom"/>
          </w:tcPr>
          <w:p>
            <w:pPr>
              <w:spacing w:after="0"/>
              <w:rPr>
                <w:sz w:val="1"/>
                <w:szCs w:val="1"/>
                <w:color w:val="auto"/>
              </w:rPr>
            </w:pPr>
          </w:p>
        </w:tc>
      </w:tr>
      <w:tr>
        <w:trPr>
          <w:trHeight w:val="275"/>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2.19</w:t>
            </w:r>
          </w:p>
        </w:tc>
        <w:tc>
          <w:tcPr>
            <w:tcW w:w="7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200" w:type="dxa"/>
            <w:vAlign w:val="bottom"/>
            <w:gridSpan w:val="3"/>
          </w:tcPr>
          <w:p>
            <w:pPr>
              <w:spacing w:after="0"/>
              <w:rPr>
                <w:sz w:val="20"/>
                <w:szCs w:val="20"/>
                <w:color w:val="auto"/>
              </w:rPr>
            </w:pPr>
            <w:r>
              <w:rPr>
                <w:rFonts w:ascii="Times New Roman" w:cs="Times New Roman" w:eastAsia="Times New Roman" w:hAnsi="Times New Roman"/>
                <w:sz w:val="22"/>
                <w:szCs w:val="22"/>
                <w:color w:val="FF0000"/>
                <w:strike w:val="1"/>
                <w:w w:val="81"/>
              </w:rPr>
              <w:t>81</w:t>
            </w:r>
          </w:p>
        </w:tc>
        <w:tc>
          <w:tcPr>
            <w:tcW w:w="5460" w:type="dxa"/>
            <w:vAlign w:val="bottom"/>
            <w:gridSpan w:val="65"/>
          </w:tcPr>
          <w:p>
            <w:pPr>
              <w:jc w:val="right"/>
              <w:ind w:right="5260"/>
              <w:spacing w:after="0"/>
              <w:rPr>
                <w:sz w:val="20"/>
                <w:szCs w:val="20"/>
                <w:color w:val="auto"/>
              </w:rPr>
            </w:pPr>
            <w:r>
              <w:rPr>
                <w:rFonts w:ascii="Times New Roman" w:cs="Times New Roman" w:eastAsia="Times New Roman" w:hAnsi="Times New Roman"/>
                <w:sz w:val="22"/>
                <w:szCs w:val="22"/>
                <w:color w:val="FF0000"/>
                <w:w w:val="81"/>
              </w:rPr>
              <w:t>86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86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w w:val="81"/>
              </w:rPr>
              <w:t>92</w:t>
            </w:r>
          </w:p>
        </w:tc>
        <w:tc>
          <w:tcPr>
            <w:tcW w:w="0" w:type="dxa"/>
            <w:vAlign w:val="bottom"/>
          </w:tcPr>
          <w:p>
            <w:pPr>
              <w:spacing w:after="0"/>
              <w:rPr>
                <w:sz w:val="1"/>
                <w:szCs w:val="1"/>
                <w:color w:val="auto"/>
              </w:rPr>
            </w:pPr>
          </w:p>
        </w:tc>
      </w:tr>
      <w:tr>
        <w:trPr>
          <w:trHeight w:val="252"/>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2.20</w:t>
            </w:r>
          </w:p>
        </w:tc>
        <w:tc>
          <w:tcPr>
            <w:tcW w:w="6440" w:type="dxa"/>
            <w:vAlign w:val="bottom"/>
            <w:gridSpan w:val="74"/>
          </w:tcPr>
          <w:p>
            <w:pPr>
              <w:ind w:left="100"/>
              <w:spacing w:after="0"/>
              <w:rPr>
                <w:sz w:val="20"/>
                <w:szCs w:val="20"/>
                <w:color w:val="auto"/>
              </w:rPr>
            </w:pPr>
            <w:r>
              <w:rPr>
                <w:rFonts w:ascii="Times New Roman" w:cs="Times New Roman" w:eastAsia="Times New Roman" w:hAnsi="Times New Roman"/>
                <w:sz w:val="20"/>
                <w:szCs w:val="20"/>
                <w:color w:val="auto"/>
              </w:rPr>
              <w:t>Assignment of Commitments Under Certain Circumstances; Duty to Mitigate</w:t>
            </w:r>
          </w:p>
        </w:tc>
        <w:tc>
          <w:tcPr>
            <w:tcW w:w="2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2.21</w:t>
            </w:r>
          </w:p>
        </w:tc>
        <w:tc>
          <w:tcPr>
            <w:tcW w:w="100" w:type="dxa"/>
            <w:vAlign w:val="bottom"/>
          </w:tcPr>
          <w:p>
            <w:pPr>
              <w:spacing w:after="0"/>
              <w:rPr>
                <w:sz w:val="22"/>
                <w:szCs w:val="22"/>
                <w:color w:val="auto"/>
              </w:rPr>
            </w:pPr>
          </w:p>
        </w:tc>
        <w:tc>
          <w:tcPr>
            <w:tcW w:w="1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w w:val="95"/>
              </w:rPr>
              <w:t>Letters of Credit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w w:val="99"/>
              </w:rPr>
              <w:t>87</w:t>
            </w:r>
          </w:p>
        </w:tc>
        <w:tc>
          <w:tcPr>
            <w:tcW w:w="240" w:type="dxa"/>
            <w:vAlign w:val="bottom"/>
            <w:gridSpan w:val="8"/>
          </w:tcPr>
          <w:p>
            <w:pPr>
              <w:spacing w:after="0"/>
              <w:rPr>
                <w:sz w:val="20"/>
                <w:szCs w:val="20"/>
                <w:color w:val="auto"/>
              </w:rPr>
            </w:pPr>
            <w:r>
              <w:rPr>
                <w:rFonts w:ascii="Times New Roman" w:cs="Times New Roman" w:eastAsia="Times New Roman" w:hAnsi="Times New Roman"/>
                <w:sz w:val="22"/>
                <w:szCs w:val="22"/>
                <w:color w:val="FF0000"/>
                <w:w w:val="99"/>
              </w:rPr>
              <w:t>93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2.22</w:t>
            </w:r>
          </w:p>
        </w:tc>
        <w:tc>
          <w:tcPr>
            <w:tcW w:w="100" w:type="dxa"/>
            <w:vAlign w:val="bottom"/>
          </w:tcPr>
          <w:p>
            <w:pPr>
              <w:spacing w:after="0"/>
              <w:rPr>
                <w:sz w:val="3"/>
                <w:szCs w:val="3"/>
                <w:color w:val="auto"/>
              </w:rPr>
            </w:pPr>
          </w:p>
        </w:tc>
        <w:tc>
          <w:tcPr>
            <w:tcW w:w="90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auto"/>
              </w:rPr>
              <w:t>[Reserved]</w:t>
            </w:r>
          </w:p>
        </w:tc>
        <w:tc>
          <w:tcPr>
            <w:tcW w:w="180" w:type="dxa"/>
            <w:vAlign w:val="bottom"/>
            <w:gridSpan w:val="3"/>
          </w:tcPr>
          <w:p>
            <w:pPr>
              <w:spacing w:after="0"/>
              <w:rPr>
                <w:sz w:val="3"/>
                <w:szCs w:val="3"/>
                <w:color w:val="auto"/>
              </w:rPr>
            </w:pPr>
          </w:p>
        </w:tc>
        <w:tc>
          <w:tcPr>
            <w:tcW w:w="200" w:type="dxa"/>
            <w:vAlign w:val="bottom"/>
            <w:gridSpan w:val="2"/>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81"/>
              </w:rPr>
              <w:t>95</w:t>
            </w:r>
          </w:p>
        </w:tc>
        <w:tc>
          <w:tcPr>
            <w:tcW w:w="20" w:type="dxa"/>
            <w:vAlign w:val="bottom"/>
            <w:vMerge w:val="restart"/>
          </w:tcPr>
          <w:p>
            <w:pPr>
              <w:spacing w:after="0"/>
              <w:rPr>
                <w:sz w:val="3"/>
                <w:szCs w:val="3"/>
                <w:color w:val="auto"/>
              </w:rPr>
            </w:pPr>
          </w:p>
        </w:tc>
        <w:tc>
          <w:tcPr>
            <w:tcW w:w="5460" w:type="dxa"/>
            <w:vAlign w:val="bottom"/>
            <w:gridSpan w:val="60"/>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9"/>
            <w:vMerge w:val="continue"/>
          </w:tcPr>
          <w:p>
            <w:pPr>
              <w:spacing w:after="0"/>
              <w:rPr>
                <w:sz w:val="16"/>
                <w:szCs w:val="16"/>
                <w:color w:val="auto"/>
              </w:rPr>
            </w:pPr>
          </w:p>
        </w:tc>
        <w:tc>
          <w:tcPr>
            <w:tcW w:w="180" w:type="dxa"/>
            <w:vAlign w:val="bottom"/>
            <w:gridSpan w:val="3"/>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40" w:type="dxa"/>
            <w:vAlign w:val="bottom"/>
            <w:tcBorders>
              <w:left w:val="single" w:sz="8" w:color="DDDDDD"/>
              <w:bottom w:val="single" w:sz="8" w:color="0000FF"/>
            </w:tcBorders>
            <w:gridSpan w:val="4"/>
            <w:shd w:val="clear" w:color="auto" w:fill="DDDDDD"/>
          </w:tcPr>
          <w:p>
            <w:pPr>
              <w:jc w:val="center"/>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101</w:t>
            </w:r>
          </w:p>
        </w:tc>
        <w:tc>
          <w:tcPr>
            <w:tcW w:w="100" w:type="dxa"/>
            <w:vAlign w:val="bottom"/>
            <w:tcBorders>
              <w:left w:val="single" w:sz="8" w:color="DDDDDD"/>
            </w:tcBorders>
          </w:tcPr>
          <w:p>
            <w:pPr>
              <w:spacing w:after="0"/>
              <w:rPr>
                <w:sz w:val="16"/>
                <w:szCs w:val="16"/>
                <w:color w:val="auto"/>
              </w:rPr>
            </w:pPr>
          </w:p>
        </w:tc>
        <w:tc>
          <w:tcPr>
            <w:tcW w:w="240" w:type="dxa"/>
            <w:vAlign w:val="bottom"/>
            <w:gridSpan w:val="8"/>
            <w:vMerge w:val="restart"/>
          </w:tcPr>
          <w:p>
            <w:pPr>
              <w:ind w:left="20"/>
              <w:spacing w:after="0"/>
              <w:rPr>
                <w:sz w:val="20"/>
                <w:szCs w:val="20"/>
                <w:color w:val="auto"/>
              </w:rPr>
            </w:pPr>
            <w:r>
              <w:rPr>
                <w:rFonts w:ascii="Times New Roman" w:cs="Times New Roman" w:eastAsia="Times New Roman" w:hAnsi="Times New Roman"/>
                <w:sz w:val="22"/>
                <w:szCs w:val="22"/>
                <w:color w:val="FF0000"/>
                <w:strike w:val="1"/>
                <w:w w:val="90"/>
              </w:rPr>
              <w:t>95</w:t>
            </w:r>
          </w:p>
        </w:tc>
        <w:tc>
          <w:tcPr>
            <w:tcW w:w="4880" w:type="dxa"/>
            <w:vAlign w:val="bottom"/>
            <w:gridSpan w:val="4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gridSpan w:val="17"/>
          </w:tcPr>
          <w:p>
            <w:pPr>
              <w:spacing w:after="0" w:line="20" w:lineRule="exact"/>
              <w:rPr>
                <w:sz w:val="1"/>
                <w:szCs w:val="1"/>
                <w:color w:val="auto"/>
              </w:rPr>
            </w:pPr>
          </w:p>
        </w:tc>
        <w:tc>
          <w:tcPr>
            <w:tcW w:w="240" w:type="dxa"/>
            <w:vAlign w:val="bottom"/>
            <w:tcBorders>
              <w:left w:val="single" w:sz="8" w:color="DDDDDD"/>
            </w:tcBorders>
            <w:gridSpan w:val="4"/>
            <w:shd w:val="clear" w:color="auto" w:fill="DDDDDD"/>
          </w:tcPr>
          <w:p>
            <w:pPr>
              <w:spacing w:after="0" w:line="20" w:lineRule="exact"/>
              <w:rPr>
                <w:sz w:val="1"/>
                <w:szCs w:val="1"/>
                <w:color w:val="auto"/>
              </w:rPr>
            </w:pPr>
          </w:p>
        </w:tc>
        <w:tc>
          <w:tcPr>
            <w:tcW w:w="100" w:type="dxa"/>
            <w:vAlign w:val="bottom"/>
            <w:tcBorders>
              <w:left w:val="single" w:sz="8" w:color="DDDDDD"/>
            </w:tcBorders>
          </w:tcPr>
          <w:p>
            <w:pPr>
              <w:spacing w:after="0" w:line="20" w:lineRule="exact"/>
              <w:rPr>
                <w:sz w:val="1"/>
                <w:szCs w:val="1"/>
                <w:color w:val="auto"/>
              </w:rPr>
            </w:pPr>
          </w:p>
        </w:tc>
        <w:tc>
          <w:tcPr>
            <w:tcW w:w="240" w:type="dxa"/>
            <w:vAlign w:val="bottom"/>
            <w:gridSpan w:val="8"/>
            <w:vMerge w:val="continue"/>
          </w:tcPr>
          <w:p>
            <w:pPr>
              <w:spacing w:after="0" w:line="20" w:lineRule="exact"/>
              <w:rPr>
                <w:sz w:val="1"/>
                <w:szCs w:val="1"/>
                <w:color w:val="auto"/>
              </w:rPr>
            </w:pPr>
          </w:p>
        </w:tc>
        <w:tc>
          <w:tcPr>
            <w:tcW w:w="488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2.23</w:t>
            </w:r>
          </w:p>
        </w:tc>
        <w:tc>
          <w:tcPr>
            <w:tcW w:w="100" w:type="dxa"/>
            <w:vAlign w:val="bottom"/>
          </w:tcPr>
          <w:p>
            <w:pPr>
              <w:spacing w:after="0"/>
              <w:rPr>
                <w:sz w:val="3"/>
                <w:szCs w:val="3"/>
                <w:color w:val="auto"/>
              </w:rPr>
            </w:pPr>
          </w:p>
        </w:tc>
        <w:tc>
          <w:tcPr>
            <w:tcW w:w="1540" w:type="dxa"/>
            <w:vAlign w:val="bottom"/>
            <w:gridSpan w:val="19"/>
            <w:vMerge w:val="restart"/>
          </w:tcPr>
          <w:p>
            <w:pPr>
              <w:spacing w:after="0"/>
              <w:rPr>
                <w:sz w:val="20"/>
                <w:szCs w:val="20"/>
                <w:color w:val="auto"/>
              </w:rPr>
            </w:pPr>
            <w:r>
              <w:rPr>
                <w:rFonts w:ascii="Times New Roman" w:cs="Times New Roman" w:eastAsia="Times New Roman" w:hAnsi="Times New Roman"/>
                <w:sz w:val="20"/>
                <w:szCs w:val="20"/>
                <w:color w:val="auto"/>
              </w:rPr>
              <w:t>Swing Line Loans</w:t>
            </w:r>
          </w:p>
        </w:tc>
        <w:tc>
          <w:tcPr>
            <w:tcW w:w="100" w:type="dxa"/>
            <w:vAlign w:val="bottom"/>
          </w:tcPr>
          <w:p>
            <w:pPr>
              <w:spacing w:after="0"/>
              <w:rPr>
                <w:sz w:val="3"/>
                <w:szCs w:val="3"/>
                <w:color w:val="auto"/>
              </w:rPr>
            </w:pPr>
          </w:p>
        </w:tc>
        <w:tc>
          <w:tcPr>
            <w:tcW w:w="240" w:type="dxa"/>
            <w:vAlign w:val="bottom"/>
            <w:gridSpan w:val="8"/>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2"/>
          </w:tcPr>
          <w:p>
            <w:pPr>
              <w:spacing w:after="0"/>
              <w:rPr>
                <w:sz w:val="3"/>
                <w:szCs w:val="3"/>
                <w:color w:val="auto"/>
              </w:rPr>
            </w:pPr>
          </w:p>
        </w:tc>
        <w:tc>
          <w:tcPr>
            <w:tcW w:w="200" w:type="dxa"/>
            <w:vAlign w:val="bottom"/>
            <w:gridSpan w:val="6"/>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19"/>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8"/>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9"/>
            <w:shd w:val="clear" w:color="auto" w:fill="DDDDDD"/>
          </w:tcPr>
          <w:p>
            <w:pPr>
              <w:jc w:val="right"/>
              <w:ind w:right="20"/>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101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2.24</w:t>
            </w:r>
          </w:p>
        </w:tc>
        <w:tc>
          <w:tcPr>
            <w:tcW w:w="100" w:type="dxa"/>
            <w:vAlign w:val="bottom"/>
          </w:tcPr>
          <w:p>
            <w:pPr>
              <w:spacing w:after="0"/>
              <w:rPr>
                <w:sz w:val="4"/>
                <w:szCs w:val="4"/>
                <w:color w:val="auto"/>
              </w:rPr>
            </w:pPr>
          </w:p>
        </w:tc>
        <w:tc>
          <w:tcPr>
            <w:tcW w:w="1540" w:type="dxa"/>
            <w:vAlign w:val="bottom"/>
            <w:gridSpan w:val="19"/>
            <w:vMerge w:val="restart"/>
          </w:tcPr>
          <w:p>
            <w:pPr>
              <w:spacing w:after="0"/>
              <w:rPr>
                <w:sz w:val="20"/>
                <w:szCs w:val="20"/>
                <w:color w:val="auto"/>
              </w:rPr>
            </w:pPr>
            <w:r>
              <w:rPr>
                <w:rFonts w:ascii="Times New Roman" w:cs="Times New Roman" w:eastAsia="Times New Roman" w:hAnsi="Times New Roman"/>
                <w:sz w:val="20"/>
                <w:szCs w:val="20"/>
                <w:color w:val="auto"/>
                <w:w w:val="96"/>
              </w:rPr>
              <w:t>Defaulting Lenders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7"/>
            <w:vMerge w:val="restart"/>
          </w:tcPr>
          <w:p>
            <w:pPr>
              <w:spacing w:after="0" w:line="243" w:lineRule="exact"/>
              <w:rPr>
                <w:sz w:val="20"/>
                <w:szCs w:val="20"/>
                <w:color w:val="auto"/>
              </w:rPr>
            </w:pPr>
            <w:r>
              <w:rPr>
                <w:rFonts w:ascii="Times New Roman" w:cs="Times New Roman" w:eastAsia="Times New Roman" w:hAnsi="Times New Roman"/>
                <w:sz w:val="22"/>
                <w:szCs w:val="22"/>
                <w:color w:val="FF0000"/>
                <w:strike w:val="1"/>
                <w:w w:val="90"/>
              </w:rPr>
              <w:t>99</w:t>
            </w:r>
          </w:p>
        </w:tc>
        <w:tc>
          <w:tcPr>
            <w:tcW w:w="280" w:type="dxa"/>
            <w:vAlign w:val="bottom"/>
            <w:gridSpan w:val="8"/>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19"/>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7"/>
            <w:vMerge w:val="continue"/>
          </w:tcPr>
          <w:p>
            <w:pPr>
              <w:spacing w:after="0"/>
              <w:rPr>
                <w:sz w:val="17"/>
                <w:szCs w:val="17"/>
                <w:color w:val="auto"/>
              </w:rPr>
            </w:pPr>
          </w:p>
        </w:tc>
        <w:tc>
          <w:tcPr>
            <w:tcW w:w="280" w:type="dxa"/>
            <w:vAlign w:val="bottom"/>
            <w:tcBorders>
              <w:bottom w:val="single" w:sz="8" w:color="0000FF"/>
            </w:tcBorders>
            <w:gridSpan w:val="8"/>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105</w:t>
            </w:r>
          </w:p>
        </w:tc>
        <w:tc>
          <w:tcPr>
            <w:tcW w:w="20" w:type="dxa"/>
            <w:vAlign w:val="bottom"/>
            <w:tcBorders>
              <w:bottom w:val="single" w:sz="8" w:color="0000FF"/>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gridSpan w:val="9"/>
            <w:vMerge w:val="restart"/>
          </w:tcPr>
          <w:p>
            <w:pPr>
              <w:spacing w:after="0"/>
              <w:rPr>
                <w:sz w:val="20"/>
                <w:szCs w:val="20"/>
                <w:color w:val="auto"/>
              </w:rPr>
            </w:pPr>
            <w:r>
              <w:rPr>
                <w:rFonts w:ascii="Times New Roman" w:cs="Times New Roman" w:eastAsia="Times New Roman" w:hAnsi="Times New Roman"/>
                <w:sz w:val="22"/>
                <w:szCs w:val="22"/>
                <w:color w:val="FF0000"/>
                <w:strike w:val="1"/>
                <w:w w:val="90"/>
              </w:rPr>
              <w:t>102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2.25</w:t>
            </w:r>
          </w:p>
        </w:tc>
        <w:tc>
          <w:tcPr>
            <w:tcW w:w="100" w:type="dxa"/>
            <w:vAlign w:val="bottom"/>
          </w:tcPr>
          <w:p>
            <w:pPr>
              <w:spacing w:after="0"/>
              <w:rPr>
                <w:sz w:val="3"/>
                <w:szCs w:val="3"/>
                <w:color w:val="auto"/>
              </w:rPr>
            </w:pPr>
          </w:p>
        </w:tc>
        <w:tc>
          <w:tcPr>
            <w:tcW w:w="3280" w:type="dxa"/>
            <w:vAlign w:val="bottom"/>
            <w:gridSpan w:val="51"/>
            <w:vMerge w:val="restart"/>
          </w:tcPr>
          <w:p>
            <w:pPr>
              <w:spacing w:after="0"/>
              <w:rPr>
                <w:sz w:val="20"/>
                <w:szCs w:val="20"/>
                <w:color w:val="auto"/>
              </w:rPr>
            </w:pPr>
            <w:r>
              <w:rPr>
                <w:rFonts w:ascii="Times New Roman" w:cs="Times New Roman" w:eastAsia="Times New Roman" w:hAnsi="Times New Roman"/>
                <w:sz w:val="20"/>
                <w:szCs w:val="20"/>
                <w:color w:val="auto"/>
              </w:rPr>
              <w:t>Incremental Revolving Credit Increase</w:t>
            </w:r>
          </w:p>
        </w:tc>
        <w:tc>
          <w:tcPr>
            <w:tcW w:w="320" w:type="dxa"/>
            <w:vAlign w:val="bottom"/>
            <w:gridSpan w:val="9"/>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3"/>
          </w:tcPr>
          <w:p>
            <w:pPr>
              <w:spacing w:after="0"/>
              <w:rPr>
                <w:sz w:val="3"/>
                <w:szCs w:val="3"/>
                <w:color w:val="auto"/>
              </w:rPr>
            </w:pPr>
          </w:p>
        </w:tc>
        <w:tc>
          <w:tcPr>
            <w:tcW w:w="16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51"/>
            <w:vMerge w:val="continue"/>
          </w:tcPr>
          <w:p>
            <w:pPr>
              <w:spacing w:after="0"/>
              <w:rPr>
                <w:sz w:val="18"/>
                <w:szCs w:val="18"/>
                <w:color w:val="auto"/>
              </w:rPr>
            </w:pPr>
          </w:p>
        </w:tc>
        <w:tc>
          <w:tcPr>
            <w:tcW w:w="320" w:type="dxa"/>
            <w:vAlign w:val="bottom"/>
            <w:gridSpan w:val="9"/>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2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109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2.26</w:t>
            </w:r>
          </w:p>
        </w:tc>
        <w:tc>
          <w:tcPr>
            <w:tcW w:w="100" w:type="dxa"/>
            <w:vAlign w:val="bottom"/>
          </w:tcPr>
          <w:p>
            <w:pPr>
              <w:spacing w:after="0"/>
              <w:rPr>
                <w:sz w:val="3"/>
                <w:szCs w:val="3"/>
                <w:color w:val="auto"/>
              </w:rPr>
            </w:pPr>
          </w:p>
        </w:tc>
        <w:tc>
          <w:tcPr>
            <w:tcW w:w="2120" w:type="dxa"/>
            <w:vAlign w:val="bottom"/>
            <w:gridSpan w:val="36"/>
            <w:vMerge w:val="restart"/>
          </w:tcPr>
          <w:p>
            <w:pPr>
              <w:spacing w:after="0"/>
              <w:rPr>
                <w:sz w:val="20"/>
                <w:szCs w:val="20"/>
                <w:color w:val="auto"/>
              </w:rPr>
            </w:pPr>
            <w:r>
              <w:rPr>
                <w:rFonts w:ascii="Times New Roman" w:cs="Times New Roman" w:eastAsia="Times New Roman" w:hAnsi="Times New Roman"/>
                <w:sz w:val="20"/>
                <w:szCs w:val="20"/>
                <w:color w:val="auto"/>
              </w:rPr>
              <w:t>Benchmark Replacement</w:t>
            </w:r>
          </w:p>
        </w:tc>
        <w:tc>
          <w:tcPr>
            <w:tcW w:w="60" w:type="dxa"/>
            <w:vAlign w:val="bottom"/>
            <w:gridSpan w:val="2"/>
          </w:tcPr>
          <w:p>
            <w:pPr>
              <w:spacing w:after="0"/>
              <w:rPr>
                <w:sz w:val="3"/>
                <w:szCs w:val="3"/>
                <w:color w:val="auto"/>
              </w:rPr>
            </w:pPr>
          </w:p>
        </w:tc>
        <w:tc>
          <w:tcPr>
            <w:tcW w:w="340" w:type="dxa"/>
            <w:vAlign w:val="bottom"/>
            <w:gridSpan w:val="5"/>
            <w:vMerge w:val="restart"/>
          </w:tcPr>
          <w:p>
            <w:pPr>
              <w:ind w:left="20"/>
              <w:spacing w:after="0" w:line="230" w:lineRule="exact"/>
              <w:rPr>
                <w:sz w:val="20"/>
                <w:szCs w:val="20"/>
                <w:color w:val="auto"/>
              </w:rPr>
            </w:pPr>
            <w:r>
              <w:rPr>
                <w:rFonts w:ascii="Times New Roman" w:cs="Times New Roman" w:eastAsia="Times New Roman" w:hAnsi="Times New Roman"/>
                <w:sz w:val="22"/>
                <w:szCs w:val="22"/>
                <w:color w:val="FF0000"/>
                <w:strike w:val="1"/>
                <w:w w:val="84"/>
              </w:rPr>
              <w:t>105</w:t>
            </w:r>
          </w:p>
        </w:tc>
        <w:tc>
          <w:tcPr>
            <w:tcW w:w="2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6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120" w:type="dxa"/>
            <w:vAlign w:val="bottom"/>
            <w:tcBorders>
              <w:top w:val="single" w:sz="8" w:color="DDDDDD"/>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6"/>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340" w:type="dxa"/>
            <w:vAlign w:val="bottom"/>
            <w:gridSpan w:val="5"/>
            <w:vMerge w:val="continue"/>
          </w:tcPr>
          <w:p>
            <w:pPr>
              <w:spacing w:after="0"/>
              <w:rPr>
                <w:sz w:val="16"/>
                <w:szCs w:val="16"/>
                <w:color w:val="auto"/>
              </w:rPr>
            </w:pPr>
          </w:p>
        </w:tc>
        <w:tc>
          <w:tcPr>
            <w:tcW w:w="260" w:type="dxa"/>
            <w:vAlign w:val="bottom"/>
            <w:tcBorders>
              <w:left w:val="single" w:sz="8" w:color="DDDDDD"/>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112</w:t>
            </w:r>
          </w:p>
        </w:tc>
        <w:tc>
          <w:tcPr>
            <w:tcW w:w="100" w:type="dxa"/>
            <w:vAlign w:val="bottom"/>
            <w:tcBorders>
              <w:left w:val="single" w:sz="8" w:color="DDDDDD"/>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106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gridSpan w:val="45"/>
          </w:tcPr>
          <w:p>
            <w:pPr>
              <w:spacing w:after="0" w:line="20" w:lineRule="exact"/>
              <w:rPr>
                <w:sz w:val="1"/>
                <w:szCs w:val="1"/>
                <w:color w:val="auto"/>
              </w:rPr>
            </w:pPr>
          </w:p>
        </w:tc>
        <w:tc>
          <w:tcPr>
            <w:tcW w:w="260" w:type="dxa"/>
            <w:vAlign w:val="bottom"/>
            <w:tcBorders>
              <w:left w:val="single" w:sz="8" w:color="DDDDDD"/>
            </w:tcBorders>
            <w:gridSpan w:val="3"/>
            <w:shd w:val="clear" w:color="auto" w:fill="DDDDDD"/>
          </w:tcPr>
          <w:p>
            <w:pPr>
              <w:spacing w:after="0" w:line="20" w:lineRule="exact"/>
              <w:rPr>
                <w:sz w:val="1"/>
                <w:szCs w:val="1"/>
                <w:color w:val="auto"/>
              </w:rPr>
            </w:pPr>
          </w:p>
        </w:tc>
        <w:tc>
          <w:tcPr>
            <w:tcW w:w="100" w:type="dxa"/>
            <w:vAlign w:val="bottom"/>
            <w:tcBorders>
              <w:left w:val="single" w:sz="8" w:color="DDDDDD"/>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300" w:type="dxa"/>
            <w:vAlign w:val="bottom"/>
            <w:gridSpan w:val="8"/>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2.27</w:t>
            </w:r>
          </w:p>
        </w:tc>
        <w:tc>
          <w:tcPr>
            <w:tcW w:w="100" w:type="dxa"/>
            <w:vAlign w:val="bottom"/>
          </w:tcPr>
          <w:p>
            <w:pPr>
              <w:spacing w:after="0"/>
              <w:rPr>
                <w:sz w:val="2"/>
                <w:szCs w:val="2"/>
                <w:color w:val="auto"/>
              </w:rPr>
            </w:pPr>
          </w:p>
        </w:tc>
        <w:tc>
          <w:tcPr>
            <w:tcW w:w="2880" w:type="dxa"/>
            <w:vAlign w:val="bottom"/>
            <w:gridSpan w:val="47"/>
            <w:vMerge w:val="restart"/>
          </w:tcPr>
          <w:p>
            <w:pPr>
              <w:spacing w:after="0" w:line="216" w:lineRule="exact"/>
              <w:rPr>
                <w:sz w:val="20"/>
                <w:szCs w:val="20"/>
                <w:color w:val="auto"/>
              </w:rPr>
            </w:pPr>
            <w:r>
              <w:rPr>
                <w:rFonts w:ascii="Times New Roman" w:cs="Times New Roman" w:eastAsia="Times New Roman" w:hAnsi="Times New Roman"/>
                <w:sz w:val="20"/>
                <w:szCs w:val="20"/>
                <w:color w:val="auto"/>
              </w:rPr>
              <w:t>Canadian Benchmark Replacement</w:t>
            </w:r>
          </w:p>
        </w:tc>
        <w:tc>
          <w:tcPr>
            <w:tcW w:w="100" w:type="dxa"/>
            <w:vAlign w:val="bottom"/>
            <w:gridSpan w:val="2"/>
            <w:vMerge w:val="continue"/>
          </w:tcPr>
          <w:p>
            <w:pPr>
              <w:spacing w:after="0"/>
              <w:rPr>
                <w:sz w:val="2"/>
                <w:szCs w:val="2"/>
                <w:color w:val="auto"/>
              </w:rPr>
            </w:pPr>
          </w:p>
        </w:tc>
        <w:tc>
          <w:tcPr>
            <w:tcW w:w="340" w:type="dxa"/>
            <w:vAlign w:val="bottom"/>
            <w:gridSpan w:val="4"/>
            <w:vMerge w:val="continue"/>
          </w:tcPr>
          <w:p>
            <w:pPr>
              <w:spacing w:after="0"/>
              <w:rPr>
                <w:sz w:val="2"/>
                <w:szCs w:val="2"/>
                <w:color w:val="auto"/>
              </w:rPr>
            </w:pPr>
          </w:p>
        </w:tc>
        <w:tc>
          <w:tcPr>
            <w:tcW w:w="30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47"/>
            <w:vMerge w:val="continue"/>
          </w:tcPr>
          <w:p>
            <w:pPr>
              <w:spacing w:after="0"/>
              <w:rPr>
                <w:sz w:val="17"/>
                <w:szCs w:val="17"/>
                <w:color w:val="auto"/>
              </w:rPr>
            </w:pPr>
          </w:p>
        </w:tc>
        <w:tc>
          <w:tcPr>
            <w:tcW w:w="100" w:type="dxa"/>
            <w:vAlign w:val="bottom"/>
            <w:gridSpan w:val="2"/>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320" w:type="dxa"/>
            <w:vAlign w:val="bottom"/>
            <w:tcBorders>
              <w:bottom w:val="single" w:sz="8" w:color="0000FF"/>
            </w:tcBorders>
            <w:gridSpan w:val="9"/>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113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40" w:right="33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40" w:right="339" w:bottom="1440" w:gutter="0" w:footer="0" w:header="0"/>
          <w:type w:val="continuous"/>
        </w:sectPr>
      </w:pPr>
    </w:p>
    <w:bookmarkStart w:id="34" w:name="page35"/>
    <w:bookmarkEnd w:id="34"/>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64"/>
        </w:trPr>
        <w:tc>
          <w:tcPr>
            <w:tcW w:w="4920" w:type="dxa"/>
            <w:vAlign w:val="bottom"/>
            <w:gridSpan w:val="42"/>
            <w:vMerge w:val="restart"/>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320" w:type="dxa"/>
            <w:vAlign w:val="bottom"/>
            <w:gridSpan w:val="8"/>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110</w:t>
            </w:r>
          </w:p>
        </w:tc>
        <w:tc>
          <w:tcPr>
            <w:tcW w:w="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10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920" w:type="dxa"/>
            <w:vAlign w:val="bottom"/>
            <w:gridSpan w:val="42"/>
            <w:vMerge w:val="continue"/>
          </w:tcPr>
          <w:p>
            <w:pPr>
              <w:spacing w:after="0"/>
              <w:rPr>
                <w:sz w:val="17"/>
                <w:szCs w:val="17"/>
                <w:color w:val="auto"/>
              </w:rPr>
            </w:pPr>
          </w:p>
        </w:tc>
        <w:tc>
          <w:tcPr>
            <w:tcW w:w="320" w:type="dxa"/>
            <w:vAlign w:val="bottom"/>
            <w:gridSpan w:val="8"/>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119</w:t>
            </w: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3.01</w:t>
            </w:r>
          </w:p>
        </w:tc>
        <w:tc>
          <w:tcPr>
            <w:tcW w:w="1880" w:type="dxa"/>
            <w:vAlign w:val="bottom"/>
            <w:gridSpan w:val="16"/>
            <w:vMerge w:val="restart"/>
          </w:tcPr>
          <w:p>
            <w:pPr>
              <w:ind w:left="100"/>
              <w:spacing w:after="0"/>
              <w:rPr>
                <w:sz w:val="20"/>
                <w:szCs w:val="20"/>
                <w:color w:val="auto"/>
              </w:rPr>
            </w:pPr>
            <w:r>
              <w:rPr>
                <w:rFonts w:ascii="Times New Roman" w:cs="Times New Roman" w:eastAsia="Times New Roman" w:hAnsi="Times New Roman"/>
                <w:sz w:val="20"/>
                <w:szCs w:val="20"/>
                <w:color w:val="auto"/>
              </w:rPr>
              <w:t>Organization; Powers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6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12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880" w:type="dxa"/>
            <w:vAlign w:val="bottom"/>
            <w:gridSpan w:val="16"/>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300" w:type="dxa"/>
            <w:vAlign w:val="bottom"/>
            <w:tcBorders>
              <w:bottom w:val="single" w:sz="8" w:color="0000FF"/>
            </w:tcBorders>
            <w:gridSpan w:val="7"/>
            <w:shd w:val="clear" w:color="auto" w:fill="DDDDDD"/>
          </w:tcPr>
          <w:p>
            <w:pPr>
              <w:jc w:val="right"/>
              <w:ind w:right="20"/>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119</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3.02</w:t>
            </w:r>
          </w:p>
        </w:tc>
        <w:tc>
          <w:tcPr>
            <w:tcW w:w="13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Authorization</w:t>
            </w:r>
          </w:p>
        </w:tc>
        <w:tc>
          <w:tcPr>
            <w:tcW w:w="4220" w:type="dxa"/>
            <w:vAlign w:val="bottom"/>
            <w:gridSpan w:val="57"/>
          </w:tcPr>
          <w:p>
            <w:pPr>
              <w:jc w:val="right"/>
              <w:ind w:right="3900"/>
              <w:spacing w:after="0"/>
              <w:rPr>
                <w:sz w:val="20"/>
                <w:szCs w:val="20"/>
                <w:color w:val="auto"/>
              </w:rPr>
            </w:pPr>
            <w:r>
              <w:rPr>
                <w:rFonts w:ascii="Times New Roman" w:cs="Times New Roman" w:eastAsia="Times New Roman" w:hAnsi="Times New Roman"/>
                <w:sz w:val="22"/>
                <w:szCs w:val="22"/>
                <w:color w:val="auto"/>
                <w:w w:val="90"/>
              </w:rPr>
              <w:t>119</w:t>
            </w:r>
          </w:p>
        </w:tc>
        <w:tc>
          <w:tcPr>
            <w:tcW w:w="0" w:type="dxa"/>
            <w:vAlign w:val="bottom"/>
          </w:tcPr>
          <w:p>
            <w:pPr>
              <w:spacing w:after="0"/>
              <w:rPr>
                <w:sz w:val="1"/>
                <w:szCs w:val="1"/>
                <w:color w:val="auto"/>
              </w:rPr>
            </w:pPr>
          </w:p>
        </w:tc>
      </w:tr>
      <w:tr>
        <w:trPr>
          <w:trHeight w:val="258"/>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3.03</w:t>
            </w:r>
          </w:p>
        </w:tc>
        <w:tc>
          <w:tcPr>
            <w:tcW w:w="124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7"/>
              </w:rPr>
              <w:t>Enforceability</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3"/>
              </w:rPr>
              <w:t>120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111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980" w:type="dxa"/>
            <w:vAlign w:val="bottom"/>
            <w:vMerge w:val="restart"/>
          </w:tcPr>
          <w:p>
            <w:pPr>
              <w:ind w:left="660"/>
              <w:spacing w:after="0" w:line="224" w:lineRule="exact"/>
              <w:rPr>
                <w:sz w:val="20"/>
                <w:szCs w:val="20"/>
                <w:color w:val="auto"/>
              </w:rPr>
            </w:pPr>
            <w:r>
              <w:rPr>
                <w:rFonts w:ascii="Times New Roman" w:cs="Times New Roman" w:eastAsia="Times New Roman" w:hAnsi="Times New Roman"/>
                <w:sz w:val="20"/>
                <w:szCs w:val="20"/>
                <w:color w:val="auto"/>
              </w:rPr>
              <w:t>SECTION 3.04</w:t>
            </w:r>
          </w:p>
        </w:tc>
        <w:tc>
          <w:tcPr>
            <w:tcW w:w="2260" w:type="dxa"/>
            <w:vAlign w:val="bottom"/>
            <w:gridSpan w:val="25"/>
            <w:vMerge w:val="restart"/>
          </w:tcPr>
          <w:p>
            <w:pPr>
              <w:ind w:left="100"/>
              <w:spacing w:after="0" w:line="224" w:lineRule="exact"/>
              <w:rPr>
                <w:sz w:val="20"/>
                <w:szCs w:val="20"/>
                <w:color w:val="auto"/>
              </w:rPr>
            </w:pPr>
            <w:r>
              <w:rPr>
                <w:rFonts w:ascii="Times New Roman" w:cs="Times New Roman" w:eastAsia="Times New Roman" w:hAnsi="Times New Roman"/>
                <w:sz w:val="20"/>
                <w:szCs w:val="20"/>
                <w:color w:val="auto"/>
              </w:rPr>
              <w:t>Governmental Approvals</w:t>
            </w:r>
          </w:p>
        </w:tc>
        <w:tc>
          <w:tcPr>
            <w:tcW w:w="360" w:type="dxa"/>
            <w:vAlign w:val="bottom"/>
            <w:gridSpan w:val="7"/>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980" w:type="dxa"/>
            <w:vAlign w:val="bottom"/>
            <w:vMerge w:val="continue"/>
          </w:tcPr>
          <w:p>
            <w:pPr>
              <w:spacing w:after="0"/>
              <w:rPr>
                <w:sz w:val="18"/>
                <w:szCs w:val="18"/>
                <w:color w:val="auto"/>
              </w:rPr>
            </w:pPr>
          </w:p>
        </w:tc>
        <w:tc>
          <w:tcPr>
            <w:tcW w:w="2260" w:type="dxa"/>
            <w:vAlign w:val="bottom"/>
            <w:gridSpan w:val="25"/>
            <w:vMerge w:val="continue"/>
          </w:tcPr>
          <w:p>
            <w:pPr>
              <w:spacing w:after="0"/>
              <w:rPr>
                <w:sz w:val="18"/>
                <w:szCs w:val="18"/>
                <w:color w:val="auto"/>
              </w:rPr>
            </w:pPr>
          </w:p>
        </w:tc>
        <w:tc>
          <w:tcPr>
            <w:tcW w:w="360" w:type="dxa"/>
            <w:vAlign w:val="bottom"/>
            <w:gridSpan w:val="7"/>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2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3.05</w:t>
            </w:r>
          </w:p>
        </w:tc>
        <w:tc>
          <w:tcPr>
            <w:tcW w:w="1880" w:type="dxa"/>
            <w:vAlign w:val="bottom"/>
            <w:gridSpan w:val="16"/>
            <w:vMerge w:val="restart"/>
          </w:tcPr>
          <w:p>
            <w:pPr>
              <w:ind w:left="100"/>
              <w:spacing w:after="0" w:line="216" w:lineRule="exact"/>
              <w:rPr>
                <w:sz w:val="20"/>
                <w:szCs w:val="20"/>
                <w:color w:val="auto"/>
              </w:rPr>
            </w:pPr>
            <w:r>
              <w:rPr>
                <w:rFonts w:ascii="Times New Roman" w:cs="Times New Roman" w:eastAsia="Times New Roman" w:hAnsi="Times New Roman"/>
                <w:sz w:val="20"/>
                <w:szCs w:val="20"/>
                <w:color w:val="auto"/>
              </w:rPr>
              <w:t>Financial Statements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7"/>
            <w:vMerge w:val="restart"/>
          </w:tcPr>
          <w:p>
            <w:pPr>
              <w:jc w:val="right"/>
              <w:spacing w:after="0" w:line="217" w:lineRule="exact"/>
              <w:rPr>
                <w:sz w:val="20"/>
                <w:szCs w:val="20"/>
                <w:color w:val="auto"/>
              </w:rPr>
            </w:pPr>
            <w:r>
              <w:rPr>
                <w:rFonts w:ascii="Times New Roman" w:cs="Times New Roman" w:eastAsia="Times New Roman" w:hAnsi="Times New Roman"/>
                <w:sz w:val="22"/>
                <w:szCs w:val="22"/>
                <w:color w:val="FF0000"/>
                <w:strike w:val="1"/>
                <w:w w:val="84"/>
              </w:rPr>
              <w:t>111</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120" w:type="dxa"/>
            <w:vAlign w:val="bottom"/>
            <w:tcBorders>
              <w:top w:val="single" w:sz="8" w:color="DDDDDD"/>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880" w:type="dxa"/>
            <w:vAlign w:val="bottom"/>
            <w:gridSpan w:val="16"/>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7"/>
            <w:vMerge w:val="continue"/>
          </w:tcPr>
          <w:p>
            <w:pPr>
              <w:spacing w:after="0"/>
              <w:rPr>
                <w:sz w:val="16"/>
                <w:szCs w:val="16"/>
                <w:color w:val="auto"/>
              </w:rPr>
            </w:pPr>
          </w:p>
        </w:tc>
        <w:tc>
          <w:tcPr>
            <w:tcW w:w="300" w:type="dxa"/>
            <w:vAlign w:val="bottom"/>
            <w:tcBorders>
              <w:left w:val="single" w:sz="8" w:color="DDDDDD"/>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3.06</w:t>
            </w:r>
          </w:p>
        </w:tc>
        <w:tc>
          <w:tcPr>
            <w:tcW w:w="2260" w:type="dxa"/>
            <w:vAlign w:val="bottom"/>
            <w:tcBorders>
              <w:right w:val="single" w:sz="8" w:color="0000FF"/>
            </w:tcBorders>
            <w:gridSpan w:val="25"/>
          </w:tcPr>
          <w:p>
            <w:pPr>
              <w:spacing w:after="0"/>
              <w:rPr>
                <w:sz w:val="2"/>
                <w:szCs w:val="2"/>
                <w:color w:val="auto"/>
              </w:rPr>
            </w:pPr>
          </w:p>
        </w:tc>
        <w:tc>
          <w:tcPr>
            <w:tcW w:w="120" w:type="dxa"/>
            <w:vAlign w:val="bottom"/>
            <w:tcBorders>
              <w:left w:val="single" w:sz="8" w:color="0000FF"/>
            </w:tcBorders>
            <w:gridSpan w:val="3"/>
            <w:shd w:val="clear" w:color="auto" w:fill="0000FF"/>
          </w:tcPr>
          <w:p>
            <w:pPr>
              <w:spacing w:after="0"/>
              <w:rPr>
                <w:sz w:val="2"/>
                <w:szCs w:val="2"/>
                <w:color w:val="auto"/>
              </w:rPr>
            </w:pPr>
          </w:p>
        </w:tc>
        <w:tc>
          <w:tcPr>
            <w:tcW w:w="140" w:type="dxa"/>
            <w:vAlign w:val="bottom"/>
            <w:tcBorders>
              <w:left w:val="single" w:sz="8" w:color="0000FF"/>
            </w:tcBorders>
            <w:gridSpan w:val="2"/>
            <w:shd w:val="clear" w:color="auto" w:fill="0000FF"/>
          </w:tcPr>
          <w:p>
            <w:pPr>
              <w:spacing w:after="0"/>
              <w:rPr>
                <w:sz w:val="2"/>
                <w:szCs w:val="2"/>
                <w:color w:val="auto"/>
              </w:rPr>
            </w:pPr>
          </w:p>
        </w:tc>
        <w:tc>
          <w:tcPr>
            <w:tcW w:w="40" w:type="dxa"/>
            <w:vAlign w:val="bottom"/>
            <w:tcBorders>
              <w:left w:val="single" w:sz="8" w:color="0000FF"/>
            </w:tcBorders>
            <w:shd w:val="clear" w:color="auto" w:fill="0000FF"/>
          </w:tcPr>
          <w:p>
            <w:pPr>
              <w:spacing w:after="0"/>
              <w:rPr>
                <w:sz w:val="2"/>
                <w:szCs w:val="2"/>
                <w:color w:val="auto"/>
              </w:rPr>
            </w:pPr>
          </w:p>
        </w:tc>
        <w:tc>
          <w:tcPr>
            <w:tcW w:w="380" w:type="dxa"/>
            <w:vAlign w:val="bottom"/>
            <w:gridSpan w:val="10"/>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120</w:t>
            </w:r>
          </w:p>
        </w:tc>
        <w:tc>
          <w:tcPr>
            <w:tcW w:w="2660" w:type="dxa"/>
            <w:vAlign w:val="bottom"/>
            <w:gridSpan w:val="2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980" w:type="dxa"/>
            <w:vAlign w:val="bottom"/>
            <w:vMerge w:val="continue"/>
          </w:tcPr>
          <w:p>
            <w:pPr>
              <w:spacing w:after="0"/>
              <w:rPr>
                <w:sz w:val="20"/>
                <w:szCs w:val="20"/>
                <w:color w:val="auto"/>
              </w:rPr>
            </w:pPr>
          </w:p>
        </w:tc>
        <w:tc>
          <w:tcPr>
            <w:tcW w:w="2560" w:type="dxa"/>
            <w:vAlign w:val="bottom"/>
            <w:gridSpan w:val="31"/>
          </w:tcPr>
          <w:p>
            <w:pPr>
              <w:ind w:left="100"/>
              <w:spacing w:after="0"/>
              <w:rPr>
                <w:sz w:val="20"/>
                <w:szCs w:val="20"/>
                <w:color w:val="auto"/>
              </w:rPr>
            </w:pPr>
            <w:r>
              <w:rPr>
                <w:rFonts w:ascii="Times New Roman" w:cs="Times New Roman" w:eastAsia="Times New Roman" w:hAnsi="Times New Roman"/>
                <w:sz w:val="20"/>
                <w:szCs w:val="20"/>
                <w:color w:val="auto"/>
              </w:rPr>
              <w:t>No Material Adverse Change</w:t>
            </w:r>
          </w:p>
        </w:tc>
        <w:tc>
          <w:tcPr>
            <w:tcW w:w="380" w:type="dxa"/>
            <w:vAlign w:val="bottom"/>
            <w:gridSpan w:val="10"/>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3.07</w:t>
            </w:r>
          </w:p>
        </w:tc>
        <w:tc>
          <w:tcPr>
            <w:tcW w:w="4840" w:type="dxa"/>
            <w:vAlign w:val="bottom"/>
            <w:gridSpan w:val="62"/>
          </w:tcPr>
          <w:p>
            <w:pPr>
              <w:ind w:left="100"/>
              <w:spacing w:after="0"/>
              <w:rPr>
                <w:sz w:val="20"/>
                <w:szCs w:val="20"/>
                <w:color w:val="auto"/>
              </w:rPr>
            </w:pPr>
            <w:r>
              <w:rPr>
                <w:rFonts w:ascii="Times New Roman" w:cs="Times New Roman" w:eastAsia="Times New Roman" w:hAnsi="Times New Roman"/>
                <w:sz w:val="20"/>
                <w:szCs w:val="20"/>
                <w:color w:val="auto"/>
              </w:rPr>
              <w:t>Title to Properties; Possession Under Leases and Licenses</w:t>
            </w:r>
          </w:p>
        </w:tc>
        <w:tc>
          <w:tcPr>
            <w:tcW w:w="46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121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3.08</w:t>
            </w:r>
          </w:p>
        </w:tc>
        <w:tc>
          <w:tcPr>
            <w:tcW w:w="1240" w:type="dxa"/>
            <w:vAlign w:val="bottom"/>
            <w:gridSpan w:val="7"/>
            <w:vMerge w:val="restart"/>
          </w:tcPr>
          <w:p>
            <w:pPr>
              <w:ind w:left="100"/>
              <w:spacing w:after="0"/>
              <w:rPr>
                <w:sz w:val="20"/>
                <w:szCs w:val="20"/>
                <w:color w:val="auto"/>
              </w:rPr>
            </w:pPr>
            <w:r>
              <w:rPr>
                <w:rFonts w:ascii="Times New Roman" w:cs="Times New Roman" w:eastAsia="Times New Roman" w:hAnsi="Times New Roman"/>
                <w:sz w:val="20"/>
                <w:szCs w:val="20"/>
                <w:color w:val="auto"/>
              </w:rPr>
              <w:t>Subsidiaries</w:t>
            </w:r>
          </w:p>
        </w:tc>
        <w:tc>
          <w:tcPr>
            <w:tcW w:w="340" w:type="dxa"/>
            <w:vAlign w:val="bottom"/>
            <w:gridSpan w:val="3"/>
            <w:vMerge w:val="restart"/>
          </w:tcPr>
          <w:p>
            <w:pPr>
              <w:ind w:left="20"/>
              <w:spacing w:after="0" w:line="230" w:lineRule="exact"/>
              <w:rPr>
                <w:sz w:val="20"/>
                <w:szCs w:val="20"/>
                <w:color w:val="auto"/>
              </w:rPr>
            </w:pPr>
            <w:r>
              <w:rPr>
                <w:rFonts w:ascii="Times New Roman" w:cs="Times New Roman" w:eastAsia="Times New Roman" w:hAnsi="Times New Roman"/>
                <w:sz w:val="22"/>
                <w:szCs w:val="22"/>
                <w:color w:val="FF0000"/>
                <w:strike w:val="1"/>
                <w:w w:val="90"/>
              </w:rPr>
              <w:t>112</w:t>
            </w:r>
          </w:p>
        </w:tc>
        <w:tc>
          <w:tcPr>
            <w:tcW w:w="20" w:type="dxa"/>
            <w:vAlign w:val="bottom"/>
            <w:vMerge w:val="restart"/>
          </w:tcPr>
          <w:p>
            <w:pPr>
              <w:spacing w:after="0"/>
              <w:rPr>
                <w:sz w:val="3"/>
                <w:szCs w:val="3"/>
                <w:color w:val="auto"/>
              </w:rPr>
            </w:pPr>
          </w:p>
        </w:tc>
        <w:tc>
          <w:tcPr>
            <w:tcW w:w="4000" w:type="dxa"/>
            <w:vAlign w:val="bottom"/>
            <w:gridSpan w:val="55"/>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240" w:type="dxa"/>
            <w:vAlign w:val="bottom"/>
            <w:gridSpan w:val="7"/>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80" w:type="dxa"/>
            <w:vAlign w:val="bottom"/>
            <w:tcBorders>
              <w:bottom w:val="single" w:sz="8" w:color="0000FF"/>
              <w:right w:val="single" w:sz="8" w:color="DDDDDD"/>
            </w:tcBorders>
            <w:gridSpan w:val="5"/>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9"/>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gridSpan w:val="13"/>
          </w:tcPr>
          <w:p>
            <w:pPr>
              <w:spacing w:after="0" w:line="20" w:lineRule="exact"/>
              <w:rPr>
                <w:sz w:val="1"/>
                <w:szCs w:val="1"/>
                <w:color w:val="auto"/>
              </w:rPr>
            </w:pPr>
          </w:p>
        </w:tc>
        <w:tc>
          <w:tcPr>
            <w:tcW w:w="240" w:type="dxa"/>
            <w:vAlign w:val="bottom"/>
            <w:tcBorders>
              <w:left w:val="single" w:sz="8" w:color="DDDDDD"/>
              <w:right w:val="single" w:sz="8" w:color="DDDDDD"/>
            </w:tcBorders>
            <w:gridSpan w:val="4"/>
            <w:shd w:val="clear" w:color="auto" w:fill="DDDDDD"/>
          </w:tcPr>
          <w:p>
            <w:pPr>
              <w:spacing w:after="0" w:line="20" w:lineRule="exact"/>
              <w:rPr>
                <w:sz w:val="1"/>
                <w:szCs w:val="1"/>
                <w:color w:val="auto"/>
              </w:rPr>
            </w:pPr>
          </w:p>
        </w:tc>
        <w:tc>
          <w:tcPr>
            <w:tcW w:w="1140" w:type="dxa"/>
            <w:vAlign w:val="bottom"/>
            <w:gridSpan w:val="27"/>
          </w:tcPr>
          <w:p>
            <w:pPr>
              <w:spacing w:after="0" w:line="20" w:lineRule="exact"/>
              <w:rPr>
                <w:sz w:val="1"/>
                <w:szCs w:val="1"/>
                <w:color w:val="auto"/>
              </w:rPr>
            </w:pPr>
          </w:p>
        </w:tc>
        <w:tc>
          <w:tcPr>
            <w:tcW w:w="320" w:type="dxa"/>
            <w:vAlign w:val="bottom"/>
            <w:gridSpan w:val="9"/>
            <w:vMerge w:val="continu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3.09</w:t>
            </w:r>
          </w:p>
        </w:tc>
        <w:tc>
          <w:tcPr>
            <w:tcW w:w="2940" w:type="dxa"/>
            <w:vAlign w:val="bottom"/>
            <w:gridSpan w:val="41"/>
            <w:vMerge w:val="restart"/>
          </w:tcPr>
          <w:p>
            <w:pPr>
              <w:ind w:left="100"/>
              <w:spacing w:after="0"/>
              <w:rPr>
                <w:sz w:val="20"/>
                <w:szCs w:val="20"/>
                <w:color w:val="auto"/>
              </w:rPr>
            </w:pPr>
            <w:r>
              <w:rPr>
                <w:rFonts w:ascii="Times New Roman" w:cs="Times New Roman" w:eastAsia="Times New Roman" w:hAnsi="Times New Roman"/>
                <w:sz w:val="20"/>
                <w:szCs w:val="20"/>
                <w:color w:val="auto"/>
              </w:rPr>
              <w:t>Litigation; Compliance with Laws</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gridSpan w:val="9"/>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10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2940" w:type="dxa"/>
            <w:vAlign w:val="bottom"/>
            <w:gridSpan w:val="41"/>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30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121</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3.10</w:t>
            </w:r>
          </w:p>
        </w:tc>
        <w:tc>
          <w:tcPr>
            <w:tcW w:w="124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Agreements</w:t>
            </w:r>
          </w:p>
        </w:tc>
        <w:tc>
          <w:tcPr>
            <w:tcW w:w="4360" w:type="dxa"/>
            <w:vAlign w:val="bottom"/>
            <w:gridSpan w:val="59"/>
          </w:tcPr>
          <w:p>
            <w:pPr>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38"/>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3.11</w:t>
            </w:r>
          </w:p>
        </w:tc>
        <w:tc>
          <w:tcPr>
            <w:tcW w:w="2560" w:type="dxa"/>
            <w:vAlign w:val="bottom"/>
            <w:gridSpan w:val="31"/>
          </w:tcPr>
          <w:p>
            <w:pPr>
              <w:ind w:left="100"/>
              <w:spacing w:after="0"/>
              <w:rPr>
                <w:sz w:val="20"/>
                <w:szCs w:val="20"/>
                <w:color w:val="auto"/>
              </w:rPr>
            </w:pPr>
            <w:r>
              <w:rPr>
                <w:rFonts w:ascii="Times New Roman" w:cs="Times New Roman" w:eastAsia="Times New Roman" w:hAnsi="Times New Roman"/>
                <w:sz w:val="20"/>
                <w:szCs w:val="20"/>
                <w:color w:val="auto"/>
              </w:rPr>
              <w:t>Federal Reserve Regulations</w:t>
            </w:r>
          </w:p>
        </w:tc>
        <w:tc>
          <w:tcPr>
            <w:tcW w:w="36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w w:val="93"/>
              </w:rPr>
              <w:t>122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3.12</w:t>
            </w:r>
          </w:p>
        </w:tc>
        <w:tc>
          <w:tcPr>
            <w:tcW w:w="2260" w:type="dxa"/>
            <w:vAlign w:val="bottom"/>
            <w:gridSpan w:val="25"/>
            <w:vMerge w:val="restart"/>
          </w:tcPr>
          <w:p>
            <w:pPr>
              <w:ind w:left="100"/>
              <w:spacing w:after="0"/>
              <w:rPr>
                <w:sz w:val="20"/>
                <w:szCs w:val="20"/>
                <w:color w:val="auto"/>
              </w:rPr>
            </w:pPr>
            <w:r>
              <w:rPr>
                <w:rFonts w:ascii="Times New Roman" w:cs="Times New Roman" w:eastAsia="Times New Roman" w:hAnsi="Times New Roman"/>
                <w:sz w:val="20"/>
                <w:szCs w:val="20"/>
                <w:color w:val="auto"/>
              </w:rPr>
              <w:t>Investment Company Act</w:t>
            </w:r>
          </w:p>
        </w:tc>
        <w:tc>
          <w:tcPr>
            <w:tcW w:w="80" w:type="dxa"/>
            <w:vAlign w:val="bottom"/>
          </w:tcPr>
          <w:p>
            <w:pPr>
              <w:spacing w:after="0"/>
              <w:rPr>
                <w:sz w:val="3"/>
                <w:szCs w:val="3"/>
                <w:color w:val="auto"/>
              </w:rPr>
            </w:pPr>
          </w:p>
        </w:tc>
        <w:tc>
          <w:tcPr>
            <w:tcW w:w="320" w:type="dxa"/>
            <w:vAlign w:val="bottom"/>
            <w:gridSpan w:val="8"/>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113</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980" w:type="dxa"/>
            <w:vAlign w:val="bottom"/>
            <w:vMerge w:val="continue"/>
          </w:tcPr>
          <w:p>
            <w:pPr>
              <w:spacing w:after="0"/>
              <w:rPr>
                <w:sz w:val="18"/>
                <w:szCs w:val="18"/>
                <w:color w:val="auto"/>
              </w:rPr>
            </w:pPr>
          </w:p>
        </w:tc>
        <w:tc>
          <w:tcPr>
            <w:tcW w:w="2260" w:type="dxa"/>
            <w:vAlign w:val="bottom"/>
            <w:gridSpan w:val="25"/>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8"/>
            <w:vMerge w:val="continue"/>
          </w:tcPr>
          <w:p>
            <w:pPr>
              <w:spacing w:after="0"/>
              <w:rPr>
                <w:sz w:val="18"/>
                <w:szCs w:val="18"/>
                <w:color w:val="auto"/>
              </w:rPr>
            </w:pPr>
          </w:p>
        </w:tc>
        <w:tc>
          <w:tcPr>
            <w:tcW w:w="300" w:type="dxa"/>
            <w:vAlign w:val="bottom"/>
            <w:gridSpan w:val="8"/>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3.13</w:t>
            </w:r>
          </w:p>
        </w:tc>
        <w:tc>
          <w:tcPr>
            <w:tcW w:w="1380" w:type="dxa"/>
            <w:vAlign w:val="bottom"/>
            <w:gridSpan w:val="9"/>
            <w:vMerge w:val="restart"/>
          </w:tcPr>
          <w:p>
            <w:pPr>
              <w:ind w:left="100"/>
              <w:spacing w:after="0"/>
              <w:rPr>
                <w:sz w:val="20"/>
                <w:szCs w:val="20"/>
                <w:color w:val="auto"/>
              </w:rPr>
            </w:pPr>
            <w:r>
              <w:rPr>
                <w:rFonts w:ascii="Times New Roman" w:cs="Times New Roman" w:eastAsia="Times New Roman" w:hAnsi="Times New Roman"/>
                <w:sz w:val="20"/>
                <w:szCs w:val="20"/>
                <w:color w:val="auto"/>
                <w:w w:val="95"/>
              </w:rPr>
              <w:t>Use of Proceeds</w:t>
            </w:r>
          </w:p>
        </w:tc>
        <w:tc>
          <w:tcPr>
            <w:tcW w:w="200" w:type="dxa"/>
            <w:vAlign w:val="bottom"/>
          </w:tcPr>
          <w:p>
            <w:pPr>
              <w:spacing w:after="0"/>
              <w:rPr>
                <w:sz w:val="3"/>
                <w:szCs w:val="3"/>
                <w:color w:val="auto"/>
              </w:rPr>
            </w:pPr>
          </w:p>
        </w:tc>
        <w:tc>
          <w:tcPr>
            <w:tcW w:w="320" w:type="dxa"/>
            <w:vAlign w:val="bottom"/>
            <w:gridSpan w:val="7"/>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113</w:t>
            </w:r>
          </w:p>
        </w:tc>
        <w:tc>
          <w:tcPr>
            <w:tcW w:w="14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80" w:type="dxa"/>
            <w:vAlign w:val="bottom"/>
            <w:vMerge w:val="continue"/>
          </w:tcPr>
          <w:p>
            <w:pPr>
              <w:spacing w:after="0"/>
              <w:rPr>
                <w:sz w:val="18"/>
                <w:szCs w:val="18"/>
                <w:color w:val="auto"/>
              </w:rPr>
            </w:pPr>
          </w:p>
        </w:tc>
        <w:tc>
          <w:tcPr>
            <w:tcW w:w="1380" w:type="dxa"/>
            <w:vAlign w:val="bottom"/>
            <w:gridSpan w:val="9"/>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7"/>
            <w:vMerge w:val="continue"/>
          </w:tcPr>
          <w:p>
            <w:pPr>
              <w:spacing w:after="0"/>
              <w:rPr>
                <w:sz w:val="18"/>
                <w:szCs w:val="18"/>
                <w:color w:val="auto"/>
              </w:rPr>
            </w:pPr>
          </w:p>
        </w:tc>
        <w:tc>
          <w:tcPr>
            <w:tcW w:w="30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122</w:t>
            </w:r>
          </w:p>
        </w:tc>
        <w:tc>
          <w:tcPr>
            <w:tcW w:w="20" w:type="dxa"/>
            <w:vAlign w:val="bottom"/>
            <w:tcBorders>
              <w:bottom w:val="single" w:sz="8" w:color="0000FF"/>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3.14</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Tax</w:t>
            </w:r>
          </w:p>
        </w:tc>
        <w:tc>
          <w:tcPr>
            <w:tcW w:w="300" w:type="dxa"/>
            <w:vAlign w:val="bottom"/>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84"/>
              </w:rPr>
              <w:t>113</w:t>
            </w:r>
          </w:p>
        </w:tc>
        <w:tc>
          <w:tcPr>
            <w:tcW w:w="300" w:type="dxa"/>
            <w:vAlign w:val="bottom"/>
            <w:gridSpan w:val="3"/>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60" w:type="dxa"/>
            <w:vAlign w:val="bottom"/>
            <w:gridSpan w:val="10"/>
          </w:tcPr>
          <w:p>
            <w:pPr>
              <w:spacing w:after="0"/>
              <w:rPr>
                <w:sz w:val="3"/>
                <w:szCs w:val="3"/>
                <w:color w:val="auto"/>
              </w:rPr>
            </w:pPr>
          </w:p>
        </w:tc>
        <w:tc>
          <w:tcPr>
            <w:tcW w:w="300" w:type="dxa"/>
            <w:vAlign w:val="bottom"/>
            <w:tcBorders>
              <w:top w:val="single" w:sz="8" w:color="DDDDDD"/>
            </w:tcBorders>
            <w:gridSpan w:val="6"/>
          </w:tcPr>
          <w:p>
            <w:pPr>
              <w:spacing w:after="0"/>
              <w:rPr>
                <w:sz w:val="3"/>
                <w:szCs w:val="3"/>
                <w:color w:val="auto"/>
              </w:rPr>
            </w:pPr>
          </w:p>
        </w:tc>
        <w:tc>
          <w:tcPr>
            <w:tcW w:w="3400" w:type="dxa"/>
            <w:vAlign w:val="bottom"/>
            <w:gridSpan w:val="43"/>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122</w:t>
            </w:r>
          </w:p>
        </w:tc>
        <w:tc>
          <w:tcPr>
            <w:tcW w:w="20" w:type="dxa"/>
            <w:vAlign w:val="bottom"/>
            <w:tcBorders>
              <w:bottom w:val="single" w:sz="8" w:color="0000FF"/>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22"/>
          </w:tcPr>
          <w:p>
            <w:pPr>
              <w:spacing w:after="0"/>
              <w:rPr>
                <w:sz w:val="16"/>
                <w:szCs w:val="16"/>
                <w:color w:val="auto"/>
              </w:rPr>
            </w:pPr>
          </w:p>
        </w:tc>
        <w:tc>
          <w:tcPr>
            <w:tcW w:w="320" w:type="dxa"/>
            <w:vAlign w:val="bottom"/>
            <w:gridSpan w:val="8"/>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113</w:t>
            </w:r>
          </w:p>
        </w:tc>
        <w:tc>
          <w:tcPr>
            <w:tcW w:w="284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gridSpan w:val="26"/>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8"/>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3.15</w:t>
            </w:r>
          </w:p>
        </w:tc>
        <w:tc>
          <w:tcPr>
            <w:tcW w:w="2260" w:type="dxa"/>
            <w:vAlign w:val="bottom"/>
            <w:gridSpan w:val="25"/>
            <w:vMerge w:val="restart"/>
          </w:tcPr>
          <w:p>
            <w:pPr>
              <w:ind w:left="100"/>
              <w:spacing w:after="0" w:line="216" w:lineRule="exact"/>
              <w:rPr>
                <w:sz w:val="20"/>
                <w:szCs w:val="20"/>
                <w:color w:val="auto"/>
              </w:rPr>
            </w:pPr>
            <w:r>
              <w:rPr>
                <w:rFonts w:ascii="Times New Roman" w:cs="Times New Roman" w:eastAsia="Times New Roman" w:hAnsi="Times New Roman"/>
                <w:sz w:val="20"/>
                <w:szCs w:val="20"/>
                <w:color w:val="auto"/>
                <w:w w:val="97"/>
              </w:rPr>
              <w:t>No Material Misstatements</w:t>
            </w:r>
          </w:p>
        </w:tc>
        <w:tc>
          <w:tcPr>
            <w:tcW w:w="10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2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2260" w:type="dxa"/>
            <w:vAlign w:val="bottom"/>
            <w:gridSpan w:val="25"/>
            <w:vMerge w:val="continue"/>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8"/>
            <w:vMerge w:val="continue"/>
          </w:tcPr>
          <w:p>
            <w:pPr>
              <w:spacing w:after="0"/>
              <w:rPr>
                <w:sz w:val="17"/>
                <w:szCs w:val="17"/>
                <w:color w:val="auto"/>
              </w:rPr>
            </w:pPr>
          </w:p>
        </w:tc>
        <w:tc>
          <w:tcPr>
            <w:tcW w:w="300" w:type="dxa"/>
            <w:vAlign w:val="bottom"/>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123</w:t>
            </w:r>
          </w:p>
        </w:tc>
        <w:tc>
          <w:tcPr>
            <w:tcW w:w="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3.16</w:t>
            </w:r>
          </w:p>
        </w:tc>
        <w:tc>
          <w:tcPr>
            <w:tcW w:w="202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auto"/>
                <w:w w:val="98"/>
              </w:rPr>
              <w:t>Employee Benefit Plans</w:t>
            </w:r>
          </w:p>
        </w:tc>
        <w:tc>
          <w:tcPr>
            <w:tcW w:w="500" w:type="dxa"/>
            <w:vAlign w:val="bottom"/>
            <w:gridSpan w:val="11"/>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3.17</w:t>
            </w:r>
          </w:p>
        </w:tc>
        <w:tc>
          <w:tcPr>
            <w:tcW w:w="2020" w:type="dxa"/>
            <w:vAlign w:val="bottom"/>
            <w:gridSpan w:val="19"/>
            <w:vMerge w:val="restart"/>
          </w:tcPr>
          <w:p>
            <w:pPr>
              <w:ind w:left="100"/>
              <w:spacing w:after="0"/>
              <w:rPr>
                <w:sz w:val="20"/>
                <w:szCs w:val="20"/>
                <w:color w:val="auto"/>
              </w:rPr>
            </w:pPr>
            <w:r>
              <w:rPr>
                <w:rFonts w:ascii="Times New Roman" w:cs="Times New Roman" w:eastAsia="Times New Roman" w:hAnsi="Times New Roman"/>
                <w:sz w:val="20"/>
                <w:szCs w:val="20"/>
                <w:color w:val="auto"/>
              </w:rPr>
              <w:t>Environmental Matters</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7"/>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84"/>
              </w:rPr>
              <w:t>115</w:t>
            </w:r>
          </w:p>
        </w:tc>
        <w:tc>
          <w:tcPr>
            <w:tcW w:w="80" w:type="dxa"/>
            <w:vAlign w:val="bottom"/>
          </w:tcPr>
          <w:p>
            <w:pPr>
              <w:spacing w:after="0"/>
              <w:rPr>
                <w:sz w:val="3"/>
                <w:szCs w:val="3"/>
                <w:color w:val="auto"/>
              </w:rPr>
            </w:pPr>
          </w:p>
        </w:tc>
        <w:tc>
          <w:tcPr>
            <w:tcW w:w="1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2020" w:type="dxa"/>
            <w:vAlign w:val="bottom"/>
            <w:gridSpan w:val="19"/>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30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124</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3.18</w:t>
            </w:r>
          </w:p>
        </w:tc>
        <w:tc>
          <w:tcPr>
            <w:tcW w:w="1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40" w:type="dxa"/>
            <w:vAlign w:val="bottom"/>
          </w:tcPr>
          <w:p>
            <w:pPr>
              <w:spacing w:after="0"/>
              <w:rPr>
                <w:sz w:val="4"/>
                <w:szCs w:val="4"/>
                <w:color w:val="auto"/>
              </w:rPr>
            </w:pPr>
          </w:p>
        </w:tc>
        <w:tc>
          <w:tcPr>
            <w:tcW w:w="300" w:type="dxa"/>
            <w:vAlign w:val="bottom"/>
            <w:gridSpan w:val="5"/>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84"/>
              </w:rPr>
              <w:t>115</w:t>
            </w:r>
          </w:p>
        </w:tc>
        <w:tc>
          <w:tcPr>
            <w:tcW w:w="4220" w:type="dxa"/>
            <w:vAlign w:val="bottom"/>
            <w:gridSpan w:val="57"/>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5"/>
            <w:vMerge w:val="continue"/>
          </w:tcPr>
          <w:p>
            <w:pPr>
              <w:spacing w:after="0"/>
              <w:rPr>
                <w:sz w:val="16"/>
                <w:szCs w:val="16"/>
                <w:color w:val="auto"/>
              </w:rPr>
            </w:pPr>
          </w:p>
        </w:tc>
        <w:tc>
          <w:tcPr>
            <w:tcW w:w="300" w:type="dxa"/>
            <w:vAlign w:val="bottom"/>
            <w:tcBorders>
              <w:left w:val="single" w:sz="8" w:color="DDDDDD"/>
            </w:tcBorders>
            <w:gridSpan w:val="4"/>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gridSpan w:val="9"/>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left w:val="single" w:sz="8" w:color="DDDDDD"/>
            </w:tcBorders>
            <w:gridSpan w:val="3"/>
            <w:shd w:val="clear" w:color="auto" w:fill="DDDDDD"/>
          </w:tcPr>
          <w:p>
            <w:pPr>
              <w:spacing w:after="0" w:line="20" w:lineRule="exact"/>
              <w:rPr>
                <w:sz w:val="1"/>
                <w:szCs w:val="1"/>
                <w:color w:val="auto"/>
              </w:rPr>
            </w:pPr>
          </w:p>
        </w:tc>
        <w:tc>
          <w:tcPr>
            <w:tcW w:w="40" w:type="dxa"/>
            <w:vAlign w:val="bottom"/>
            <w:tcBorders>
              <w:top w:val="single" w:sz="8" w:color="0000FF"/>
              <w:left w:val="single" w:sz="8" w:color="DDDDDD"/>
            </w:tcBorders>
            <w:shd w:val="clear" w:color="auto" w:fill="DDDDDD"/>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7"/>
            <w:vMerge w:val="continue"/>
          </w:tcPr>
          <w:p>
            <w:pPr>
              <w:spacing w:after="0" w:line="20" w:lineRule="exact"/>
              <w:rPr>
                <w:sz w:val="1"/>
                <w:szCs w:val="1"/>
                <w:color w:val="auto"/>
              </w:rPr>
            </w:pPr>
          </w:p>
        </w:tc>
        <w:tc>
          <w:tcPr>
            <w:tcW w:w="3380" w:type="dxa"/>
            <w:vAlign w:val="bottom"/>
            <w:gridSpan w:val="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3.19</w:t>
            </w:r>
          </w:p>
        </w:tc>
        <w:tc>
          <w:tcPr>
            <w:tcW w:w="1880" w:type="dxa"/>
            <w:vAlign w:val="bottom"/>
            <w:gridSpan w:val="16"/>
            <w:vMerge w:val="restart"/>
          </w:tcPr>
          <w:p>
            <w:pPr>
              <w:ind w:left="100"/>
              <w:spacing w:after="0"/>
              <w:rPr>
                <w:sz w:val="20"/>
                <w:szCs w:val="20"/>
                <w:color w:val="auto"/>
              </w:rPr>
            </w:pPr>
            <w:r>
              <w:rPr>
                <w:rFonts w:ascii="Times New Roman" w:cs="Times New Roman" w:eastAsia="Times New Roman" w:hAnsi="Times New Roman"/>
                <w:sz w:val="20"/>
                <w:szCs w:val="20"/>
                <w:color w:val="auto"/>
              </w:rPr>
              <w:t>Security Documents</w:t>
            </w:r>
          </w:p>
        </w:tc>
        <w:tc>
          <w:tcPr>
            <w:tcW w:w="20" w:type="dxa"/>
            <w:vAlign w:val="bottom"/>
          </w:tcPr>
          <w:p>
            <w:pPr>
              <w:spacing w:after="0"/>
              <w:rPr>
                <w:sz w:val="3"/>
                <w:szCs w:val="3"/>
                <w:color w:val="auto"/>
              </w:rPr>
            </w:pPr>
          </w:p>
        </w:tc>
        <w:tc>
          <w:tcPr>
            <w:tcW w:w="320" w:type="dxa"/>
            <w:vAlign w:val="bottom"/>
            <w:gridSpan w:val="7"/>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80" w:type="dxa"/>
            <w:vAlign w:val="bottom"/>
            <w:vMerge w:val="continue"/>
          </w:tcPr>
          <w:p>
            <w:pPr>
              <w:spacing w:after="0"/>
              <w:rPr>
                <w:sz w:val="18"/>
                <w:szCs w:val="18"/>
                <w:color w:val="auto"/>
              </w:rPr>
            </w:pPr>
          </w:p>
        </w:tc>
        <w:tc>
          <w:tcPr>
            <w:tcW w:w="1880" w:type="dxa"/>
            <w:vAlign w:val="bottom"/>
            <w:gridSpan w:val="16"/>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7"/>
            <w:vMerge w:val="continue"/>
          </w:tcPr>
          <w:p>
            <w:pPr>
              <w:spacing w:after="0"/>
              <w:rPr>
                <w:sz w:val="18"/>
                <w:szCs w:val="18"/>
                <w:color w:val="auto"/>
              </w:rPr>
            </w:pPr>
          </w:p>
        </w:tc>
        <w:tc>
          <w:tcPr>
            <w:tcW w:w="30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125</w:t>
            </w:r>
          </w:p>
        </w:tc>
        <w:tc>
          <w:tcPr>
            <w:tcW w:w="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3.20</w:t>
            </w:r>
          </w:p>
        </w:tc>
        <w:tc>
          <w:tcPr>
            <w:tcW w:w="1880" w:type="dxa"/>
            <w:vAlign w:val="bottom"/>
            <w:gridSpan w:val="16"/>
            <w:vMerge w:val="restart"/>
          </w:tcPr>
          <w:p>
            <w:pPr>
              <w:ind w:left="100"/>
              <w:spacing w:after="0" w:line="216" w:lineRule="exact"/>
              <w:rPr>
                <w:sz w:val="20"/>
                <w:szCs w:val="20"/>
                <w:color w:val="auto"/>
              </w:rPr>
            </w:pPr>
            <w:r>
              <w:rPr>
                <w:rFonts w:ascii="Times New Roman" w:cs="Times New Roman" w:eastAsia="Times New Roman" w:hAnsi="Times New Roman"/>
                <w:sz w:val="20"/>
                <w:szCs w:val="20"/>
                <w:color w:val="auto"/>
              </w:rPr>
              <w:t>Intellectual Property</w:t>
            </w:r>
          </w:p>
        </w:tc>
        <w:tc>
          <w:tcPr>
            <w:tcW w:w="20" w:type="dxa"/>
            <w:vAlign w:val="bottom"/>
          </w:tcPr>
          <w:p>
            <w:pPr>
              <w:spacing w:after="0"/>
              <w:rPr>
                <w:sz w:val="2"/>
                <w:szCs w:val="2"/>
                <w:color w:val="auto"/>
              </w:rPr>
            </w:pPr>
          </w:p>
        </w:tc>
        <w:tc>
          <w:tcPr>
            <w:tcW w:w="320" w:type="dxa"/>
            <w:vAlign w:val="bottom"/>
            <w:gridSpan w:val="7"/>
            <w:vMerge w:val="restart"/>
          </w:tcPr>
          <w:p>
            <w:pPr>
              <w:jc w:val="right"/>
              <w:spacing w:after="0" w:line="217" w:lineRule="exact"/>
              <w:rPr>
                <w:sz w:val="20"/>
                <w:szCs w:val="20"/>
                <w:color w:val="auto"/>
              </w:rPr>
            </w:pPr>
            <w:r>
              <w:rPr>
                <w:rFonts w:ascii="Times New Roman" w:cs="Times New Roman" w:eastAsia="Times New Roman" w:hAnsi="Times New Roman"/>
                <w:sz w:val="22"/>
                <w:szCs w:val="22"/>
                <w:color w:val="FF0000"/>
                <w:strike w:val="1"/>
                <w:w w:val="90"/>
              </w:rPr>
              <w:t>116</w:t>
            </w:r>
          </w:p>
        </w:tc>
        <w:tc>
          <w:tcPr>
            <w:tcW w:w="40" w:type="dxa"/>
            <w:vAlign w:val="bottom"/>
            <w:tcBorders>
              <w:top w:val="single" w:sz="8" w:color="DDDDDD"/>
            </w:tcBorders>
          </w:tcPr>
          <w:p>
            <w:pPr>
              <w:spacing w:after="0"/>
              <w:rPr>
                <w:sz w:val="2"/>
                <w:szCs w:val="2"/>
                <w:color w:val="auto"/>
              </w:rPr>
            </w:pPr>
          </w:p>
        </w:tc>
        <w:tc>
          <w:tcPr>
            <w:tcW w:w="100" w:type="dxa"/>
            <w:vAlign w:val="bottom"/>
            <w:tcBorders>
              <w:top w:val="single" w:sz="8" w:color="DDDDDD"/>
            </w:tcBorders>
            <w:gridSpan w:val="2"/>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140" w:type="dxa"/>
            <w:vAlign w:val="bottom"/>
            <w:tcBorders>
              <w:top w:val="single" w:sz="8" w:color="DDDDDD"/>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880" w:type="dxa"/>
            <w:vAlign w:val="bottom"/>
            <w:gridSpan w:val="16"/>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40" w:type="dxa"/>
            <w:vAlign w:val="bottom"/>
            <w:tcBorders>
              <w:bottom w:val="single" w:sz="8" w:color="0000FF"/>
              <w:right w:val="single" w:sz="8" w:color="DDDDDD"/>
            </w:tcBorders>
          </w:tcPr>
          <w:p>
            <w:pPr>
              <w:spacing w:after="0"/>
              <w:rPr>
                <w:sz w:val="17"/>
                <w:szCs w:val="17"/>
                <w:color w:val="auto"/>
              </w:rPr>
            </w:pPr>
          </w:p>
        </w:tc>
        <w:tc>
          <w:tcPr>
            <w:tcW w:w="260" w:type="dxa"/>
            <w:vAlign w:val="bottom"/>
            <w:tcBorders>
              <w:left w:val="single" w:sz="8" w:color="DDDDDD"/>
              <w:bottom w:val="single" w:sz="8" w:color="0000FF"/>
            </w:tcBorders>
            <w:gridSpan w:val="5"/>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125</w:t>
            </w:r>
          </w:p>
        </w:tc>
        <w:tc>
          <w:tcPr>
            <w:tcW w:w="40" w:type="dxa"/>
            <w:vAlign w:val="bottom"/>
            <w:tcBorders>
              <w:left w:val="single" w:sz="8" w:color="DDDDDD"/>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3.21</w:t>
            </w:r>
          </w:p>
        </w:tc>
        <w:tc>
          <w:tcPr>
            <w:tcW w:w="1240" w:type="dxa"/>
            <w:vAlign w:val="bottom"/>
            <w:gridSpan w:val="7"/>
            <w:vMerge w:val="restart"/>
          </w:tcPr>
          <w:p>
            <w:pPr>
              <w:ind w:left="100"/>
              <w:spacing w:after="0"/>
              <w:rPr>
                <w:sz w:val="20"/>
                <w:szCs w:val="20"/>
                <w:color w:val="auto"/>
              </w:rPr>
            </w:pPr>
            <w:r>
              <w:rPr>
                <w:rFonts w:ascii="Times New Roman" w:cs="Times New Roman" w:eastAsia="Times New Roman" w:hAnsi="Times New Roman"/>
                <w:sz w:val="20"/>
                <w:szCs w:val="20"/>
                <w:color w:val="auto"/>
                <w:w w:val="98"/>
              </w:rPr>
              <w:t>Labor Matters</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gridSpan w:val="6"/>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FF0000"/>
                <w:strike w:val="1"/>
                <w:w w:val="90"/>
              </w:rPr>
              <w:t>116</w:t>
            </w:r>
          </w:p>
        </w:tc>
        <w:tc>
          <w:tcPr>
            <w:tcW w:w="300" w:type="dxa"/>
            <w:vAlign w:val="bottom"/>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980" w:type="dxa"/>
            <w:vAlign w:val="bottom"/>
            <w:vMerge w:val="continue"/>
          </w:tcPr>
          <w:p>
            <w:pPr>
              <w:spacing w:after="0"/>
              <w:rPr>
                <w:sz w:val="18"/>
                <w:szCs w:val="18"/>
                <w:color w:val="auto"/>
              </w:rPr>
            </w:pPr>
          </w:p>
        </w:tc>
        <w:tc>
          <w:tcPr>
            <w:tcW w:w="1240" w:type="dxa"/>
            <w:vAlign w:val="bottom"/>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6"/>
            <w:vMerge w:val="continue"/>
          </w:tcPr>
          <w:p>
            <w:pPr>
              <w:spacing w:after="0"/>
              <w:rPr>
                <w:sz w:val="18"/>
                <w:szCs w:val="18"/>
                <w:color w:val="auto"/>
              </w:rPr>
            </w:pPr>
          </w:p>
        </w:tc>
        <w:tc>
          <w:tcPr>
            <w:tcW w:w="30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126</w:t>
            </w:r>
          </w:p>
        </w:tc>
        <w:tc>
          <w:tcPr>
            <w:tcW w:w="20" w:type="dxa"/>
            <w:vAlign w:val="bottom"/>
            <w:tcBorders>
              <w:bottom w:val="single" w:sz="8" w:color="0000FF"/>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3.22</w:t>
            </w:r>
          </w:p>
        </w:tc>
        <w:tc>
          <w:tcPr>
            <w:tcW w:w="1040" w:type="dxa"/>
            <w:vAlign w:val="bottom"/>
            <w:gridSpan w:val="3"/>
            <w:vMerge w:val="restart"/>
          </w:tcPr>
          <w:p>
            <w:pPr>
              <w:ind w:left="100"/>
              <w:spacing w:after="0" w:line="216" w:lineRule="exact"/>
              <w:rPr>
                <w:sz w:val="20"/>
                <w:szCs w:val="20"/>
                <w:color w:val="auto"/>
              </w:rPr>
            </w:pPr>
            <w:r>
              <w:rPr>
                <w:rFonts w:ascii="Times New Roman" w:cs="Times New Roman" w:eastAsia="Times New Roman" w:hAnsi="Times New Roman"/>
                <w:sz w:val="20"/>
                <w:szCs w:val="20"/>
                <w:color w:val="auto"/>
              </w:rPr>
              <w:t>Solvency</w:t>
            </w:r>
          </w:p>
        </w:tc>
        <w:tc>
          <w:tcPr>
            <w:tcW w:w="300" w:type="dxa"/>
            <w:vAlign w:val="bottom"/>
            <w:gridSpan w:val="5"/>
            <w:vMerge w:val="restart"/>
          </w:tcPr>
          <w:p>
            <w:pPr>
              <w:jc w:val="right"/>
              <w:spacing w:after="0" w:line="217" w:lineRule="exact"/>
              <w:rPr>
                <w:sz w:val="20"/>
                <w:szCs w:val="20"/>
                <w:color w:val="auto"/>
              </w:rPr>
            </w:pPr>
            <w:r>
              <w:rPr>
                <w:rFonts w:ascii="Times New Roman" w:cs="Times New Roman" w:eastAsia="Times New Roman" w:hAnsi="Times New Roman"/>
                <w:sz w:val="22"/>
                <w:szCs w:val="22"/>
                <w:color w:val="FF0000"/>
                <w:strike w:val="1"/>
                <w:w w:val="84"/>
              </w:rPr>
              <w:t>116</w:t>
            </w:r>
          </w:p>
        </w:tc>
        <w:tc>
          <w:tcPr>
            <w:tcW w:w="300" w:type="dxa"/>
            <w:vAlign w:val="bottom"/>
            <w:gridSpan w:val="4"/>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gridSpan w:val="2"/>
          </w:tcPr>
          <w:p>
            <w:pPr>
              <w:spacing w:after="0"/>
              <w:rPr>
                <w:sz w:val="2"/>
                <w:szCs w:val="2"/>
                <w:color w:val="auto"/>
              </w:rPr>
            </w:pPr>
          </w:p>
        </w:tc>
        <w:tc>
          <w:tcPr>
            <w:tcW w:w="300" w:type="dxa"/>
            <w:vAlign w:val="bottom"/>
            <w:tcBorders>
              <w:top w:val="single" w:sz="8" w:color="DDDDDD"/>
            </w:tcBorders>
            <w:gridSpan w:val="5"/>
          </w:tcPr>
          <w:p>
            <w:pPr>
              <w:spacing w:after="0"/>
              <w:rPr>
                <w:sz w:val="2"/>
                <w:szCs w:val="2"/>
                <w:color w:val="auto"/>
              </w:rPr>
            </w:pPr>
          </w:p>
        </w:tc>
        <w:tc>
          <w:tcPr>
            <w:tcW w:w="3560" w:type="dxa"/>
            <w:vAlign w:val="bottom"/>
            <w:gridSpan w:val="4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300" w:type="dxa"/>
            <w:vAlign w:val="bottom"/>
            <w:gridSpan w:val="5"/>
            <w:vMerge w:val="continue"/>
          </w:tcPr>
          <w:p>
            <w:pPr>
              <w:spacing w:after="0"/>
              <w:rPr>
                <w:sz w:val="16"/>
                <w:szCs w:val="16"/>
                <w:color w:val="auto"/>
              </w:rPr>
            </w:pPr>
          </w:p>
        </w:tc>
        <w:tc>
          <w:tcPr>
            <w:tcW w:w="300" w:type="dxa"/>
            <w:vAlign w:val="bottom"/>
            <w:tcBorders>
              <w:left w:val="single" w:sz="8" w:color="DDDDDD"/>
            </w:tcBorders>
            <w:gridSpan w:val="4"/>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126</w:t>
            </w:r>
          </w:p>
        </w:tc>
        <w:tc>
          <w:tcPr>
            <w:tcW w:w="40" w:type="dxa"/>
            <w:vAlign w:val="bottom"/>
            <w:vMerge w:val="continue"/>
          </w:tcPr>
          <w:p>
            <w:pPr>
              <w:spacing w:after="0"/>
              <w:rPr>
                <w:sz w:val="16"/>
                <w:szCs w:val="16"/>
                <w:color w:val="auto"/>
              </w:rPr>
            </w:pPr>
          </w:p>
        </w:tc>
        <w:tc>
          <w:tcPr>
            <w:tcW w:w="3920" w:type="dxa"/>
            <w:vAlign w:val="bottom"/>
            <w:gridSpan w:val="53"/>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3.23</w:t>
            </w:r>
          </w:p>
        </w:tc>
        <w:tc>
          <w:tcPr>
            <w:tcW w:w="1340" w:type="dxa"/>
            <w:vAlign w:val="bottom"/>
            <w:gridSpan w:val="8"/>
          </w:tcPr>
          <w:p>
            <w:pPr>
              <w:spacing w:after="0"/>
              <w:rPr>
                <w:sz w:val="2"/>
                <w:szCs w:val="2"/>
                <w:color w:val="auto"/>
              </w:rPr>
            </w:pPr>
          </w:p>
        </w:tc>
        <w:tc>
          <w:tcPr>
            <w:tcW w:w="40" w:type="dxa"/>
            <w:vAlign w:val="bottom"/>
            <w:tcBorders>
              <w:left w:val="single" w:sz="8" w:color="DDDDDD"/>
            </w:tcBorders>
            <w:shd w:val="clear" w:color="auto" w:fill="0000FF"/>
          </w:tcPr>
          <w:p>
            <w:pPr>
              <w:spacing w:after="0"/>
              <w:rPr>
                <w:sz w:val="2"/>
                <w:szCs w:val="2"/>
                <w:color w:val="auto"/>
              </w:rPr>
            </w:pPr>
          </w:p>
        </w:tc>
        <w:tc>
          <w:tcPr>
            <w:tcW w:w="260" w:type="dxa"/>
            <w:vAlign w:val="bottom"/>
            <w:tcBorders>
              <w:left w:val="single" w:sz="8" w:color="0000FF"/>
            </w:tcBorders>
            <w:gridSpan w:val="3"/>
            <w:shd w:val="clear" w:color="auto" w:fill="0000FF"/>
          </w:tcPr>
          <w:p>
            <w:pPr>
              <w:spacing w:after="0"/>
              <w:rPr>
                <w:sz w:val="2"/>
                <w:szCs w:val="2"/>
                <w:color w:val="auto"/>
              </w:rPr>
            </w:pPr>
          </w:p>
        </w:tc>
        <w:tc>
          <w:tcPr>
            <w:tcW w:w="380" w:type="dxa"/>
            <w:vAlign w:val="bottom"/>
            <w:tcBorders>
              <w:left w:val="single" w:sz="8" w:color="0000FF"/>
            </w:tcBorders>
            <w:gridSpan w:val="7"/>
          </w:tcPr>
          <w:p>
            <w:pPr>
              <w:spacing w:after="0"/>
              <w:rPr>
                <w:sz w:val="2"/>
                <w:szCs w:val="2"/>
                <w:color w:val="auto"/>
              </w:rPr>
            </w:pPr>
          </w:p>
        </w:tc>
        <w:tc>
          <w:tcPr>
            <w:tcW w:w="340" w:type="dxa"/>
            <w:vAlign w:val="bottom"/>
            <w:gridSpan w:val="8"/>
            <w:vMerge w:val="restart"/>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3240" w:type="dxa"/>
            <w:vAlign w:val="bottom"/>
            <w:gridSpan w:val="3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1980" w:type="dxa"/>
            <w:vAlign w:val="bottom"/>
            <w:vMerge w:val="continue"/>
          </w:tcPr>
          <w:p>
            <w:pPr>
              <w:spacing w:after="0"/>
              <w:rPr>
                <w:sz w:val="21"/>
                <w:szCs w:val="21"/>
                <w:color w:val="auto"/>
              </w:rPr>
            </w:pPr>
          </w:p>
        </w:tc>
        <w:tc>
          <w:tcPr>
            <w:tcW w:w="18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w w:val="97"/>
              </w:rPr>
              <w:t>Anti-Corruption Laws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8"/>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3.24</w:t>
            </w:r>
          </w:p>
        </w:tc>
        <w:tc>
          <w:tcPr>
            <w:tcW w:w="2560" w:type="dxa"/>
            <w:vAlign w:val="bottom"/>
            <w:gridSpan w:val="31"/>
          </w:tcPr>
          <w:p>
            <w:pPr>
              <w:ind w:left="100"/>
              <w:spacing w:after="0"/>
              <w:rPr>
                <w:sz w:val="20"/>
                <w:szCs w:val="20"/>
                <w:color w:val="auto"/>
              </w:rPr>
            </w:pPr>
            <w:r>
              <w:rPr>
                <w:rFonts w:ascii="Times New Roman" w:cs="Times New Roman" w:eastAsia="Times New Roman" w:hAnsi="Times New Roman"/>
                <w:sz w:val="20"/>
                <w:szCs w:val="20"/>
                <w:color w:val="auto"/>
                <w:w w:val="99"/>
              </w:rPr>
              <w:t>Anti-Money Laundering Laws</w:t>
            </w:r>
          </w:p>
        </w:tc>
        <w:tc>
          <w:tcPr>
            <w:tcW w:w="46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820" w:type="dxa"/>
            <w:vAlign w:val="bottom"/>
            <w:gridSpan w:val="63"/>
          </w:tcPr>
          <w:p>
            <w:pPr>
              <w:ind w:left="660"/>
              <w:spacing w:after="0"/>
              <w:rPr>
                <w:sz w:val="20"/>
                <w:szCs w:val="20"/>
                <w:color w:val="auto"/>
              </w:rPr>
            </w:pPr>
            <w:r>
              <w:rPr>
                <w:rFonts w:ascii="Times New Roman" w:cs="Times New Roman" w:eastAsia="Times New Roman" w:hAnsi="Times New Roman"/>
                <w:sz w:val="20"/>
                <w:szCs w:val="20"/>
                <w:color w:val="auto"/>
              </w:rPr>
              <w:t>SECTION 3.25  Foreign Assets Control Regulations, etc.  126</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gridSpan w:val="46"/>
            <w:vMerge w:val="restart"/>
          </w:tcPr>
          <w:p>
            <w:pPr>
              <w:spacing w:after="0"/>
              <w:rPr>
                <w:sz w:val="20"/>
                <w:szCs w:val="20"/>
                <w:color w:val="auto"/>
              </w:rPr>
            </w:pPr>
            <w:r>
              <w:rPr>
                <w:rFonts w:ascii="Times New Roman" w:cs="Times New Roman" w:eastAsia="Times New Roman" w:hAnsi="Times New Roman"/>
                <w:sz w:val="20"/>
                <w:szCs w:val="20"/>
                <w:color w:val="auto"/>
                <w:w w:val="99"/>
              </w:rPr>
              <w:t>ARTICLE IV CONDITIONS TO CLOSING AND FUNDING</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117</w:t>
            </w:r>
          </w:p>
        </w:tc>
        <w:tc>
          <w:tcPr>
            <w:tcW w:w="2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3"/>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60" w:type="dxa"/>
            <w:vAlign w:val="bottom"/>
            <w:gridSpan w:val="46"/>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127</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4.01</w:t>
            </w:r>
          </w:p>
        </w:tc>
        <w:tc>
          <w:tcPr>
            <w:tcW w:w="2800" w:type="dxa"/>
            <w:vAlign w:val="bottom"/>
            <w:gridSpan w:val="39"/>
            <w:vMerge w:val="restart"/>
          </w:tcPr>
          <w:p>
            <w:pPr>
              <w:ind w:left="100"/>
              <w:spacing w:after="0"/>
              <w:rPr>
                <w:sz w:val="20"/>
                <w:szCs w:val="20"/>
                <w:color w:val="auto"/>
              </w:rPr>
            </w:pPr>
            <w:r>
              <w:rPr>
                <w:rFonts w:ascii="Times New Roman" w:cs="Times New Roman" w:eastAsia="Times New Roman" w:hAnsi="Times New Roman"/>
                <w:sz w:val="20"/>
                <w:szCs w:val="20"/>
                <w:color w:val="auto"/>
              </w:rPr>
              <w:t>Conditions to All Credit Events</w:t>
            </w: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117</w:t>
            </w:r>
          </w:p>
        </w:tc>
        <w:tc>
          <w:tcPr>
            <w:tcW w:w="20" w:type="dxa"/>
            <w:vAlign w:val="bottom"/>
            <w:vMerge w:val="restart"/>
          </w:tcPr>
          <w:p>
            <w:pPr>
              <w:spacing w:after="0"/>
              <w:rPr>
                <w:sz w:val="22"/>
                <w:szCs w:val="22"/>
                <w:color w:val="auto"/>
              </w:rPr>
            </w:pPr>
          </w:p>
        </w:tc>
        <w:tc>
          <w:tcPr>
            <w:tcW w:w="14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gridSpan w:val="3"/>
          </w:tcPr>
          <w:p>
            <w:pPr>
              <w:spacing w:after="0"/>
              <w:rPr>
                <w:sz w:val="22"/>
                <w:szCs w:val="22"/>
                <w:color w:val="auto"/>
              </w:rPr>
            </w:pPr>
          </w:p>
        </w:tc>
        <w:tc>
          <w:tcPr>
            <w:tcW w:w="120" w:type="dxa"/>
            <w:vAlign w:val="bottom"/>
            <w:gridSpan w:val="3"/>
          </w:tcPr>
          <w:p>
            <w:pPr>
              <w:spacing w:after="0"/>
              <w:rPr>
                <w:sz w:val="22"/>
                <w:szCs w:val="22"/>
                <w:color w:val="auto"/>
              </w:rPr>
            </w:pPr>
          </w:p>
        </w:tc>
        <w:tc>
          <w:tcPr>
            <w:tcW w:w="116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2800" w:type="dxa"/>
            <w:vAlign w:val="bottom"/>
            <w:gridSpan w:val="39"/>
            <w:vMerge w:val="continue"/>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127</w:t>
            </w:r>
          </w:p>
        </w:tc>
        <w:tc>
          <w:tcPr>
            <w:tcW w:w="140" w:type="dxa"/>
            <w:vAlign w:val="bottom"/>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11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4.02</w:t>
            </w:r>
          </w:p>
        </w:tc>
        <w:tc>
          <w:tcPr>
            <w:tcW w:w="1880" w:type="dxa"/>
            <w:vAlign w:val="bottom"/>
            <w:gridSpan w:val="16"/>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Conditions to Closing</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7"/>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0"/>
              </w:rPr>
              <w:t>118</w:t>
            </w:r>
          </w:p>
        </w:tc>
        <w:tc>
          <w:tcPr>
            <w:tcW w:w="20" w:type="dxa"/>
            <w:vAlign w:val="bottom"/>
          </w:tcPr>
          <w:p>
            <w:pPr>
              <w:spacing w:after="0"/>
              <w:rPr>
                <w:sz w:val="4"/>
                <w:szCs w:val="4"/>
                <w:color w:val="auto"/>
              </w:rPr>
            </w:pPr>
          </w:p>
        </w:tc>
        <w:tc>
          <w:tcPr>
            <w:tcW w:w="280" w:type="dxa"/>
            <w:vAlign w:val="bottom"/>
            <w:gridSpan w:val="6"/>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880" w:type="dxa"/>
            <w:vAlign w:val="bottom"/>
            <w:gridSpan w:val="16"/>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300" w:type="dxa"/>
            <w:vAlign w:val="bottom"/>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386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32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w w:val="79"/>
              </w:rPr>
              <w:t>132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5.01</w:t>
            </w:r>
          </w:p>
        </w:tc>
        <w:tc>
          <w:tcPr>
            <w:tcW w:w="3080" w:type="dxa"/>
            <w:vAlign w:val="bottom"/>
            <w:gridSpan w:val="45"/>
          </w:tcPr>
          <w:p>
            <w:pPr>
              <w:ind w:left="100"/>
              <w:spacing w:after="0"/>
              <w:rPr>
                <w:sz w:val="20"/>
                <w:szCs w:val="20"/>
                <w:color w:val="auto"/>
              </w:rPr>
            </w:pPr>
            <w:r>
              <w:rPr>
                <w:rFonts w:ascii="Times New Roman" w:cs="Times New Roman" w:eastAsia="Times New Roman" w:hAnsi="Times New Roman"/>
                <w:sz w:val="20"/>
                <w:szCs w:val="20"/>
                <w:color w:val="auto"/>
                <w:w w:val="99"/>
              </w:rPr>
              <w:t>Existence; Businesses and Properties</w:t>
            </w:r>
          </w:p>
        </w:tc>
        <w:tc>
          <w:tcPr>
            <w:tcW w:w="48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5.02</w:t>
            </w:r>
          </w:p>
        </w:tc>
        <w:tc>
          <w:tcPr>
            <w:tcW w:w="1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40" w:type="dxa"/>
            <w:vAlign w:val="bottom"/>
          </w:tcPr>
          <w:p>
            <w:pPr>
              <w:spacing w:after="0"/>
              <w:rPr>
                <w:sz w:val="3"/>
                <w:szCs w:val="3"/>
                <w:color w:val="auto"/>
              </w:rPr>
            </w:pPr>
          </w:p>
        </w:tc>
        <w:tc>
          <w:tcPr>
            <w:tcW w:w="300" w:type="dxa"/>
            <w:vAlign w:val="bottom"/>
            <w:gridSpan w:val="5"/>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84"/>
              </w:rPr>
              <w:t>122</w:t>
            </w:r>
          </w:p>
        </w:tc>
        <w:tc>
          <w:tcPr>
            <w:tcW w:w="300" w:type="dxa"/>
            <w:vAlign w:val="bottom"/>
            <w:gridSpan w:val="4"/>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3860" w:type="dxa"/>
            <w:vAlign w:val="bottom"/>
            <w:gridSpan w:val="51"/>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5"/>
            <w:vMerge w:val="continue"/>
          </w:tcPr>
          <w:p>
            <w:pPr>
              <w:spacing w:after="0"/>
              <w:rPr>
                <w:sz w:val="16"/>
                <w:szCs w:val="16"/>
                <w:color w:val="auto"/>
              </w:rPr>
            </w:pPr>
          </w:p>
        </w:tc>
        <w:tc>
          <w:tcPr>
            <w:tcW w:w="300" w:type="dxa"/>
            <w:vAlign w:val="bottom"/>
            <w:tcBorders>
              <w:left w:val="single" w:sz="8" w:color="DDDDDD"/>
            </w:tcBorders>
            <w:gridSpan w:val="4"/>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132</w:t>
            </w: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left w:val="single" w:sz="8" w:color="DDDDDD"/>
            </w:tcBorders>
            <w:shd w:val="clear" w:color="auto" w:fill="DDDDDD"/>
          </w:tcPr>
          <w:p>
            <w:pPr>
              <w:spacing w:after="0" w:line="20" w:lineRule="exact"/>
              <w:rPr>
                <w:sz w:val="1"/>
                <w:szCs w:val="1"/>
                <w:color w:val="auto"/>
              </w:rPr>
            </w:pPr>
          </w:p>
        </w:tc>
        <w:tc>
          <w:tcPr>
            <w:tcW w:w="20" w:type="dxa"/>
            <w:vAlign w:val="bottom"/>
            <w:tcBorders>
              <w:top w:val="single" w:sz="8" w:color="0000FF"/>
            </w:tcBorders>
            <w:shd w:val="clear" w:color="auto" w:fill="DDDDDD"/>
          </w:tcPr>
          <w:p>
            <w:pPr>
              <w:spacing w:after="0" w:line="20" w:lineRule="exact"/>
              <w:rPr>
                <w:sz w:val="1"/>
                <w:szCs w:val="1"/>
                <w:color w:val="auto"/>
              </w:rPr>
            </w:pPr>
          </w:p>
        </w:tc>
        <w:tc>
          <w:tcPr>
            <w:tcW w:w="40" w:type="dxa"/>
            <w:vAlign w:val="bottom"/>
            <w:tcBorders>
              <w:top w:val="single" w:sz="8" w:color="0000FF"/>
            </w:tcBorders>
            <w:shd w:val="clear" w:color="auto" w:fill="DDDDDD"/>
          </w:tcPr>
          <w:p>
            <w:pPr>
              <w:spacing w:after="0" w:line="20" w:lineRule="exact"/>
              <w:rPr>
                <w:sz w:val="1"/>
                <w:szCs w:val="1"/>
                <w:color w:val="auto"/>
              </w:rPr>
            </w:pPr>
          </w:p>
        </w:tc>
        <w:tc>
          <w:tcPr>
            <w:tcW w:w="40" w:type="dxa"/>
            <w:vAlign w:val="bottom"/>
            <w:tcBorders>
              <w:top w:val="single" w:sz="8" w:color="0000FF"/>
              <w:left w:val="single" w:sz="8" w:color="DDDDDD"/>
            </w:tcBorders>
            <w:shd w:val="clear" w:color="auto" w:fill="DDDDDD"/>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gridSpan w:val="7"/>
            <w:vMerge w:val="continue"/>
          </w:tcPr>
          <w:p>
            <w:pPr>
              <w:spacing w:after="0" w:line="20" w:lineRule="exact"/>
              <w:rPr>
                <w:sz w:val="1"/>
                <w:szCs w:val="1"/>
                <w:color w:val="auto"/>
              </w:rPr>
            </w:pPr>
          </w:p>
        </w:tc>
        <w:tc>
          <w:tcPr>
            <w:tcW w:w="300" w:type="dxa"/>
            <w:vAlign w:val="bottom"/>
            <w:gridSpan w:val="7"/>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5.03</w:t>
            </w:r>
          </w:p>
        </w:tc>
        <w:tc>
          <w:tcPr>
            <w:tcW w:w="1880" w:type="dxa"/>
            <w:vAlign w:val="bottom"/>
            <w:gridSpan w:val="16"/>
            <w:vMerge w:val="restart"/>
          </w:tcPr>
          <w:p>
            <w:pPr>
              <w:ind w:left="100"/>
              <w:spacing w:after="0" w:line="216" w:lineRule="exact"/>
              <w:rPr>
                <w:sz w:val="20"/>
                <w:szCs w:val="20"/>
                <w:color w:val="auto"/>
              </w:rPr>
            </w:pPr>
            <w:r>
              <w:rPr>
                <w:rFonts w:ascii="Times New Roman" w:cs="Times New Roman" w:eastAsia="Times New Roman" w:hAnsi="Times New Roman"/>
                <w:sz w:val="20"/>
                <w:szCs w:val="20"/>
                <w:color w:val="auto"/>
                <w:w w:val="96"/>
              </w:rPr>
              <w:t>Obligations and Taxes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20" w:type="dxa"/>
            <w:vAlign w:val="bottom"/>
            <w:gridSpan w:val="7"/>
            <w:vMerge w:val="continue"/>
          </w:tcPr>
          <w:p>
            <w:pPr>
              <w:spacing w:after="0"/>
              <w:rPr>
                <w:sz w:val="2"/>
                <w:szCs w:val="2"/>
                <w:color w:val="auto"/>
              </w:rPr>
            </w:pPr>
          </w:p>
        </w:tc>
        <w:tc>
          <w:tcPr>
            <w:tcW w:w="300" w:type="dxa"/>
            <w:vAlign w:val="bottom"/>
            <w:gridSpan w:val="7"/>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880" w:type="dxa"/>
            <w:vAlign w:val="bottom"/>
            <w:gridSpan w:val="16"/>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7"/>
            <w:vMerge w:val="continue"/>
          </w:tcPr>
          <w:p>
            <w:pPr>
              <w:spacing w:after="0"/>
              <w:rPr>
                <w:sz w:val="16"/>
                <w:szCs w:val="16"/>
                <w:color w:val="auto"/>
              </w:rPr>
            </w:pPr>
          </w:p>
        </w:tc>
        <w:tc>
          <w:tcPr>
            <w:tcW w:w="300" w:type="dxa"/>
            <w:vAlign w:val="bottom"/>
            <w:tcBorders>
              <w:left w:val="single" w:sz="8" w:color="DDDDDD"/>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133</w:t>
            </w: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9"/>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360" w:type="dxa"/>
            <w:vAlign w:val="bottom"/>
            <w:gridSpan w:val="29"/>
          </w:tcPr>
          <w:p>
            <w:pPr>
              <w:spacing w:after="0"/>
              <w:rPr>
                <w:sz w:val="2"/>
                <w:szCs w:val="2"/>
                <w:color w:val="auto"/>
              </w:rPr>
            </w:pPr>
          </w:p>
        </w:tc>
        <w:tc>
          <w:tcPr>
            <w:tcW w:w="140" w:type="dxa"/>
            <w:vAlign w:val="bottom"/>
            <w:tcBorders>
              <w:left w:val="single" w:sz="8" w:color="DDDDDD"/>
            </w:tcBorders>
            <w:gridSpan w:val="2"/>
            <w:shd w:val="clear" w:color="auto" w:fill="0000FF"/>
          </w:tcPr>
          <w:p>
            <w:pPr>
              <w:spacing w:after="0"/>
              <w:rPr>
                <w:sz w:val="2"/>
                <w:szCs w:val="2"/>
                <w:color w:val="auto"/>
              </w:rPr>
            </w:pPr>
          </w:p>
        </w:tc>
        <w:tc>
          <w:tcPr>
            <w:tcW w:w="160" w:type="dxa"/>
            <w:vAlign w:val="bottom"/>
            <w:tcBorders>
              <w:left w:val="single" w:sz="8" w:color="0000FF"/>
            </w:tcBorders>
            <w:gridSpan w:val="5"/>
            <w:shd w:val="clear" w:color="auto" w:fill="0000FF"/>
          </w:tcPr>
          <w:p>
            <w:pPr>
              <w:spacing w:after="0"/>
              <w:rPr>
                <w:sz w:val="2"/>
                <w:szCs w:val="2"/>
                <w:color w:val="auto"/>
              </w:rPr>
            </w:pPr>
          </w:p>
        </w:tc>
        <w:tc>
          <w:tcPr>
            <w:tcW w:w="380" w:type="dxa"/>
            <w:vAlign w:val="bottom"/>
            <w:tcBorders>
              <w:left w:val="single" w:sz="8" w:color="0000FF"/>
            </w:tcBorders>
            <w:gridSpan w:val="9"/>
          </w:tcPr>
          <w:p>
            <w:pPr>
              <w:spacing w:after="0"/>
              <w:rPr>
                <w:sz w:val="2"/>
                <w:szCs w:val="2"/>
                <w:color w:val="auto"/>
              </w:rPr>
            </w:pPr>
          </w:p>
        </w:tc>
        <w:tc>
          <w:tcPr>
            <w:tcW w:w="320" w:type="dxa"/>
            <w:vAlign w:val="bottom"/>
            <w:gridSpan w:val="9"/>
            <w:vMerge w:val="continue"/>
          </w:tcPr>
          <w:p>
            <w:pPr>
              <w:spacing w:after="0"/>
              <w:rPr>
                <w:sz w:val="2"/>
                <w:szCs w:val="2"/>
                <w:color w:val="auto"/>
              </w:rPr>
            </w:pPr>
          </w:p>
        </w:tc>
        <w:tc>
          <w:tcPr>
            <w:tcW w:w="2220" w:type="dxa"/>
            <w:vAlign w:val="bottom"/>
            <w:gridSpan w:val="1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5040" w:type="dxa"/>
            <w:vAlign w:val="bottom"/>
            <w:gridSpan w:val="45"/>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5.04  Financial Statements, Reports, etc.</w:t>
            </w:r>
          </w:p>
        </w:tc>
        <w:tc>
          <w:tcPr>
            <w:tcW w:w="320" w:type="dxa"/>
            <w:vAlign w:val="bottom"/>
            <w:gridSpan w:val="9"/>
            <w:vMerge w:val="continue"/>
          </w:tcPr>
          <w:p>
            <w:pPr>
              <w:spacing w:after="0"/>
              <w:rPr>
                <w:sz w:val="4"/>
                <w:szCs w:val="4"/>
                <w:color w:val="auto"/>
              </w:rPr>
            </w:pPr>
          </w:p>
        </w:tc>
        <w:tc>
          <w:tcPr>
            <w:tcW w:w="180" w:type="dxa"/>
            <w:vAlign w:val="bottom"/>
            <w:gridSpan w:val="4"/>
          </w:tcPr>
          <w:p>
            <w:pPr>
              <w:spacing w:after="0"/>
              <w:rPr>
                <w:sz w:val="4"/>
                <w:szCs w:val="4"/>
                <w:color w:val="auto"/>
              </w:rPr>
            </w:pPr>
          </w:p>
        </w:tc>
        <w:tc>
          <w:tcPr>
            <w:tcW w:w="120" w:type="dxa"/>
            <w:vAlign w:val="bottom"/>
            <w:gridSpan w:val="3"/>
          </w:tcPr>
          <w:p>
            <w:pPr>
              <w:spacing w:after="0"/>
              <w:rPr>
                <w:sz w:val="4"/>
                <w:szCs w:val="4"/>
                <w:color w:val="auto"/>
              </w:rPr>
            </w:pPr>
          </w:p>
        </w:tc>
        <w:tc>
          <w:tcPr>
            <w:tcW w:w="1160" w:type="dxa"/>
            <w:vAlign w:val="bottom"/>
            <w:gridSpan w:val="2"/>
            <w:vMerge w:val="restart"/>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040" w:type="dxa"/>
            <w:vAlign w:val="bottom"/>
            <w:gridSpan w:val="45"/>
            <w:vMerge w:val="continue"/>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30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134</w:t>
            </w: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5.05</w:t>
            </w:r>
          </w:p>
        </w:tc>
        <w:tc>
          <w:tcPr>
            <w:tcW w:w="2560" w:type="dxa"/>
            <w:vAlign w:val="bottom"/>
            <w:gridSpan w:val="31"/>
          </w:tcPr>
          <w:p>
            <w:pPr>
              <w:ind w:left="100"/>
              <w:spacing w:after="0"/>
              <w:rPr>
                <w:sz w:val="20"/>
                <w:szCs w:val="20"/>
                <w:color w:val="auto"/>
              </w:rPr>
            </w:pPr>
            <w:r>
              <w:rPr>
                <w:rFonts w:ascii="Times New Roman" w:cs="Times New Roman" w:eastAsia="Times New Roman" w:hAnsi="Times New Roman"/>
                <w:sz w:val="20"/>
                <w:szCs w:val="20"/>
                <w:color w:val="auto"/>
              </w:rPr>
              <w:t>Litigation and Other Notices</w:t>
            </w:r>
          </w:p>
        </w:tc>
        <w:tc>
          <w:tcPr>
            <w:tcW w:w="36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w w:val="93"/>
              </w:rPr>
              <w:t>136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8"/>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980" w:type="dxa"/>
            <w:vAlign w:val="bottom"/>
            <w:vMerge w:val="restart"/>
          </w:tcPr>
          <w:p>
            <w:pPr>
              <w:ind w:left="660"/>
              <w:spacing w:after="0" w:line="224" w:lineRule="exact"/>
              <w:rPr>
                <w:sz w:val="20"/>
                <w:szCs w:val="20"/>
                <w:color w:val="auto"/>
              </w:rPr>
            </w:pPr>
            <w:r>
              <w:rPr>
                <w:rFonts w:ascii="Times New Roman" w:cs="Times New Roman" w:eastAsia="Times New Roman" w:hAnsi="Times New Roman"/>
                <w:sz w:val="20"/>
                <w:szCs w:val="20"/>
                <w:color w:val="auto"/>
              </w:rPr>
              <w:t>SECTION 5.06</w:t>
            </w:r>
          </w:p>
        </w:tc>
        <w:tc>
          <w:tcPr>
            <w:tcW w:w="2940" w:type="dxa"/>
            <w:vAlign w:val="bottom"/>
            <w:gridSpan w:val="41"/>
            <w:vMerge w:val="restart"/>
          </w:tcPr>
          <w:p>
            <w:pPr>
              <w:ind w:left="100"/>
              <w:spacing w:after="0" w:line="224" w:lineRule="exact"/>
              <w:rPr>
                <w:sz w:val="20"/>
                <w:szCs w:val="20"/>
                <w:color w:val="auto"/>
              </w:rPr>
            </w:pPr>
            <w:r>
              <w:rPr>
                <w:rFonts w:ascii="Times New Roman" w:cs="Times New Roman" w:eastAsia="Times New Roman" w:hAnsi="Times New Roman"/>
                <w:sz w:val="20"/>
                <w:szCs w:val="20"/>
                <w:color w:val="auto"/>
              </w:rPr>
              <w:t>Information Regarding Collateral</w:t>
            </w:r>
          </w:p>
        </w:tc>
        <w:tc>
          <w:tcPr>
            <w:tcW w:w="20" w:type="dxa"/>
            <w:vAlign w:val="bottom"/>
          </w:tcPr>
          <w:p>
            <w:pPr>
              <w:spacing w:after="0"/>
              <w:rPr>
                <w:sz w:val="3"/>
                <w:szCs w:val="3"/>
                <w:color w:val="auto"/>
              </w:rPr>
            </w:pPr>
          </w:p>
        </w:tc>
        <w:tc>
          <w:tcPr>
            <w:tcW w:w="320" w:type="dxa"/>
            <w:vAlign w:val="bottom"/>
            <w:gridSpan w:val="8"/>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gridSpan w:val="6"/>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2940" w:type="dxa"/>
            <w:vAlign w:val="bottom"/>
            <w:gridSpan w:val="41"/>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8"/>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6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137</w:t>
            </w:r>
          </w:p>
        </w:tc>
        <w:tc>
          <w:tcPr>
            <w:tcW w:w="80" w:type="dxa"/>
            <w:vAlign w:val="bottom"/>
            <w:tcBorders>
              <w:left w:val="single" w:sz="8" w:color="DDDDDD"/>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gridSpan w:val="58"/>
          </w:tcPr>
          <w:p>
            <w:pPr>
              <w:spacing w:after="0" w:line="20" w:lineRule="exact"/>
              <w:rPr>
                <w:sz w:val="1"/>
                <w:szCs w:val="1"/>
                <w:color w:val="auto"/>
              </w:rPr>
            </w:pPr>
          </w:p>
        </w:tc>
        <w:tc>
          <w:tcPr>
            <w:tcW w:w="1420" w:type="dxa"/>
            <w:vAlign w:val="bottom"/>
            <w:tcBorders>
              <w:left w:val="single" w:sz="8" w:color="DDDDDD"/>
            </w:tcBorders>
            <w:gridSpan w:val="6"/>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5.07</w:t>
            </w:r>
          </w:p>
        </w:tc>
        <w:tc>
          <w:tcPr>
            <w:tcW w:w="4840" w:type="dxa"/>
            <w:vAlign w:val="bottom"/>
            <w:gridSpan w:val="62"/>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Maintaining Records; Access to Properties and Inspections</w:t>
            </w:r>
          </w:p>
        </w:tc>
        <w:tc>
          <w:tcPr>
            <w:tcW w:w="14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4840" w:type="dxa"/>
            <w:vAlign w:val="bottom"/>
            <w:gridSpan w:val="62"/>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80" w:type="dxa"/>
            <w:vAlign w:val="bottom"/>
            <w:tcBorders>
              <w:bottom w:val="single" w:sz="8" w:color="0000FF"/>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137</w:t>
            </w:r>
          </w:p>
        </w:tc>
        <w:tc>
          <w:tcPr>
            <w:tcW w:w="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5.08</w:t>
            </w:r>
          </w:p>
        </w:tc>
        <w:tc>
          <w:tcPr>
            <w:tcW w:w="13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w w:val="95"/>
              </w:rPr>
              <w:t>Use of Proceeds</w:t>
            </w:r>
          </w:p>
        </w:tc>
        <w:tc>
          <w:tcPr>
            <w:tcW w:w="5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5.09</w:t>
            </w:r>
          </w:p>
        </w:tc>
        <w:tc>
          <w:tcPr>
            <w:tcW w:w="18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Further Assurances</w:t>
            </w:r>
          </w:p>
        </w:tc>
        <w:tc>
          <w:tcPr>
            <w:tcW w:w="32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w w:val="79"/>
              </w:rPr>
              <w:t>137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5.10</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4560" w:type="dxa"/>
            <w:vAlign w:val="bottom"/>
            <w:gridSpan w:val="63"/>
          </w:tcPr>
          <w:p>
            <w:pPr>
              <w:jc w:val="right"/>
              <w:ind w:right="4140"/>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140"/>
          </w:cols>
          <w:pgMar w:left="320" w:top="114" w:right="43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140"/>
          </w:cols>
          <w:pgMar w:left="320" w:top="114" w:right="439" w:bottom="1440" w:gutter="0" w:footer="0" w:header="0"/>
          <w:type w:val="continuous"/>
        </w:sectPr>
      </w:pPr>
    </w:p>
    <w:bookmarkStart w:id="35" w:name="page36"/>
    <w:bookmarkEnd w:id="3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20"/>
                <w:szCs w:val="20"/>
                <w:color w:val="auto"/>
              </w:rPr>
              <w:t>139</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6.01</w:t>
            </w:r>
          </w:p>
        </w:tc>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Indebtedness</w:t>
            </w:r>
          </w:p>
        </w:tc>
        <w:tc>
          <w:tcPr>
            <w:tcW w:w="940" w:type="dxa"/>
            <w:vAlign w:val="bottom"/>
            <w:gridSpan w:val="2"/>
          </w:tcPr>
          <w:p>
            <w:pPr>
              <w:jc w:val="right"/>
              <w:ind w:right="459"/>
              <w:spacing w:after="0"/>
              <w:rPr>
                <w:sz w:val="20"/>
                <w:szCs w:val="20"/>
                <w:color w:val="auto"/>
              </w:rPr>
            </w:pPr>
            <w:r>
              <w:rPr>
                <w:rFonts w:ascii="Times New Roman" w:cs="Times New Roman" w:eastAsia="Times New Roman" w:hAnsi="Times New Roman"/>
                <w:sz w:val="20"/>
                <w:szCs w:val="20"/>
                <w:color w:val="auto"/>
              </w:rPr>
              <w:t>140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6.02</w:t>
            </w:r>
          </w:p>
        </w:tc>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Liens  140</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6.03</w:t>
            </w:r>
          </w:p>
        </w:tc>
        <w:tc>
          <w:tcPr>
            <w:tcW w:w="294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Sale and Lease-Back Transactions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142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6.04</w:t>
            </w:r>
          </w:p>
        </w:tc>
        <w:tc>
          <w:tcPr>
            <w:tcW w:w="294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Investments, Loans and Advances</w:t>
            </w:r>
          </w:p>
        </w:tc>
        <w:tc>
          <w:tcPr>
            <w:tcW w:w="420" w:type="dxa"/>
            <w:vAlign w:val="bottom"/>
            <w:gridSpan w:val="3"/>
          </w:tcPr>
          <w:p>
            <w:pPr>
              <w:jc w:val="right"/>
              <w:ind w:right="17"/>
              <w:spacing w:after="0"/>
              <w:rPr>
                <w:sz w:val="20"/>
                <w:szCs w:val="20"/>
                <w:color w:val="auto"/>
              </w:rPr>
            </w:pPr>
            <w:r>
              <w:rPr>
                <w:rFonts w:ascii="Times New Roman" w:cs="Times New Roman" w:eastAsia="Times New Roman" w:hAnsi="Times New Roman"/>
                <w:sz w:val="20"/>
                <w:szCs w:val="20"/>
                <w:color w:val="auto"/>
                <w:w w:val="93"/>
              </w:rPr>
              <w:t>143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6.05</w:t>
            </w:r>
          </w:p>
        </w:tc>
        <w:tc>
          <w:tcPr>
            <w:tcW w:w="5160" w:type="dxa"/>
            <w:vAlign w:val="bottom"/>
            <w:gridSpan w:val="26"/>
          </w:tcPr>
          <w:p>
            <w:pPr>
              <w:ind w:left="40"/>
              <w:spacing w:after="0"/>
              <w:rPr>
                <w:sz w:val="20"/>
                <w:szCs w:val="20"/>
                <w:color w:val="auto"/>
              </w:rPr>
            </w:pPr>
            <w:r>
              <w:rPr>
                <w:rFonts w:ascii="Times New Roman" w:cs="Times New Roman" w:eastAsia="Times New Roman" w:hAnsi="Times New Roman"/>
                <w:sz w:val="20"/>
                <w:szCs w:val="20"/>
                <w:color w:val="auto"/>
              </w:rPr>
              <w:t>Mergers, Consolidations, Sales of Assets and Acquisitions  146</w:t>
            </w:r>
          </w:p>
        </w:tc>
        <w:tc>
          <w:tcPr>
            <w:tcW w:w="0" w:type="dxa"/>
            <w:vAlign w:val="bottom"/>
          </w:tcPr>
          <w:p>
            <w:pPr>
              <w:spacing w:after="0"/>
              <w:rPr>
                <w:sz w:val="1"/>
                <w:szCs w:val="1"/>
                <w:color w:val="auto"/>
              </w:rPr>
            </w:pPr>
          </w:p>
        </w:tc>
      </w:tr>
      <w:tr>
        <w:trPr>
          <w:trHeight w:val="41"/>
        </w:trPr>
        <w:tc>
          <w:tcPr>
            <w:tcW w:w="204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6.06</w:t>
            </w:r>
          </w:p>
        </w:tc>
        <w:tc>
          <w:tcPr>
            <w:tcW w:w="3840" w:type="dxa"/>
            <w:vAlign w:val="bottom"/>
            <w:gridSpan w:val="15"/>
            <w:vMerge w:val="restart"/>
          </w:tcPr>
          <w:p>
            <w:pPr>
              <w:ind w:left="40"/>
              <w:spacing w:after="0"/>
              <w:rPr>
                <w:sz w:val="20"/>
                <w:szCs w:val="20"/>
                <w:color w:val="auto"/>
              </w:rPr>
            </w:pPr>
            <w:r>
              <w:rPr>
                <w:rFonts w:ascii="Times New Roman" w:cs="Times New Roman" w:eastAsia="Times New Roman" w:hAnsi="Times New Roman"/>
                <w:sz w:val="20"/>
                <w:szCs w:val="20"/>
                <w:color w:val="auto"/>
              </w:rPr>
              <w:t>Restricted Payments; Restrictive Agreements</w:t>
            </w:r>
          </w:p>
        </w:tc>
        <w:tc>
          <w:tcPr>
            <w:tcW w:w="320" w:type="dxa"/>
            <w:vAlign w:val="bottom"/>
            <w:gridSpan w:val="4"/>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135</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3840" w:type="dxa"/>
            <w:vAlign w:val="bottom"/>
            <w:gridSpan w:val="15"/>
            <w:vMerge w:val="continue"/>
          </w:tcPr>
          <w:p>
            <w:pPr>
              <w:spacing w:after="0"/>
              <w:rPr>
                <w:sz w:val="18"/>
                <w:szCs w:val="18"/>
                <w:color w:val="auto"/>
              </w:rPr>
            </w:pPr>
          </w:p>
        </w:tc>
        <w:tc>
          <w:tcPr>
            <w:tcW w:w="320" w:type="dxa"/>
            <w:vAlign w:val="bottom"/>
            <w:gridSpan w:val="4"/>
            <w:vMerge w:val="continue"/>
          </w:tcPr>
          <w:p>
            <w:pPr>
              <w:spacing w:after="0"/>
              <w:rPr>
                <w:sz w:val="18"/>
                <w:szCs w:val="18"/>
                <w:color w:val="auto"/>
              </w:rPr>
            </w:pPr>
          </w:p>
        </w:tc>
        <w:tc>
          <w:tcPr>
            <w:tcW w:w="28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146</w:t>
            </w:r>
          </w:p>
        </w:tc>
        <w:tc>
          <w:tcPr>
            <w:tcW w:w="20" w:type="dxa"/>
            <w:vAlign w:val="bottom"/>
            <w:tcBorders>
              <w:bottom w:val="single" w:sz="8" w:color="0000FF"/>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4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6.07</w:t>
            </w:r>
          </w:p>
        </w:tc>
        <w:tc>
          <w:tcPr>
            <w:tcW w:w="2440" w:type="dxa"/>
            <w:vAlign w:val="bottom"/>
            <w:gridSpan w:val="4"/>
            <w:vMerge w:val="restart"/>
          </w:tcPr>
          <w:p>
            <w:pPr>
              <w:ind w:left="40"/>
              <w:spacing w:after="0" w:line="216" w:lineRule="exact"/>
              <w:rPr>
                <w:sz w:val="20"/>
                <w:szCs w:val="20"/>
                <w:color w:val="auto"/>
              </w:rPr>
            </w:pPr>
            <w:r>
              <w:rPr>
                <w:rFonts w:ascii="Times New Roman" w:cs="Times New Roman" w:eastAsia="Times New Roman" w:hAnsi="Times New Roman"/>
                <w:sz w:val="20"/>
                <w:szCs w:val="20"/>
                <w:color w:val="auto"/>
              </w:rPr>
              <w:t>Transactions with Affiliates</w:t>
            </w:r>
          </w:p>
        </w:tc>
        <w:tc>
          <w:tcPr>
            <w:tcW w:w="320" w:type="dxa"/>
            <w:vAlign w:val="bottom"/>
            <w:gridSpan w:val="2"/>
            <w:vMerge w:val="restart"/>
          </w:tcPr>
          <w:p>
            <w:pPr>
              <w:spacing w:after="0" w:line="217" w:lineRule="exact"/>
              <w:rPr>
                <w:sz w:val="20"/>
                <w:szCs w:val="20"/>
                <w:color w:val="auto"/>
              </w:rPr>
            </w:pPr>
            <w:r>
              <w:rPr>
                <w:rFonts w:ascii="Times New Roman" w:cs="Times New Roman" w:eastAsia="Times New Roman" w:hAnsi="Times New Roman"/>
                <w:sz w:val="22"/>
                <w:szCs w:val="22"/>
                <w:color w:val="FF0000"/>
                <w:strike w:val="1"/>
                <w:w w:val="90"/>
              </w:rPr>
              <w:t>136</w:t>
            </w:r>
          </w:p>
        </w:tc>
        <w:tc>
          <w:tcPr>
            <w:tcW w:w="30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20" w:type="dxa"/>
            <w:vAlign w:val="bottom"/>
            <w:tcBorders>
              <w:top w:val="single" w:sz="8" w:color="DDDDDD"/>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300" w:type="dxa"/>
            <w:vAlign w:val="bottom"/>
            <w:tcBorders>
              <w:bottom w:val="single" w:sz="8" w:color="0000FF"/>
            </w:tcBorders>
            <w:gridSpan w:val="2"/>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147</w:t>
            </w:r>
          </w:p>
        </w:tc>
        <w:tc>
          <w:tcPr>
            <w:tcW w:w="20" w:type="dxa"/>
            <w:vAlign w:val="bottom"/>
            <w:tcBorders>
              <w:bottom w:val="single" w:sz="8" w:color="0000FF"/>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136</w:t>
            </w:r>
          </w:p>
        </w:tc>
        <w:tc>
          <w:tcPr>
            <w:tcW w:w="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4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6.08</w:t>
            </w:r>
          </w:p>
        </w:tc>
        <w:tc>
          <w:tcPr>
            <w:tcW w:w="3400" w:type="dxa"/>
            <w:vAlign w:val="bottom"/>
            <w:gridSpan w:val="11"/>
            <w:vMerge w:val="restart"/>
          </w:tcPr>
          <w:p>
            <w:pPr>
              <w:ind w:left="40"/>
              <w:spacing w:after="0"/>
              <w:rPr>
                <w:sz w:val="20"/>
                <w:szCs w:val="20"/>
                <w:color w:val="auto"/>
              </w:rPr>
            </w:pPr>
            <w:r>
              <w:rPr>
                <w:rFonts w:ascii="Times New Roman" w:cs="Times New Roman" w:eastAsia="Times New Roman" w:hAnsi="Times New Roman"/>
                <w:sz w:val="20"/>
                <w:szCs w:val="20"/>
                <w:color w:val="auto"/>
              </w:rPr>
              <w:t>Business of Borrowers and Subsidiaries</w:t>
            </w:r>
          </w:p>
        </w:tc>
        <w:tc>
          <w:tcPr>
            <w:tcW w:w="320" w:type="dxa"/>
            <w:vAlign w:val="bottom"/>
            <w:gridSpan w:val="3"/>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80" w:type="dxa"/>
            <w:vAlign w:val="bottom"/>
            <w:gridSpan w:val="3"/>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3400" w:type="dxa"/>
            <w:vAlign w:val="bottom"/>
            <w:gridSpan w:val="11"/>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30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148</w:t>
            </w:r>
          </w:p>
        </w:tc>
        <w:tc>
          <w:tcPr>
            <w:tcW w:w="20" w:type="dxa"/>
            <w:vAlign w:val="bottom"/>
            <w:tcBorders>
              <w:bottom w:val="single" w:sz="8" w:color="0000FF"/>
            </w:tcBorders>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6.09</w:t>
            </w:r>
          </w:p>
        </w:tc>
        <w:tc>
          <w:tcPr>
            <w:tcW w:w="294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w w:val="99"/>
              </w:rPr>
              <w:t>Other Indebtedness and Agreements</w:t>
            </w:r>
          </w:p>
        </w:tc>
        <w:tc>
          <w:tcPr>
            <w:tcW w:w="760" w:type="dxa"/>
            <w:vAlign w:val="bottom"/>
            <w:gridSpan w:val="6"/>
          </w:tcPr>
          <w:p>
            <w:pPr>
              <w:jc w:val="right"/>
              <w:ind w:right="161"/>
              <w:spacing w:after="0"/>
              <w:rPr>
                <w:sz w:val="20"/>
                <w:szCs w:val="20"/>
                <w:color w:val="auto"/>
              </w:rPr>
            </w:pPr>
            <w:r>
              <w:rPr>
                <w:rFonts w:ascii="Times New Roman" w:cs="Times New Roman" w:eastAsia="Times New Roman" w:hAnsi="Times New Roman"/>
                <w:sz w:val="22"/>
                <w:szCs w:val="22"/>
                <w:color w:val="auto"/>
              </w:rPr>
              <w:t>148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9"/>
              </w:rPr>
              <w:t>SECTION 6.10</w:t>
            </w:r>
          </w:p>
        </w:tc>
        <w:tc>
          <w:tcPr>
            <w:tcW w:w="244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Interest Coverage Ratio</w:t>
            </w:r>
          </w:p>
        </w:tc>
        <w:tc>
          <w:tcPr>
            <w:tcW w:w="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148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9"/>
              </w:rPr>
              <w:t>SECTION 6.11</w:t>
            </w: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Leverage Ratios  148</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9"/>
              </w:rPr>
              <w:t>SECTION 6.12</w:t>
            </w:r>
          </w:p>
        </w:tc>
        <w:tc>
          <w:tcPr>
            <w:tcW w:w="21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Hedging Agreements</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22"/>
                <w:szCs w:val="22"/>
                <w:color w:val="auto"/>
              </w:rPr>
              <w:t>149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9"/>
              </w:rPr>
              <w:t>SECTION 6.13</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Pension Plans</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22"/>
                <w:szCs w:val="22"/>
                <w:color w:val="auto"/>
              </w:rPr>
              <w:t>149</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40" w:type="dxa"/>
            <w:vAlign w:val="bottom"/>
            <w:vMerge w:val="restart"/>
          </w:tcPr>
          <w:p>
            <w:pPr>
              <w:ind w:left="660"/>
              <w:spacing w:after="0" w:line="212" w:lineRule="exact"/>
              <w:rPr>
                <w:sz w:val="20"/>
                <w:szCs w:val="20"/>
                <w:color w:val="auto"/>
              </w:rPr>
            </w:pPr>
            <w:r>
              <w:rPr>
                <w:rFonts w:ascii="Times New Roman" w:cs="Times New Roman" w:eastAsia="Times New Roman" w:hAnsi="Times New Roman"/>
                <w:sz w:val="20"/>
                <w:szCs w:val="20"/>
                <w:color w:val="auto"/>
              </w:rPr>
              <w:t>SECTION 6.14</w:t>
            </w:r>
          </w:p>
        </w:tc>
        <w:tc>
          <w:tcPr>
            <w:tcW w:w="3840" w:type="dxa"/>
            <w:vAlign w:val="bottom"/>
            <w:gridSpan w:val="15"/>
            <w:vMerge w:val="restart"/>
          </w:tcPr>
          <w:p>
            <w:pPr>
              <w:ind w:left="40"/>
              <w:spacing w:after="0" w:line="212" w:lineRule="exact"/>
              <w:rPr>
                <w:sz w:val="20"/>
                <w:szCs w:val="20"/>
                <w:color w:val="auto"/>
              </w:rPr>
            </w:pPr>
            <w:r>
              <w:rPr>
                <w:rFonts w:ascii="Times New Roman" w:cs="Times New Roman" w:eastAsia="Times New Roman" w:hAnsi="Times New Roman"/>
                <w:sz w:val="20"/>
                <w:szCs w:val="20"/>
                <w:color w:val="auto"/>
              </w:rPr>
              <w:t>Amendment of the Organizational Documents</w:t>
            </w:r>
          </w:p>
        </w:tc>
        <w:tc>
          <w:tcPr>
            <w:tcW w:w="40" w:type="dxa"/>
            <w:vAlign w:val="bottom"/>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40" w:type="dxa"/>
            <w:vAlign w:val="bottom"/>
            <w:vMerge w:val="continue"/>
          </w:tcPr>
          <w:p>
            <w:pPr>
              <w:spacing w:after="0"/>
              <w:rPr>
                <w:sz w:val="18"/>
                <w:szCs w:val="18"/>
                <w:color w:val="auto"/>
              </w:rPr>
            </w:pPr>
          </w:p>
        </w:tc>
        <w:tc>
          <w:tcPr>
            <w:tcW w:w="3840" w:type="dxa"/>
            <w:vAlign w:val="bottom"/>
            <w:gridSpan w:val="15"/>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4"/>
            <w:vMerge w:val="continue"/>
          </w:tcPr>
          <w:p>
            <w:pPr>
              <w:spacing w:after="0"/>
              <w:rPr>
                <w:sz w:val="18"/>
                <w:szCs w:val="18"/>
                <w:color w:val="auto"/>
              </w:rPr>
            </w:pPr>
          </w:p>
        </w:tc>
        <w:tc>
          <w:tcPr>
            <w:tcW w:w="300" w:type="dxa"/>
            <w:vAlign w:val="bottom"/>
            <w:gridSpan w:val="4"/>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150</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4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6.15</w:t>
            </w:r>
          </w:p>
        </w:tc>
        <w:tc>
          <w:tcPr>
            <w:tcW w:w="2740" w:type="dxa"/>
            <w:vAlign w:val="bottom"/>
            <w:gridSpan w:val="5"/>
            <w:vMerge w:val="restart"/>
          </w:tcPr>
          <w:p>
            <w:pPr>
              <w:ind w:left="40"/>
              <w:spacing w:after="0"/>
              <w:rPr>
                <w:sz w:val="20"/>
                <w:szCs w:val="20"/>
                <w:color w:val="auto"/>
              </w:rPr>
            </w:pPr>
            <w:r>
              <w:rPr>
                <w:rFonts w:ascii="Times New Roman" w:cs="Times New Roman" w:eastAsia="Times New Roman" w:hAnsi="Times New Roman"/>
                <w:sz w:val="20"/>
                <w:szCs w:val="20"/>
                <w:color w:val="auto"/>
              </w:rPr>
              <w:t>Sanction Laws and Regulations</w:t>
            </w:r>
          </w:p>
        </w:tc>
        <w:tc>
          <w:tcPr>
            <w:tcW w:w="320" w:type="dxa"/>
            <w:vAlign w:val="bottom"/>
            <w:gridSpan w:val="3"/>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138</w:t>
            </w:r>
          </w:p>
        </w:tc>
        <w:tc>
          <w:tcPr>
            <w:tcW w:w="20" w:type="dxa"/>
            <w:vAlign w:val="bottom"/>
            <w:vMerge w:val="restart"/>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2740" w:type="dxa"/>
            <w:vAlign w:val="bottom"/>
            <w:gridSpan w:val="5"/>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shd w:val="clear" w:color="auto" w:fill="DDDDDD"/>
          </w:tcPr>
          <w:p>
            <w:pPr>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150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6.16</w:t>
            </w: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Anti-Corruption Laws  150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6.17</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Cross-Guarantee</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ARTICLE VII EVENTS OF DEFAULT</w:t>
            </w:r>
          </w:p>
        </w:tc>
        <w:tc>
          <w:tcPr>
            <w:tcW w:w="940" w:type="dxa"/>
            <w:vAlign w:val="bottom"/>
            <w:gridSpan w:val="2"/>
          </w:tcPr>
          <w:p>
            <w:pPr>
              <w:jc w:val="right"/>
              <w:ind w:right="399"/>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7.01</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Events of Default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7.02</w:t>
            </w:r>
          </w:p>
        </w:tc>
        <w:tc>
          <w:tcPr>
            <w:tcW w:w="294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Optional Acceleration of Maturity</w:t>
            </w:r>
          </w:p>
        </w:tc>
        <w:tc>
          <w:tcPr>
            <w:tcW w:w="420" w:type="dxa"/>
            <w:vAlign w:val="bottom"/>
            <w:gridSpan w:val="3"/>
          </w:tcPr>
          <w:p>
            <w:pPr>
              <w:jc w:val="right"/>
              <w:ind w:right="17"/>
              <w:spacing w:after="0"/>
              <w:rPr>
                <w:sz w:val="20"/>
                <w:szCs w:val="20"/>
                <w:color w:val="auto"/>
              </w:rPr>
            </w:pPr>
            <w:r>
              <w:rPr>
                <w:rFonts w:ascii="Times New Roman" w:cs="Times New Roman" w:eastAsia="Times New Roman" w:hAnsi="Times New Roman"/>
                <w:sz w:val="20"/>
                <w:szCs w:val="20"/>
                <w:color w:val="auto"/>
                <w:w w:val="93"/>
              </w:rPr>
              <w:t>153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4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7.03</w:t>
            </w:r>
          </w:p>
        </w:tc>
        <w:tc>
          <w:tcPr>
            <w:tcW w:w="2940" w:type="dxa"/>
            <w:vAlign w:val="bottom"/>
            <w:gridSpan w:val="7"/>
            <w:vMerge w:val="restart"/>
          </w:tcPr>
          <w:p>
            <w:pPr>
              <w:ind w:left="40"/>
              <w:spacing w:after="0"/>
              <w:rPr>
                <w:sz w:val="20"/>
                <w:szCs w:val="20"/>
                <w:color w:val="auto"/>
              </w:rPr>
            </w:pPr>
            <w:r>
              <w:rPr>
                <w:rFonts w:ascii="Times New Roman" w:cs="Times New Roman" w:eastAsia="Times New Roman" w:hAnsi="Times New Roman"/>
                <w:sz w:val="20"/>
                <w:szCs w:val="20"/>
                <w:color w:val="auto"/>
                <w:w w:val="99"/>
              </w:rPr>
              <w:t>Automatic Acceleration of Maturity</w:t>
            </w:r>
          </w:p>
        </w:tc>
        <w:tc>
          <w:tcPr>
            <w:tcW w:w="140" w:type="dxa"/>
            <w:vAlign w:val="bottom"/>
            <w:gridSpan w:val="2"/>
          </w:tcPr>
          <w:p>
            <w:pPr>
              <w:spacing w:after="0"/>
              <w:rPr>
                <w:sz w:val="3"/>
                <w:szCs w:val="3"/>
                <w:color w:val="auto"/>
              </w:rPr>
            </w:pPr>
          </w:p>
        </w:tc>
        <w:tc>
          <w:tcPr>
            <w:tcW w:w="320" w:type="dxa"/>
            <w:vAlign w:val="bottom"/>
            <w:gridSpan w:val="2"/>
            <w:vMerge w:val="restart"/>
          </w:tcPr>
          <w:p>
            <w:pPr>
              <w:spacing w:after="0" w:line="230" w:lineRule="exact"/>
              <w:rPr>
                <w:sz w:val="20"/>
                <w:szCs w:val="20"/>
                <w:color w:val="auto"/>
              </w:rPr>
            </w:pPr>
            <w:r>
              <w:rPr>
                <w:rFonts w:ascii="Times New Roman" w:cs="Times New Roman" w:eastAsia="Times New Roman" w:hAnsi="Times New Roman"/>
                <w:sz w:val="22"/>
                <w:szCs w:val="22"/>
                <w:color w:val="FF0000"/>
                <w:strike w:val="1"/>
                <w:w w:val="90"/>
              </w:rPr>
              <w:t>141</w:t>
            </w:r>
          </w:p>
        </w:tc>
        <w:tc>
          <w:tcPr>
            <w:tcW w:w="20" w:type="dxa"/>
            <w:vAlign w:val="bottom"/>
            <w:vMerge w:val="restart"/>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2940" w:type="dxa"/>
            <w:vAlign w:val="bottom"/>
            <w:gridSpan w:val="7"/>
            <w:vMerge w:val="continue"/>
          </w:tcPr>
          <w:p>
            <w:pPr>
              <w:spacing w:after="0"/>
              <w:rPr>
                <w:sz w:val="17"/>
                <w:szCs w:val="17"/>
                <w:color w:val="auto"/>
              </w:rPr>
            </w:pPr>
          </w:p>
        </w:tc>
        <w:tc>
          <w:tcPr>
            <w:tcW w:w="140" w:type="dxa"/>
            <w:vAlign w:val="bottom"/>
            <w:gridSpan w:val="2"/>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7.04</w:t>
            </w: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Non-exclusivity of Remedies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7.05</w:t>
            </w:r>
          </w:p>
        </w:tc>
        <w:tc>
          <w:tcPr>
            <w:tcW w:w="21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Application of Proceeds</w:t>
            </w:r>
          </w:p>
        </w:tc>
        <w:tc>
          <w:tcPr>
            <w:tcW w:w="600" w:type="dxa"/>
            <w:vAlign w:val="bottom"/>
            <w:gridSpan w:val="2"/>
          </w:tcPr>
          <w:p>
            <w:pPr>
              <w:jc w:val="right"/>
              <w:ind w:right="195"/>
              <w:spacing w:after="0"/>
              <w:rPr>
                <w:sz w:val="20"/>
                <w:szCs w:val="20"/>
                <w:color w:val="auto"/>
              </w:rPr>
            </w:pPr>
            <w:r>
              <w:rPr>
                <w:rFonts w:ascii="Times New Roman" w:cs="Times New Roman" w:eastAsia="Times New Roman" w:hAnsi="Times New Roman"/>
                <w:sz w:val="20"/>
                <w:szCs w:val="20"/>
                <w:color w:val="auto"/>
                <w:w w:val="93"/>
              </w:rPr>
              <w:t>154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right="660" w:hanging="647"/>
        <w:spacing w:after="0" w:line="289" w:lineRule="auto"/>
        <w:rPr>
          <w:sz w:val="20"/>
          <w:szCs w:val="20"/>
          <w:color w:val="auto"/>
        </w:rPr>
      </w:pPr>
      <w:r>
        <w:rPr>
          <w:rFonts w:ascii="Times New Roman" w:cs="Times New Roman" w:eastAsia="Times New Roman" w:hAnsi="Times New Roman"/>
          <w:sz w:val="20"/>
          <w:szCs w:val="20"/>
          <w:color w:val="auto"/>
        </w:rPr>
        <w:t xml:space="preserve">ARTICLE VIII THE ADMINISTRATIVE AGENTS, THE COLLATERAL AGENTS, THE ISSUING BANKS AND THE SWING LINE LENDERS </w:t>
      </w:r>
      <w:r>
        <w:rPr>
          <w:rFonts w:ascii="Times New Roman" w:cs="Times New Roman" w:eastAsia="Times New Roman" w:hAnsi="Times New Roman"/>
          <w:sz w:val="21"/>
          <w:szCs w:val="21"/>
          <w:color w:val="FF0000"/>
          <w:strike w:val="1"/>
        </w:rPr>
        <w:t>143</w:t>
      </w:r>
      <w:r>
        <w:rPr>
          <w:rFonts w:ascii="Times New Roman" w:cs="Times New Roman" w:eastAsia="Times New Roman" w:hAnsi="Times New Roman"/>
          <w:sz w:val="20"/>
          <w:szCs w:val="20"/>
          <w:u w:val="single" w:color="auto"/>
          <w:color w:val="0000FF"/>
          <w:highlight w:val="lightGray"/>
        </w:rPr>
        <w:t>155</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64"/>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8.01</w:t>
            </w:r>
          </w:p>
        </w:tc>
        <w:tc>
          <w:tcPr>
            <w:tcW w:w="2480" w:type="dxa"/>
            <w:vAlign w:val="bottom"/>
            <w:gridSpan w:val="9"/>
            <w:vMerge w:val="restart"/>
          </w:tcPr>
          <w:p>
            <w:pPr>
              <w:ind w:left="10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340" w:type="dxa"/>
            <w:vAlign w:val="bottom"/>
            <w:gridSpan w:val="6"/>
            <w:vMerge w:val="restart"/>
          </w:tcPr>
          <w:p>
            <w:pPr>
              <w:ind w:left="20"/>
              <w:spacing w:after="0"/>
              <w:rPr>
                <w:sz w:val="20"/>
                <w:szCs w:val="20"/>
                <w:color w:val="auto"/>
              </w:rPr>
            </w:pPr>
            <w:r>
              <w:rPr>
                <w:rFonts w:ascii="Times New Roman" w:cs="Times New Roman" w:eastAsia="Times New Roman" w:hAnsi="Times New Roman"/>
                <w:sz w:val="22"/>
                <w:szCs w:val="22"/>
                <w:color w:val="FF0000"/>
                <w:strike w:val="1"/>
                <w:w w:val="90"/>
              </w:rPr>
              <w:t>143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20" w:type="dxa"/>
            <w:vAlign w:val="bottom"/>
            <w:vMerge w:val="continue"/>
          </w:tcPr>
          <w:p>
            <w:pPr>
              <w:spacing w:after="0"/>
              <w:rPr>
                <w:sz w:val="17"/>
                <w:szCs w:val="17"/>
                <w:color w:val="auto"/>
              </w:rPr>
            </w:pPr>
          </w:p>
        </w:tc>
        <w:tc>
          <w:tcPr>
            <w:tcW w:w="2480" w:type="dxa"/>
            <w:vAlign w:val="bottom"/>
            <w:gridSpan w:val="9"/>
            <w:vMerge w:val="continue"/>
          </w:tcPr>
          <w:p>
            <w:pPr>
              <w:spacing w:after="0"/>
              <w:rPr>
                <w:sz w:val="17"/>
                <w:szCs w:val="17"/>
                <w:color w:val="auto"/>
              </w:rPr>
            </w:pPr>
          </w:p>
        </w:tc>
        <w:tc>
          <w:tcPr>
            <w:tcW w:w="340" w:type="dxa"/>
            <w:vAlign w:val="bottom"/>
            <w:gridSpan w:val="6"/>
            <w:vMerge w:val="continue"/>
          </w:tcPr>
          <w:p>
            <w:pPr>
              <w:spacing w:after="0"/>
              <w:rPr>
                <w:sz w:val="17"/>
                <w:szCs w:val="17"/>
                <w:color w:val="auto"/>
              </w:rPr>
            </w:pPr>
          </w:p>
        </w:tc>
        <w:tc>
          <w:tcPr>
            <w:tcW w:w="300" w:type="dxa"/>
            <w:vAlign w:val="bottom"/>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155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8.02</w:t>
            </w:r>
          </w:p>
        </w:tc>
        <w:tc>
          <w:tcPr>
            <w:tcW w:w="1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Rights as a Lender</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156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21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Exculpatory Provisions</w:t>
            </w:r>
          </w:p>
        </w:tc>
        <w:tc>
          <w:tcPr>
            <w:tcW w:w="36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w w:val="99"/>
              </w:rPr>
              <w:t>156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5860" w:type="dxa"/>
            <w:vAlign w:val="bottom"/>
            <w:gridSpan w:val="29"/>
          </w:tcPr>
          <w:p>
            <w:pPr>
              <w:ind w:left="100"/>
              <w:spacing w:after="0"/>
              <w:rPr>
                <w:sz w:val="20"/>
                <w:szCs w:val="20"/>
                <w:color w:val="auto"/>
              </w:rPr>
            </w:pPr>
            <w:r>
              <w:rPr>
                <w:rFonts w:ascii="Times New Roman" w:cs="Times New Roman" w:eastAsia="Times New Roman" w:hAnsi="Times New Roman"/>
                <w:sz w:val="20"/>
                <w:szCs w:val="20"/>
                <w:color w:val="auto"/>
              </w:rPr>
              <w:t>Reliance by the Agents, the Issuing Banks and the Swing Line Lenders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8.05</w:t>
            </w:r>
          </w:p>
        </w:tc>
        <w:tc>
          <w:tcPr>
            <w:tcW w:w="17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8"/>
              </w:rPr>
              <w:t>Delegation of Duties</w:t>
            </w:r>
          </w:p>
        </w:tc>
        <w:tc>
          <w:tcPr>
            <w:tcW w:w="200" w:type="dxa"/>
            <w:vAlign w:val="bottom"/>
          </w:tcPr>
          <w:p>
            <w:pPr>
              <w:spacing w:after="0"/>
              <w:rPr>
                <w:sz w:val="3"/>
                <w:szCs w:val="3"/>
                <w:color w:val="auto"/>
              </w:rPr>
            </w:pPr>
          </w:p>
        </w:tc>
        <w:tc>
          <w:tcPr>
            <w:tcW w:w="320" w:type="dxa"/>
            <w:vAlign w:val="bottom"/>
            <w:gridSpan w:val="4"/>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145</w:t>
            </w: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32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4"/>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8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157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145</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8.06</w:t>
            </w:r>
          </w:p>
        </w:tc>
        <w:tc>
          <w:tcPr>
            <w:tcW w:w="4160" w:type="dxa"/>
            <w:vAlign w:val="bottom"/>
            <w:gridSpan w:val="25"/>
            <w:vMerge w:val="restart"/>
          </w:tcPr>
          <w:p>
            <w:pPr>
              <w:ind w:left="100"/>
              <w:spacing w:after="0"/>
              <w:rPr>
                <w:sz w:val="20"/>
                <w:szCs w:val="20"/>
                <w:color w:val="auto"/>
              </w:rPr>
            </w:pPr>
            <w:r>
              <w:rPr>
                <w:rFonts w:ascii="Times New Roman" w:cs="Times New Roman" w:eastAsia="Times New Roman" w:hAnsi="Times New Roman"/>
                <w:sz w:val="20"/>
                <w:szCs w:val="20"/>
                <w:color w:val="auto"/>
              </w:rPr>
              <w:t>Resignation of an Agent or a Swing Line Lender</w:t>
            </w:r>
          </w:p>
        </w:tc>
        <w:tc>
          <w:tcPr>
            <w:tcW w:w="3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320" w:type="dxa"/>
            <w:vAlign w:val="bottom"/>
            <w:vMerge w:val="continue"/>
          </w:tcPr>
          <w:p>
            <w:pPr>
              <w:spacing w:after="0"/>
              <w:rPr>
                <w:sz w:val="16"/>
                <w:szCs w:val="16"/>
                <w:color w:val="auto"/>
              </w:rPr>
            </w:pPr>
          </w:p>
        </w:tc>
        <w:tc>
          <w:tcPr>
            <w:tcW w:w="4160" w:type="dxa"/>
            <w:vAlign w:val="bottom"/>
            <w:gridSpan w:val="25"/>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00" w:type="dxa"/>
            <w:vAlign w:val="bottom"/>
            <w:tcBorders>
              <w:bottom w:val="single" w:sz="8" w:color="0000FF"/>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158</w:t>
            </w:r>
          </w:p>
        </w:tc>
        <w:tc>
          <w:tcPr>
            <w:tcW w:w="20" w:type="dxa"/>
            <w:vAlign w:val="bottom"/>
            <w:tcBorders>
              <w:bottom w:val="single" w:sz="8" w:color="0000FF"/>
            </w:tcBorders>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147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8.07</w:t>
            </w:r>
          </w:p>
        </w:tc>
        <w:tc>
          <w:tcPr>
            <w:tcW w:w="5860" w:type="dxa"/>
            <w:vAlign w:val="bottom"/>
            <w:gridSpan w:val="29"/>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Non-Reliance on Agents and Other Lenders; Certain Acknowledgments</w:t>
            </w:r>
          </w:p>
        </w:tc>
        <w:tc>
          <w:tcPr>
            <w:tcW w:w="14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20" w:type="dxa"/>
            <w:vAlign w:val="bottom"/>
            <w:vMerge w:val="continue"/>
          </w:tcPr>
          <w:p>
            <w:pPr>
              <w:spacing w:after="0"/>
              <w:rPr>
                <w:sz w:val="17"/>
                <w:szCs w:val="17"/>
                <w:color w:val="auto"/>
              </w:rPr>
            </w:pPr>
          </w:p>
        </w:tc>
        <w:tc>
          <w:tcPr>
            <w:tcW w:w="5860" w:type="dxa"/>
            <w:vAlign w:val="bottom"/>
            <w:gridSpan w:val="29"/>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159</w:t>
            </w:r>
          </w:p>
        </w:tc>
        <w:tc>
          <w:tcPr>
            <w:tcW w:w="0" w:type="dxa"/>
            <w:vAlign w:val="bottom"/>
          </w:tcPr>
          <w:p>
            <w:pPr>
              <w:spacing w:after="0"/>
              <w:rPr>
                <w:sz w:val="1"/>
                <w:szCs w:val="1"/>
                <w:color w:val="auto"/>
              </w:rPr>
            </w:pPr>
          </w:p>
        </w:tc>
      </w:tr>
      <w:tr>
        <w:trPr>
          <w:trHeight w:val="249"/>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8.08</w:t>
            </w:r>
          </w:p>
        </w:tc>
        <w:tc>
          <w:tcPr>
            <w:tcW w:w="21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Indemnification  160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320" w:type="dxa"/>
            <w:vAlign w:val="bottom"/>
            <w:vMerge w:val="restart"/>
          </w:tcPr>
          <w:p>
            <w:pPr>
              <w:spacing w:after="0" w:line="224" w:lineRule="exact"/>
              <w:rPr>
                <w:sz w:val="20"/>
                <w:szCs w:val="20"/>
                <w:color w:val="auto"/>
              </w:rPr>
            </w:pPr>
            <w:r>
              <w:rPr>
                <w:rFonts w:ascii="Times New Roman" w:cs="Times New Roman" w:eastAsia="Times New Roman" w:hAnsi="Times New Roman"/>
                <w:sz w:val="20"/>
                <w:szCs w:val="20"/>
                <w:color w:val="auto"/>
              </w:rPr>
              <w:t>SECTION 8.09</w:t>
            </w:r>
          </w:p>
        </w:tc>
        <w:tc>
          <w:tcPr>
            <w:tcW w:w="2820" w:type="dxa"/>
            <w:vAlign w:val="bottom"/>
            <w:gridSpan w:val="15"/>
            <w:vMerge w:val="restart"/>
          </w:tcPr>
          <w:p>
            <w:pPr>
              <w:ind w:left="100"/>
              <w:spacing w:after="0" w:line="224" w:lineRule="exact"/>
              <w:rPr>
                <w:sz w:val="20"/>
                <w:szCs w:val="20"/>
                <w:color w:val="auto"/>
              </w:rPr>
            </w:pPr>
            <w:r>
              <w:rPr>
                <w:rFonts w:ascii="Times New Roman" w:cs="Times New Roman" w:eastAsia="Times New Roman" w:hAnsi="Times New Roman"/>
                <w:sz w:val="20"/>
                <w:szCs w:val="20"/>
                <w:color w:val="auto"/>
              </w:rPr>
              <w:t>Collateral and Guaranty Matters</w:t>
            </w:r>
          </w:p>
        </w:tc>
        <w:tc>
          <w:tcPr>
            <w:tcW w:w="40" w:type="dxa"/>
            <w:vAlign w:val="bottom"/>
          </w:tcPr>
          <w:p>
            <w:pPr>
              <w:spacing w:after="0"/>
              <w:rPr>
                <w:sz w:val="3"/>
                <w:szCs w:val="3"/>
                <w:color w:val="auto"/>
              </w:rPr>
            </w:pPr>
          </w:p>
        </w:tc>
        <w:tc>
          <w:tcPr>
            <w:tcW w:w="320" w:type="dxa"/>
            <w:vAlign w:val="bottom"/>
            <w:gridSpan w:val="3"/>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2820" w:type="dxa"/>
            <w:vAlign w:val="bottom"/>
            <w:gridSpan w:val="15"/>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28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161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300" w:type="dxa"/>
            <w:vAlign w:val="bottom"/>
            <w:gridSpan w:val="4"/>
            <w:vMerge w:val="restart"/>
          </w:tcPr>
          <w:p>
            <w:pPr>
              <w:spacing w:after="0" w:line="216" w:lineRule="exact"/>
              <w:rPr>
                <w:sz w:val="20"/>
                <w:szCs w:val="20"/>
                <w:color w:val="auto"/>
              </w:rPr>
            </w:pPr>
            <w:r>
              <w:rPr>
                <w:rFonts w:ascii="Times New Roman" w:cs="Times New Roman" w:eastAsia="Times New Roman" w:hAnsi="Times New Roman"/>
                <w:sz w:val="20"/>
                <w:szCs w:val="20"/>
                <w:color w:val="auto"/>
              </w:rPr>
              <w:t>SECTION 8.10  No Other Duties, etc.</w:t>
            </w:r>
          </w:p>
        </w:tc>
        <w:tc>
          <w:tcPr>
            <w:tcW w:w="340" w:type="dxa"/>
            <w:vAlign w:val="bottom"/>
            <w:gridSpan w:val="5"/>
            <w:vMerge w:val="restart"/>
          </w:tcPr>
          <w:p>
            <w:pPr>
              <w:jc w:val="right"/>
              <w:spacing w:after="0" w:line="217" w:lineRule="exact"/>
              <w:rPr>
                <w:sz w:val="20"/>
                <w:szCs w:val="20"/>
                <w:color w:val="auto"/>
              </w:rPr>
            </w:pPr>
            <w:r>
              <w:rPr>
                <w:rFonts w:ascii="Times New Roman" w:cs="Times New Roman" w:eastAsia="Times New Roman" w:hAnsi="Times New Roman"/>
                <w:sz w:val="22"/>
                <w:szCs w:val="22"/>
                <w:color w:val="FF0000"/>
                <w:strike w:val="1"/>
                <w:w w:val="90"/>
              </w:rPr>
              <w:t>150</w:t>
            </w:r>
          </w:p>
        </w:tc>
        <w:tc>
          <w:tcPr>
            <w:tcW w:w="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00" w:type="dxa"/>
            <w:vAlign w:val="bottom"/>
            <w:tcBorders>
              <w:top w:val="single" w:sz="8" w:color="DDDDDD"/>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300" w:type="dxa"/>
            <w:vAlign w:val="bottom"/>
            <w:gridSpan w:val="4"/>
            <w:vMerge w:val="continue"/>
          </w:tcPr>
          <w:p>
            <w:pPr>
              <w:spacing w:after="0"/>
              <w:rPr>
                <w:sz w:val="16"/>
                <w:szCs w:val="16"/>
                <w:color w:val="auto"/>
              </w:rPr>
            </w:pPr>
          </w:p>
        </w:tc>
        <w:tc>
          <w:tcPr>
            <w:tcW w:w="340" w:type="dxa"/>
            <w:vAlign w:val="bottom"/>
            <w:gridSpan w:val="5"/>
            <w:vMerge w:val="continue"/>
          </w:tcPr>
          <w:p>
            <w:pPr>
              <w:spacing w:after="0"/>
              <w:rPr>
                <w:sz w:val="16"/>
                <w:szCs w:val="16"/>
                <w:color w:val="auto"/>
              </w:rPr>
            </w:pPr>
          </w:p>
        </w:tc>
        <w:tc>
          <w:tcPr>
            <w:tcW w:w="28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163</w:t>
            </w:r>
          </w:p>
        </w:tc>
        <w:tc>
          <w:tcPr>
            <w:tcW w:w="20" w:type="dxa"/>
            <w:vAlign w:val="bottom"/>
            <w:tcBorders>
              <w:bottom w:val="single" w:sz="8" w:color="0000FF"/>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8.11</w:t>
            </w:r>
          </w:p>
        </w:tc>
        <w:tc>
          <w:tcPr>
            <w:tcW w:w="2820" w:type="dxa"/>
            <w:vAlign w:val="bottom"/>
            <w:gridSpan w:val="15"/>
            <w:vMerge w:val="restart"/>
          </w:tcPr>
          <w:p>
            <w:pPr>
              <w:ind w:left="80"/>
              <w:spacing w:after="0"/>
              <w:rPr>
                <w:sz w:val="20"/>
                <w:szCs w:val="20"/>
                <w:color w:val="auto"/>
              </w:rPr>
            </w:pPr>
            <w:r>
              <w:rPr>
                <w:rFonts w:ascii="Times New Roman" w:cs="Times New Roman" w:eastAsia="Times New Roman" w:hAnsi="Times New Roman"/>
                <w:sz w:val="20"/>
                <w:szCs w:val="20"/>
                <w:color w:val="auto"/>
              </w:rPr>
              <w:t>Agents May File Proofs of Claim</w:t>
            </w:r>
          </w:p>
        </w:tc>
        <w:tc>
          <w:tcPr>
            <w:tcW w:w="100" w:type="dxa"/>
            <w:vAlign w:val="bottom"/>
            <w:gridSpan w:val="2"/>
          </w:tcPr>
          <w:p>
            <w:pPr>
              <w:spacing w:after="0"/>
              <w:rPr>
                <w:sz w:val="3"/>
                <w:szCs w:val="3"/>
                <w:color w:val="auto"/>
              </w:rPr>
            </w:pPr>
          </w:p>
        </w:tc>
        <w:tc>
          <w:tcPr>
            <w:tcW w:w="340" w:type="dxa"/>
            <w:vAlign w:val="bottom"/>
            <w:gridSpan w:val="4"/>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2820" w:type="dxa"/>
            <w:vAlign w:val="bottom"/>
            <w:gridSpan w:val="15"/>
            <w:vMerge w:val="continue"/>
          </w:tcPr>
          <w:p>
            <w:pPr>
              <w:spacing w:after="0"/>
              <w:rPr>
                <w:sz w:val="18"/>
                <w:szCs w:val="18"/>
                <w:color w:val="auto"/>
              </w:rPr>
            </w:pPr>
          </w:p>
        </w:tc>
        <w:tc>
          <w:tcPr>
            <w:tcW w:w="100" w:type="dxa"/>
            <w:vAlign w:val="bottom"/>
            <w:gridSpan w:val="2"/>
          </w:tcPr>
          <w:p>
            <w:pPr>
              <w:spacing w:after="0"/>
              <w:rPr>
                <w:sz w:val="18"/>
                <w:szCs w:val="18"/>
                <w:color w:val="auto"/>
              </w:rPr>
            </w:pPr>
          </w:p>
        </w:tc>
        <w:tc>
          <w:tcPr>
            <w:tcW w:w="340" w:type="dxa"/>
            <w:vAlign w:val="bottom"/>
            <w:gridSpan w:val="4"/>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260" w:type="dxa"/>
            <w:vAlign w:val="bottom"/>
            <w:tcBorders>
              <w:bottom w:val="single" w:sz="8" w:color="0000FF"/>
            </w:tcBorders>
            <w:gridSpan w:val="2"/>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163</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8.12</w:t>
            </w:r>
          </w:p>
        </w:tc>
        <w:tc>
          <w:tcPr>
            <w:tcW w:w="21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Certain ERISA Matters</w:t>
            </w:r>
          </w:p>
        </w:tc>
        <w:tc>
          <w:tcPr>
            <w:tcW w:w="40" w:type="dxa"/>
            <w:vAlign w:val="bottom"/>
          </w:tcPr>
          <w:p>
            <w:pPr>
              <w:spacing w:after="0"/>
              <w:rPr>
                <w:sz w:val="3"/>
                <w:szCs w:val="3"/>
                <w:color w:val="auto"/>
              </w:rPr>
            </w:pPr>
          </w:p>
        </w:tc>
        <w:tc>
          <w:tcPr>
            <w:tcW w:w="320" w:type="dxa"/>
            <w:vAlign w:val="bottom"/>
            <w:gridSpan w:val="4"/>
            <w:vMerge w:val="restart"/>
          </w:tcPr>
          <w:p>
            <w:pPr>
              <w:spacing w:after="0" w:line="230" w:lineRule="exact"/>
              <w:rPr>
                <w:sz w:val="20"/>
                <w:szCs w:val="20"/>
                <w:color w:val="auto"/>
              </w:rPr>
            </w:pPr>
            <w:r>
              <w:rPr>
                <w:rFonts w:ascii="Times New Roman" w:cs="Times New Roman" w:eastAsia="Times New Roman" w:hAnsi="Times New Roman"/>
                <w:sz w:val="22"/>
                <w:szCs w:val="22"/>
                <w:color w:val="FF0000"/>
                <w:strike w:val="1"/>
                <w:w w:val="90"/>
              </w:rPr>
              <w:t>151</w:t>
            </w:r>
          </w:p>
        </w:tc>
        <w:tc>
          <w:tcPr>
            <w:tcW w:w="300" w:type="dxa"/>
            <w:vAlign w:val="bottom"/>
            <w:gridSpan w:val="4"/>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top w:val="single" w:sz="8" w:color="DDDDDD"/>
            </w:tcBorders>
          </w:tcPr>
          <w:p>
            <w:pPr>
              <w:spacing w:after="0"/>
              <w:rPr>
                <w:sz w:val="3"/>
                <w:szCs w:val="3"/>
                <w:color w:val="auto"/>
              </w:rPr>
            </w:pPr>
          </w:p>
        </w:tc>
        <w:tc>
          <w:tcPr>
            <w:tcW w:w="60" w:type="dxa"/>
            <w:vAlign w:val="bottom"/>
            <w:tcBorders>
              <w:top w:val="single" w:sz="8" w:color="DDDDDD"/>
            </w:tcBorders>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20" w:type="dxa"/>
            <w:vAlign w:val="bottom"/>
            <w:vMerge w:val="continue"/>
          </w:tcPr>
          <w:p>
            <w:pPr>
              <w:spacing w:after="0"/>
              <w:rPr>
                <w:sz w:val="17"/>
                <w:szCs w:val="17"/>
                <w:color w:val="auto"/>
              </w:rPr>
            </w:pPr>
          </w:p>
        </w:tc>
        <w:tc>
          <w:tcPr>
            <w:tcW w:w="21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300" w:type="dxa"/>
            <w:vAlign w:val="bottom"/>
            <w:tcBorders>
              <w:bottom w:val="single" w:sz="8" w:color="0000FF"/>
            </w:tcBorders>
            <w:gridSpan w:val="4"/>
            <w:shd w:val="clear" w:color="auto" w:fill="DDDDDD"/>
          </w:tcPr>
          <w:p>
            <w:pPr>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164</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8.13</w:t>
            </w:r>
          </w:p>
        </w:tc>
        <w:tc>
          <w:tcPr>
            <w:tcW w:w="17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Erroneous Payments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140"/>
          </w:cols>
          <w:pgMar w:left="320" w:top="114" w:right="43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140"/>
          </w:cols>
          <w:pgMar w:left="320" w:top="114" w:right="439" w:bottom="1440" w:gutter="0" w:footer="0" w:header="0"/>
          <w:type w:val="continuous"/>
        </w:sectPr>
      </w:pPr>
    </w:p>
    <w:bookmarkStart w:id="36" w:name="page37"/>
    <w:bookmarkEnd w:id="36"/>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64"/>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100" w:type="dxa"/>
            <w:vAlign w:val="bottom"/>
          </w:tcPr>
          <w:p>
            <w:pPr>
              <w:spacing w:after="0"/>
              <w:rPr>
                <w:sz w:val="5"/>
                <w:szCs w:val="5"/>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155</w:t>
            </w:r>
          </w:p>
        </w:tc>
        <w:tc>
          <w:tcPr>
            <w:tcW w:w="20" w:type="dxa"/>
            <w:vAlign w:val="bottom"/>
            <w:vMerge w:val="restart"/>
          </w:tcPr>
          <w:p>
            <w:pPr>
              <w:spacing w:after="0"/>
              <w:rPr>
                <w:sz w:val="5"/>
                <w:szCs w:val="5"/>
                <w:color w:val="auto"/>
              </w:rPr>
            </w:pPr>
          </w:p>
        </w:tc>
        <w:tc>
          <w:tcPr>
            <w:tcW w:w="1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gridSpan w:val="8"/>
            <w:shd w:val="clear" w:color="auto" w:fill="DDDDDD"/>
          </w:tcPr>
          <w:p>
            <w:pPr>
              <w:jc w:val="right"/>
              <w:ind w:right="20"/>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168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9.01</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155</w:t>
            </w:r>
          </w:p>
        </w:tc>
        <w:tc>
          <w:tcPr>
            <w:tcW w:w="100" w:type="dxa"/>
            <w:vAlign w:val="bottom"/>
          </w:tcPr>
          <w:p>
            <w:pPr>
              <w:spacing w:after="0"/>
              <w:rPr>
                <w:sz w:val="23"/>
                <w:szCs w:val="23"/>
                <w:color w:val="auto"/>
              </w:rPr>
            </w:pPr>
          </w:p>
        </w:tc>
        <w:tc>
          <w:tcPr>
            <w:tcW w:w="200" w:type="dxa"/>
            <w:vAlign w:val="bottom"/>
            <w:tcBorders>
              <w:top w:val="single" w:sz="8" w:color="0000FF"/>
            </w:tcBorders>
            <w:gridSpan w:val="3"/>
          </w:tcPr>
          <w:p>
            <w:pPr>
              <w:spacing w:after="0"/>
              <w:rPr>
                <w:sz w:val="23"/>
                <w:szCs w:val="23"/>
                <w:color w:val="auto"/>
              </w:rPr>
            </w:pPr>
          </w:p>
        </w:tc>
        <w:tc>
          <w:tcPr>
            <w:tcW w:w="20" w:type="dxa"/>
            <w:vAlign w:val="bottom"/>
            <w:tcBorders>
              <w:top w:val="single" w:sz="8" w:color="0000FF"/>
            </w:tcBorders>
            <w:vMerge w:val="restart"/>
          </w:tcPr>
          <w:p>
            <w:pPr>
              <w:spacing w:after="0"/>
              <w:rPr>
                <w:sz w:val="23"/>
                <w:szCs w:val="23"/>
                <w:color w:val="auto"/>
              </w:rPr>
            </w:pPr>
          </w:p>
        </w:tc>
        <w:tc>
          <w:tcPr>
            <w:tcW w:w="20" w:type="dxa"/>
            <w:vAlign w:val="bottom"/>
            <w:tcBorders>
              <w:top w:val="single" w:sz="8" w:color="0000FF"/>
            </w:tcBorders>
            <w:vMerge w:val="restart"/>
          </w:tcPr>
          <w:p>
            <w:pPr>
              <w:spacing w:after="0"/>
              <w:rPr>
                <w:sz w:val="23"/>
                <w:szCs w:val="23"/>
                <w:color w:val="auto"/>
              </w:rPr>
            </w:pPr>
          </w:p>
        </w:tc>
        <w:tc>
          <w:tcPr>
            <w:tcW w:w="20" w:type="dxa"/>
            <w:vAlign w:val="bottom"/>
            <w:tcBorders>
              <w:top w:val="single" w:sz="8" w:color="0000FF"/>
            </w:tcBorders>
            <w:vMerge w:val="restart"/>
          </w:tcPr>
          <w:p>
            <w:pPr>
              <w:spacing w:after="0"/>
              <w:rPr>
                <w:sz w:val="23"/>
                <w:szCs w:val="23"/>
                <w:color w:val="auto"/>
              </w:rPr>
            </w:pPr>
          </w:p>
        </w:tc>
        <w:tc>
          <w:tcPr>
            <w:tcW w:w="20" w:type="dxa"/>
            <w:vAlign w:val="bottom"/>
            <w:tcBorders>
              <w:top w:val="single" w:sz="8" w:color="0000FF"/>
            </w:tcBorders>
            <w:vMerge w:val="restart"/>
          </w:tcPr>
          <w:p>
            <w:pPr>
              <w:spacing w:after="0"/>
              <w:rPr>
                <w:sz w:val="23"/>
                <w:szCs w:val="23"/>
                <w:color w:val="auto"/>
              </w:rPr>
            </w:pPr>
          </w:p>
        </w:tc>
        <w:tc>
          <w:tcPr>
            <w:tcW w:w="20" w:type="dxa"/>
            <w:vAlign w:val="bottom"/>
            <w:tcBorders>
              <w:top w:val="single" w:sz="8" w:color="0000FF"/>
            </w:tcBorders>
            <w:vMerge w:val="restart"/>
          </w:tcPr>
          <w:p>
            <w:pPr>
              <w:spacing w:after="0"/>
              <w:rPr>
                <w:sz w:val="23"/>
                <w:szCs w:val="23"/>
                <w:color w:val="auto"/>
              </w:rPr>
            </w:pPr>
          </w:p>
        </w:tc>
        <w:tc>
          <w:tcPr>
            <w:tcW w:w="20" w:type="dxa"/>
            <w:vAlign w:val="bottom"/>
            <w:tcBorders>
              <w:top w:val="single" w:sz="8" w:color="DDDDDD"/>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300" w:type="dxa"/>
            <w:vAlign w:val="bottom"/>
            <w:tcBorders>
              <w:left w:val="single" w:sz="8" w:color="DDDDDD"/>
              <w:bottom w:val="single" w:sz="8" w:color="0000FF"/>
            </w:tcBorders>
            <w:gridSpan w:val="4"/>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168</w:t>
            </w:r>
          </w:p>
        </w:tc>
        <w:tc>
          <w:tcPr>
            <w:tcW w:w="20" w:type="dxa"/>
            <w:vAlign w:val="bottom"/>
            <w:tcBorders>
              <w:bottom w:val="single" w:sz="8" w:color="0000FF"/>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9"/>
                <w:szCs w:val="19"/>
                <w:color w:val="FF0000"/>
                <w:strike w:val="1"/>
                <w:w w:val="77"/>
              </w:rPr>
              <w:t>157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left w:val="single" w:sz="8" w:color="DDDDDD"/>
            </w:tcBorders>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gridSpan w:val="6"/>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9.02</w:t>
            </w:r>
          </w:p>
        </w:tc>
        <w:tc>
          <w:tcPr>
            <w:tcW w:w="2020" w:type="dxa"/>
            <w:vAlign w:val="bottom"/>
            <w:gridSpan w:val="21"/>
            <w:vMerge w:val="restart"/>
          </w:tcPr>
          <w:p>
            <w:pPr>
              <w:ind w:left="100"/>
              <w:spacing w:after="0" w:line="216" w:lineRule="exact"/>
              <w:rPr>
                <w:sz w:val="20"/>
                <w:szCs w:val="20"/>
                <w:color w:val="auto"/>
              </w:rPr>
            </w:pPr>
            <w:r>
              <w:rPr>
                <w:rFonts w:ascii="Times New Roman" w:cs="Times New Roman" w:eastAsia="Times New Roman" w:hAnsi="Times New Roman"/>
                <w:sz w:val="20"/>
                <w:szCs w:val="20"/>
                <w:color w:val="auto"/>
              </w:rPr>
              <w:t>Survival of Agreement</w:t>
            </w:r>
          </w:p>
        </w:tc>
        <w:tc>
          <w:tcPr>
            <w:tcW w:w="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4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2020" w:type="dxa"/>
            <w:vAlign w:val="bottom"/>
            <w:gridSpan w:val="21"/>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9.03</w:t>
            </w:r>
          </w:p>
        </w:tc>
        <w:tc>
          <w:tcPr>
            <w:tcW w:w="14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Binding Effect</w:t>
            </w:r>
          </w:p>
        </w:tc>
        <w:tc>
          <w:tcPr>
            <w:tcW w:w="460" w:type="dxa"/>
            <w:vAlign w:val="bottom"/>
            <w:gridSpan w:val="10"/>
          </w:tcPr>
          <w:p>
            <w:pPr>
              <w:jc w:val="right"/>
              <w:ind w:right="12"/>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9.04</w:t>
            </w:r>
          </w:p>
        </w:tc>
        <w:tc>
          <w:tcPr>
            <w:tcW w:w="2020" w:type="dxa"/>
            <w:vAlign w:val="bottom"/>
            <w:gridSpan w:val="21"/>
          </w:tcPr>
          <w:p>
            <w:pPr>
              <w:ind w:left="100"/>
              <w:spacing w:after="0"/>
              <w:rPr>
                <w:sz w:val="20"/>
                <w:szCs w:val="20"/>
                <w:color w:val="auto"/>
              </w:rPr>
            </w:pPr>
            <w:r>
              <w:rPr>
                <w:rFonts w:ascii="Times New Roman" w:cs="Times New Roman" w:eastAsia="Times New Roman" w:hAnsi="Times New Roman"/>
                <w:sz w:val="20"/>
                <w:szCs w:val="20"/>
                <w:color w:val="auto"/>
                <w:w w:val="99"/>
              </w:rPr>
              <w:t>Successors and Assigns</w:t>
            </w:r>
          </w:p>
        </w:tc>
        <w:tc>
          <w:tcPr>
            <w:tcW w:w="460" w:type="dxa"/>
            <w:vAlign w:val="bottom"/>
            <w:gridSpan w:val="10"/>
          </w:tcPr>
          <w:p>
            <w:pPr>
              <w:jc w:val="center"/>
              <w:ind w:left="57"/>
              <w:spacing w:after="0"/>
              <w:rPr>
                <w:sz w:val="20"/>
                <w:szCs w:val="20"/>
                <w:color w:val="auto"/>
              </w:rPr>
            </w:pPr>
            <w:r>
              <w:rPr>
                <w:rFonts w:ascii="Times New Roman" w:cs="Times New Roman" w:eastAsia="Times New Roman" w:hAnsi="Times New Roman"/>
                <w:sz w:val="20"/>
                <w:szCs w:val="20"/>
                <w:color w:val="auto"/>
                <w:w w:val="99"/>
              </w:rPr>
              <w:t>171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9.05</w:t>
            </w:r>
          </w:p>
        </w:tc>
        <w:tc>
          <w:tcPr>
            <w:tcW w:w="1960" w:type="dxa"/>
            <w:vAlign w:val="bottom"/>
            <w:gridSpan w:val="20"/>
            <w:vMerge w:val="restart"/>
          </w:tcPr>
          <w:p>
            <w:pPr>
              <w:ind w:left="100"/>
              <w:spacing w:after="0"/>
              <w:rPr>
                <w:sz w:val="20"/>
                <w:szCs w:val="20"/>
                <w:color w:val="auto"/>
              </w:rPr>
            </w:pPr>
            <w:r>
              <w:rPr>
                <w:rFonts w:ascii="Times New Roman" w:cs="Times New Roman" w:eastAsia="Times New Roman" w:hAnsi="Times New Roman"/>
                <w:sz w:val="20"/>
                <w:szCs w:val="20"/>
                <w:color w:val="auto"/>
              </w:rPr>
              <w:t>Expenses; Indemnity</w:t>
            </w:r>
          </w:p>
        </w:tc>
        <w:tc>
          <w:tcPr>
            <w:tcW w:w="340" w:type="dxa"/>
            <w:vAlign w:val="bottom"/>
            <w:gridSpan w:val="4"/>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6"/>
              </w:rPr>
              <w:t>163</w:t>
            </w: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960" w:type="dxa"/>
            <w:vAlign w:val="bottom"/>
            <w:gridSpan w:val="20"/>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right w:val="single" w:sz="8" w:color="DDDDDD"/>
            </w:tcBorders>
            <w:gridSpan w:val="8"/>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79"/>
              </w:rPr>
              <w:t>177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9.06</w:t>
            </w:r>
          </w:p>
        </w:tc>
        <w:tc>
          <w:tcPr>
            <w:tcW w:w="14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Right of Setoff</w:t>
            </w:r>
          </w:p>
        </w:tc>
        <w:tc>
          <w:tcPr>
            <w:tcW w:w="46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9.07</w:t>
            </w:r>
          </w:p>
        </w:tc>
        <w:tc>
          <w:tcPr>
            <w:tcW w:w="1420" w:type="dxa"/>
            <w:vAlign w:val="bottom"/>
            <w:gridSpan w:val="6"/>
            <w:vMerge w:val="restart"/>
          </w:tcPr>
          <w:p>
            <w:pPr>
              <w:ind w:left="100"/>
              <w:spacing w:after="0"/>
              <w:rPr>
                <w:sz w:val="20"/>
                <w:szCs w:val="20"/>
                <w:color w:val="auto"/>
              </w:rPr>
            </w:pPr>
            <w:r>
              <w:rPr>
                <w:rFonts w:ascii="Times New Roman" w:cs="Times New Roman" w:eastAsia="Times New Roman" w:hAnsi="Times New Roman"/>
                <w:sz w:val="20"/>
                <w:szCs w:val="20"/>
                <w:color w:val="auto"/>
              </w:rPr>
              <w:t>Applicable Law</w:t>
            </w:r>
          </w:p>
        </w:tc>
        <w:tc>
          <w:tcPr>
            <w:tcW w:w="140" w:type="dxa"/>
            <w:vAlign w:val="bottom"/>
            <w:gridSpan w:val="3"/>
          </w:tcPr>
          <w:p>
            <w:pPr>
              <w:spacing w:after="0"/>
              <w:rPr>
                <w:sz w:val="3"/>
                <w:szCs w:val="3"/>
                <w:color w:val="auto"/>
              </w:rPr>
            </w:pPr>
          </w:p>
        </w:tc>
        <w:tc>
          <w:tcPr>
            <w:tcW w:w="320" w:type="dxa"/>
            <w:vAlign w:val="bottom"/>
            <w:gridSpan w:val="7"/>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166</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420" w:type="dxa"/>
            <w:vAlign w:val="bottom"/>
            <w:gridSpan w:val="6"/>
            <w:vMerge w:val="continue"/>
          </w:tcPr>
          <w:p>
            <w:pPr>
              <w:spacing w:after="0"/>
              <w:rPr>
                <w:sz w:val="16"/>
                <w:szCs w:val="16"/>
                <w:color w:val="auto"/>
              </w:rPr>
            </w:pPr>
          </w:p>
        </w:tc>
        <w:tc>
          <w:tcPr>
            <w:tcW w:w="140" w:type="dxa"/>
            <w:vAlign w:val="bottom"/>
            <w:gridSpan w:val="3"/>
          </w:tcPr>
          <w:p>
            <w:pPr>
              <w:spacing w:after="0"/>
              <w:rPr>
                <w:sz w:val="16"/>
                <w:szCs w:val="16"/>
                <w:color w:val="auto"/>
              </w:rPr>
            </w:pPr>
          </w:p>
        </w:tc>
        <w:tc>
          <w:tcPr>
            <w:tcW w:w="320" w:type="dxa"/>
            <w:vAlign w:val="bottom"/>
            <w:gridSpan w:val="7"/>
            <w:vMerge w:val="continue"/>
          </w:tcPr>
          <w:p>
            <w:pPr>
              <w:spacing w:after="0"/>
              <w:rPr>
                <w:sz w:val="16"/>
                <w:szCs w:val="16"/>
                <w:color w:val="auto"/>
              </w:rPr>
            </w:pPr>
          </w:p>
        </w:tc>
        <w:tc>
          <w:tcPr>
            <w:tcW w:w="320" w:type="dxa"/>
            <w:vAlign w:val="bottom"/>
            <w:tcBorders>
              <w:right w:val="single" w:sz="8" w:color="DDDDDD"/>
            </w:tcBorders>
            <w:gridSpan w:val="7"/>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180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9.08</w:t>
            </w:r>
          </w:p>
        </w:tc>
        <w:tc>
          <w:tcPr>
            <w:tcW w:w="1880" w:type="dxa"/>
            <w:vAlign w:val="bottom"/>
            <w:gridSpan w:val="16"/>
            <w:vMerge w:val="restart"/>
          </w:tcPr>
          <w:p>
            <w:pPr>
              <w:ind w:left="100"/>
              <w:spacing w:after="0"/>
              <w:rPr>
                <w:sz w:val="20"/>
                <w:szCs w:val="20"/>
                <w:color w:val="auto"/>
              </w:rPr>
            </w:pPr>
            <w:r>
              <w:rPr>
                <w:rFonts w:ascii="Times New Roman" w:cs="Times New Roman" w:eastAsia="Times New Roman" w:hAnsi="Times New Roman"/>
                <w:sz w:val="20"/>
                <w:szCs w:val="20"/>
                <w:color w:val="auto"/>
                <w:w w:val="98"/>
              </w:rPr>
              <w:t>Waivers; Amendment</w:t>
            </w:r>
          </w:p>
        </w:tc>
        <w:tc>
          <w:tcPr>
            <w:tcW w:w="140" w:type="dxa"/>
            <w:vAlign w:val="bottom"/>
            <w:gridSpan w:val="5"/>
            <w:vMerge w:val="restart"/>
          </w:tcPr>
          <w:p>
            <w:pPr>
              <w:spacing w:after="0"/>
              <w:rPr>
                <w:sz w:val="4"/>
                <w:szCs w:val="4"/>
                <w:color w:val="auto"/>
              </w:rPr>
            </w:pPr>
          </w:p>
        </w:tc>
        <w:tc>
          <w:tcPr>
            <w:tcW w:w="320" w:type="dxa"/>
            <w:vAlign w:val="bottom"/>
            <w:gridSpan w:val="5"/>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strike w:val="1"/>
                <w:w w:val="90"/>
              </w:rPr>
              <w:t>166</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880" w:type="dxa"/>
            <w:vAlign w:val="bottom"/>
            <w:gridSpan w:val="16"/>
            <w:vMerge w:val="continue"/>
          </w:tcPr>
          <w:p>
            <w:pPr>
              <w:spacing w:after="0"/>
              <w:rPr>
                <w:sz w:val="16"/>
                <w:szCs w:val="16"/>
                <w:color w:val="auto"/>
              </w:rPr>
            </w:pPr>
          </w:p>
        </w:tc>
        <w:tc>
          <w:tcPr>
            <w:tcW w:w="140" w:type="dxa"/>
            <w:vAlign w:val="bottom"/>
            <w:gridSpan w:val="5"/>
            <w:vMerge w:val="continue"/>
          </w:tcPr>
          <w:p>
            <w:pPr>
              <w:spacing w:after="0"/>
              <w:rPr>
                <w:sz w:val="16"/>
                <w:szCs w:val="16"/>
                <w:color w:val="auto"/>
              </w:rPr>
            </w:pPr>
          </w:p>
        </w:tc>
        <w:tc>
          <w:tcPr>
            <w:tcW w:w="320" w:type="dxa"/>
            <w:vAlign w:val="bottom"/>
            <w:gridSpan w:val="5"/>
            <w:vMerge w:val="continue"/>
          </w:tcPr>
          <w:p>
            <w:pPr>
              <w:spacing w:after="0"/>
              <w:rPr>
                <w:sz w:val="16"/>
                <w:szCs w:val="16"/>
                <w:color w:val="auto"/>
              </w:rPr>
            </w:pPr>
          </w:p>
        </w:tc>
        <w:tc>
          <w:tcPr>
            <w:tcW w:w="300" w:type="dxa"/>
            <w:vAlign w:val="bottom"/>
            <w:tcBorders>
              <w:bottom w:val="single" w:sz="8" w:color="0000FF"/>
            </w:tcBorders>
            <w:gridSpan w:val="8"/>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180</w:t>
            </w:r>
          </w:p>
        </w:tc>
        <w:tc>
          <w:tcPr>
            <w:tcW w:w="20" w:type="dxa"/>
            <w:vAlign w:val="bottom"/>
            <w:tcBorders>
              <w:bottom w:val="single" w:sz="8" w:color="0000FF"/>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80" w:type="dxa"/>
            <w:vAlign w:val="bottom"/>
            <w:tcBorders>
              <w:right w:val="single" w:sz="8" w:color="DDDDDD"/>
            </w:tcBorders>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9.09</w:t>
            </w:r>
          </w:p>
        </w:tc>
        <w:tc>
          <w:tcPr>
            <w:tcW w:w="2020" w:type="dxa"/>
            <w:vAlign w:val="bottom"/>
            <w:gridSpan w:val="21"/>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Interest Rate Limitation</w:t>
            </w: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gridSpan w:val="9"/>
            <w:vMerge w:val="restart"/>
          </w:tcPr>
          <w:p>
            <w:pPr>
              <w:jc w:val="center"/>
              <w:spacing w:after="0" w:line="230" w:lineRule="exact"/>
              <w:rPr>
                <w:sz w:val="20"/>
                <w:szCs w:val="20"/>
                <w:color w:val="auto"/>
              </w:rPr>
            </w:pPr>
            <w:r>
              <w:rPr>
                <w:rFonts w:ascii="Times New Roman" w:cs="Times New Roman" w:eastAsia="Times New Roman" w:hAnsi="Times New Roman"/>
                <w:sz w:val="22"/>
                <w:szCs w:val="22"/>
                <w:color w:val="FF0000"/>
                <w:strike w:val="1"/>
                <w:w w:val="96"/>
              </w:rPr>
              <w:t>170</w:t>
            </w:r>
          </w:p>
        </w:tc>
        <w:tc>
          <w:tcPr>
            <w:tcW w:w="240" w:type="dxa"/>
            <w:vAlign w:val="bottom"/>
            <w:gridSpan w:val="5"/>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22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2020" w:type="dxa"/>
            <w:vAlign w:val="bottom"/>
            <w:gridSpan w:val="21"/>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280" w:type="dxa"/>
            <w:vAlign w:val="bottom"/>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185</w:t>
            </w:r>
          </w:p>
        </w:tc>
        <w:tc>
          <w:tcPr>
            <w:tcW w:w="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9.10</w:t>
            </w:r>
          </w:p>
        </w:tc>
        <w:tc>
          <w:tcPr>
            <w:tcW w:w="170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rPr>
              <w:t>Entire Agreement</w:t>
            </w:r>
          </w:p>
        </w:tc>
        <w:tc>
          <w:tcPr>
            <w:tcW w:w="32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w w:val="93"/>
              </w:rPr>
              <w:t>185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9.11</w:t>
            </w:r>
          </w:p>
        </w:tc>
        <w:tc>
          <w:tcPr>
            <w:tcW w:w="6600" w:type="dxa"/>
            <w:vAlign w:val="bottom"/>
            <w:gridSpan w:val="48"/>
          </w:tcPr>
          <w:p>
            <w:pPr>
              <w:ind w:left="100"/>
              <w:spacing w:after="0"/>
              <w:rPr>
                <w:sz w:val="20"/>
                <w:szCs w:val="20"/>
                <w:color w:val="auto"/>
              </w:rPr>
            </w:pPr>
            <w:r>
              <w:rPr>
                <w:rFonts w:ascii="Times New Roman" w:cs="Times New Roman" w:eastAsia="Times New Roman" w:hAnsi="Times New Roman"/>
                <w:sz w:val="20"/>
                <w:szCs w:val="20"/>
                <w:color w:val="auto"/>
              </w:rPr>
              <w:t>WAIVER OF JURY TRIAL  185</w:t>
            </w: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9.12</w:t>
            </w:r>
          </w:p>
        </w:tc>
        <w:tc>
          <w:tcPr>
            <w:tcW w:w="1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360" w:type="dxa"/>
            <w:vAlign w:val="bottom"/>
            <w:gridSpan w:val="7"/>
            <w:vMerge w:val="restart"/>
          </w:tcPr>
          <w:p>
            <w:pPr>
              <w:ind w:left="40"/>
              <w:spacing w:after="0" w:line="230" w:lineRule="exact"/>
              <w:rPr>
                <w:sz w:val="20"/>
                <w:szCs w:val="20"/>
                <w:color w:val="auto"/>
              </w:rPr>
            </w:pPr>
            <w:r>
              <w:rPr>
                <w:rFonts w:ascii="Times New Roman" w:cs="Times New Roman" w:eastAsia="Times New Roman" w:hAnsi="Times New Roman"/>
                <w:sz w:val="22"/>
                <w:szCs w:val="22"/>
                <w:color w:val="FF0000"/>
                <w:strike w:val="1"/>
                <w:w w:val="90"/>
              </w:rPr>
              <w:t>171</w:t>
            </w: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360" w:type="dxa"/>
            <w:vAlign w:val="bottom"/>
            <w:gridSpan w:val="7"/>
            <w:vMerge w:val="continue"/>
          </w:tcPr>
          <w:p>
            <w:pPr>
              <w:spacing w:after="0"/>
              <w:rPr>
                <w:sz w:val="16"/>
                <w:szCs w:val="16"/>
                <w:color w:val="auto"/>
              </w:rPr>
            </w:pPr>
          </w:p>
        </w:tc>
        <w:tc>
          <w:tcPr>
            <w:tcW w:w="300" w:type="dxa"/>
            <w:vAlign w:val="bottom"/>
            <w:tcBorders>
              <w:bottom w:val="single" w:sz="8" w:color="0000FF"/>
              <w:right w:val="single" w:sz="8" w:color="DDDDDD"/>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186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140" w:type="dxa"/>
            <w:vAlign w:val="bottom"/>
            <w:tcBorders>
              <w:right w:val="single" w:sz="8" w:color="DDDDDD"/>
            </w:tcBorders>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9.13</w:t>
            </w:r>
          </w:p>
        </w:tc>
        <w:tc>
          <w:tcPr>
            <w:tcW w:w="1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Counterparts</w:t>
            </w:r>
          </w:p>
        </w:tc>
        <w:tc>
          <w:tcPr>
            <w:tcW w:w="100" w:type="dxa"/>
            <w:vAlign w:val="bottom"/>
          </w:tcPr>
          <w:p>
            <w:pPr>
              <w:spacing w:after="0"/>
              <w:rPr>
                <w:sz w:val="3"/>
                <w:szCs w:val="3"/>
                <w:color w:val="auto"/>
              </w:rPr>
            </w:pPr>
          </w:p>
        </w:tc>
        <w:tc>
          <w:tcPr>
            <w:tcW w:w="320" w:type="dxa"/>
            <w:vAlign w:val="bottom"/>
            <w:gridSpan w:val="9"/>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171</w:t>
            </w:r>
          </w:p>
        </w:tc>
        <w:tc>
          <w:tcPr>
            <w:tcW w:w="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30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186</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9.14</w:t>
            </w:r>
          </w:p>
        </w:tc>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Headings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172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80" w:type="dxa"/>
            <w:vAlign w:val="bottom"/>
            <w:vMerge w:val="restart"/>
          </w:tcPr>
          <w:p>
            <w:pPr>
              <w:ind w:left="660"/>
              <w:spacing w:after="0" w:line="212" w:lineRule="exact"/>
              <w:rPr>
                <w:sz w:val="20"/>
                <w:szCs w:val="20"/>
                <w:color w:val="auto"/>
              </w:rPr>
            </w:pPr>
            <w:r>
              <w:rPr>
                <w:rFonts w:ascii="Times New Roman" w:cs="Times New Roman" w:eastAsia="Times New Roman" w:hAnsi="Times New Roman"/>
                <w:sz w:val="20"/>
                <w:szCs w:val="20"/>
                <w:color w:val="auto"/>
              </w:rPr>
              <w:t>SECTION 9.15</w:t>
            </w:r>
          </w:p>
        </w:tc>
        <w:tc>
          <w:tcPr>
            <w:tcW w:w="3700" w:type="dxa"/>
            <w:vAlign w:val="bottom"/>
            <w:gridSpan w:val="41"/>
            <w:vMerge w:val="restart"/>
          </w:tcPr>
          <w:p>
            <w:pPr>
              <w:ind w:left="100"/>
              <w:spacing w:after="0" w:line="212" w:lineRule="exact"/>
              <w:rPr>
                <w:sz w:val="20"/>
                <w:szCs w:val="20"/>
                <w:color w:val="auto"/>
              </w:rPr>
            </w:pPr>
            <w:r>
              <w:rPr>
                <w:rFonts w:ascii="Times New Roman" w:cs="Times New Roman" w:eastAsia="Times New Roman" w:hAnsi="Times New Roman"/>
                <w:sz w:val="20"/>
                <w:szCs w:val="20"/>
                <w:color w:val="auto"/>
              </w:rPr>
              <w:t>Jurisdiction; Consent to Service of Process</w:t>
            </w:r>
          </w:p>
        </w:tc>
        <w:tc>
          <w:tcPr>
            <w:tcW w:w="32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700" w:type="dxa"/>
            <w:vAlign w:val="bottom"/>
            <w:gridSpan w:val="41"/>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187</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9.16</w:t>
            </w:r>
          </w:p>
        </w:tc>
        <w:tc>
          <w:tcPr>
            <w:tcW w:w="14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46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84"/>
              </w:rPr>
              <w:t>173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80" w:type="dxa"/>
            <w:vAlign w:val="bottom"/>
            <w:vMerge w:val="restart"/>
          </w:tcPr>
          <w:p>
            <w:pPr>
              <w:ind w:left="660"/>
              <w:spacing w:after="0" w:line="212" w:lineRule="exact"/>
              <w:rPr>
                <w:sz w:val="20"/>
                <w:szCs w:val="20"/>
                <w:color w:val="auto"/>
              </w:rPr>
            </w:pPr>
            <w:r>
              <w:rPr>
                <w:rFonts w:ascii="Times New Roman" w:cs="Times New Roman" w:eastAsia="Times New Roman" w:hAnsi="Times New Roman"/>
                <w:sz w:val="20"/>
                <w:szCs w:val="20"/>
                <w:color w:val="auto"/>
              </w:rPr>
              <w:t>SECTION 9.17</w:t>
            </w:r>
          </w:p>
        </w:tc>
        <w:tc>
          <w:tcPr>
            <w:tcW w:w="1700" w:type="dxa"/>
            <w:vAlign w:val="bottom"/>
            <w:gridSpan w:val="14"/>
            <w:vMerge w:val="restart"/>
          </w:tcPr>
          <w:p>
            <w:pPr>
              <w:ind w:left="100"/>
              <w:spacing w:after="0" w:line="212" w:lineRule="exact"/>
              <w:rPr>
                <w:sz w:val="20"/>
                <w:szCs w:val="20"/>
                <w:color w:val="auto"/>
              </w:rPr>
            </w:pPr>
            <w:r>
              <w:rPr>
                <w:rFonts w:ascii="Times New Roman" w:cs="Times New Roman" w:eastAsia="Times New Roman" w:hAnsi="Times New Roman"/>
                <w:sz w:val="20"/>
                <w:szCs w:val="20"/>
                <w:color w:val="auto"/>
              </w:rPr>
              <w:t>Judgment Currency</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7"/>
            <w:vMerge w:val="continu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700" w:type="dxa"/>
            <w:vAlign w:val="bottom"/>
            <w:gridSpan w:val="14"/>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gridSpan w:val="7"/>
            <w:vMerge w:val="continue"/>
          </w:tcPr>
          <w:p>
            <w:pPr>
              <w:spacing w:after="0"/>
              <w:rPr>
                <w:sz w:val="16"/>
                <w:szCs w:val="16"/>
                <w:color w:val="auto"/>
              </w:rPr>
            </w:pPr>
          </w:p>
        </w:tc>
        <w:tc>
          <w:tcPr>
            <w:tcW w:w="280" w:type="dxa"/>
            <w:vAlign w:val="bottom"/>
            <w:tcBorders>
              <w:bottom w:val="single" w:sz="8" w:color="0000FF"/>
            </w:tcBorders>
            <w:gridSpan w:val="8"/>
            <w:shd w:val="clear" w:color="auto" w:fill="DDDDDD"/>
          </w:tcPr>
          <w:p>
            <w:pPr>
              <w:jc w:val="center"/>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188</w:t>
            </w:r>
          </w:p>
        </w:tc>
        <w:tc>
          <w:tcPr>
            <w:tcW w:w="40" w:type="dxa"/>
            <w:vAlign w:val="bottom"/>
            <w:tcBorders>
              <w:left w:val="single" w:sz="8" w:color="DDDDDD"/>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40" w:type="dxa"/>
            <w:vAlign w:val="bottom"/>
            <w:tcBorders>
              <w:left w:val="single" w:sz="8" w:color="DDDDD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9.18</w:t>
            </w:r>
          </w:p>
        </w:tc>
        <w:tc>
          <w:tcPr>
            <w:tcW w:w="2020" w:type="dxa"/>
            <w:vAlign w:val="bottom"/>
            <w:gridSpan w:val="21"/>
            <w:vMerge w:val="restart"/>
          </w:tcPr>
          <w:p>
            <w:pPr>
              <w:ind w:left="100"/>
              <w:spacing w:after="0"/>
              <w:rPr>
                <w:sz w:val="20"/>
                <w:szCs w:val="20"/>
                <w:color w:val="auto"/>
              </w:rPr>
            </w:pPr>
            <w:r>
              <w:rPr>
                <w:rFonts w:ascii="Times New Roman" w:cs="Times New Roman" w:eastAsia="Times New Roman" w:hAnsi="Times New Roman"/>
                <w:sz w:val="20"/>
                <w:szCs w:val="20"/>
                <w:color w:val="auto"/>
              </w:rPr>
              <w:t>Exculpation Provisions</w:t>
            </w: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gridSpan w:val="7"/>
            <w:vMerge w:val="restart"/>
          </w:tcPr>
          <w:p>
            <w:pPr>
              <w:jc w:val="center"/>
              <w:spacing w:after="0" w:line="230" w:lineRule="exact"/>
              <w:rPr>
                <w:sz w:val="20"/>
                <w:szCs w:val="20"/>
                <w:color w:val="auto"/>
              </w:rPr>
            </w:pPr>
            <w:r>
              <w:rPr>
                <w:rFonts w:ascii="Times New Roman" w:cs="Times New Roman" w:eastAsia="Times New Roman" w:hAnsi="Times New Roman"/>
                <w:sz w:val="22"/>
                <w:szCs w:val="22"/>
                <w:color w:val="FF0000"/>
                <w:strike w:val="1"/>
                <w:w w:val="78"/>
              </w:rPr>
              <w:t>174</w:t>
            </w:r>
          </w:p>
        </w:tc>
        <w:tc>
          <w:tcPr>
            <w:tcW w:w="20" w:type="dxa"/>
            <w:vAlign w:val="bottom"/>
            <w:vMerge w:val="restart"/>
          </w:tcPr>
          <w:p>
            <w:pPr>
              <w:spacing w:after="0"/>
              <w:rPr>
                <w:sz w:val="3"/>
                <w:szCs w:val="3"/>
                <w:color w:val="auto"/>
              </w:rPr>
            </w:pPr>
          </w:p>
        </w:tc>
        <w:tc>
          <w:tcPr>
            <w:tcW w:w="280" w:type="dxa"/>
            <w:vAlign w:val="bottom"/>
            <w:gridSpan w:val="6"/>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2020" w:type="dxa"/>
            <w:vAlign w:val="bottom"/>
            <w:gridSpan w:val="21"/>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left w:val="single" w:sz="8" w:color="DDDDDD"/>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86"/>
              </w:rPr>
              <w:t>189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9.19</w:t>
            </w:r>
          </w:p>
        </w:tc>
        <w:tc>
          <w:tcPr>
            <w:tcW w:w="170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w w:val="98"/>
              </w:rPr>
              <w:t>Payments Set Aside</w:t>
            </w:r>
          </w:p>
        </w:tc>
        <w:tc>
          <w:tcPr>
            <w:tcW w:w="50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9.20</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Termination</w:t>
            </w:r>
          </w:p>
        </w:tc>
        <w:tc>
          <w:tcPr>
            <w:tcW w:w="34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w w:val="93"/>
              </w:rPr>
              <w:t>190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gridSpan w:val="7"/>
            <w:vMerge w:val="restart"/>
          </w:tcPr>
          <w:p>
            <w:pPr>
              <w:spacing w:after="0"/>
              <w:rPr>
                <w:sz w:val="20"/>
                <w:szCs w:val="20"/>
                <w:color w:val="auto"/>
              </w:rPr>
            </w:pPr>
            <w:r>
              <w:rPr>
                <w:rFonts w:ascii="Times New Roman" w:cs="Times New Roman" w:eastAsia="Times New Roman" w:hAnsi="Times New Roman"/>
                <w:sz w:val="22"/>
                <w:szCs w:val="22"/>
                <w:color w:val="FF0000"/>
                <w:strike w:val="1"/>
                <w:w w:val="90"/>
              </w:rPr>
              <w:t>175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980" w:type="dxa"/>
            <w:vAlign w:val="bottom"/>
            <w:vMerge w:val="restart"/>
          </w:tcPr>
          <w:p>
            <w:pPr>
              <w:ind w:left="660"/>
              <w:spacing w:after="0" w:line="224" w:lineRule="exact"/>
              <w:rPr>
                <w:sz w:val="20"/>
                <w:szCs w:val="20"/>
                <w:color w:val="auto"/>
              </w:rPr>
            </w:pPr>
            <w:r>
              <w:rPr>
                <w:rFonts w:ascii="Times New Roman" w:cs="Times New Roman" w:eastAsia="Times New Roman" w:hAnsi="Times New Roman"/>
                <w:sz w:val="20"/>
                <w:szCs w:val="20"/>
                <w:color w:val="auto"/>
              </w:rPr>
              <w:t>SECTION 9.21</w:t>
            </w:r>
          </w:p>
        </w:tc>
        <w:tc>
          <w:tcPr>
            <w:tcW w:w="1700" w:type="dxa"/>
            <w:vAlign w:val="bottom"/>
            <w:gridSpan w:val="14"/>
            <w:vMerge w:val="restart"/>
          </w:tcPr>
          <w:p>
            <w:pPr>
              <w:ind w:left="100"/>
              <w:spacing w:after="0" w:line="224" w:lineRule="exact"/>
              <w:rPr>
                <w:sz w:val="20"/>
                <w:szCs w:val="20"/>
                <w:color w:val="auto"/>
              </w:rPr>
            </w:pPr>
            <w:r>
              <w:rPr>
                <w:rFonts w:ascii="Times New Roman" w:cs="Times New Roman" w:eastAsia="Times New Roman" w:hAnsi="Times New Roman"/>
                <w:sz w:val="20"/>
                <w:szCs w:val="20"/>
                <w:color w:val="auto"/>
              </w:rPr>
              <w:t>Patriot Act Notice</w:t>
            </w:r>
          </w:p>
        </w:tc>
        <w:tc>
          <w:tcPr>
            <w:tcW w:w="40" w:type="dxa"/>
            <w:vAlign w:val="bottom"/>
          </w:tcPr>
          <w:p>
            <w:pPr>
              <w:spacing w:after="0"/>
              <w:rPr>
                <w:sz w:val="3"/>
                <w:szCs w:val="3"/>
                <w:color w:val="auto"/>
              </w:rPr>
            </w:pPr>
          </w:p>
        </w:tc>
        <w:tc>
          <w:tcPr>
            <w:tcW w:w="320" w:type="dxa"/>
            <w:vAlign w:val="bottom"/>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gridSpan w:val="4"/>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980" w:type="dxa"/>
            <w:vAlign w:val="bottom"/>
            <w:vMerge w:val="continue"/>
          </w:tcPr>
          <w:p>
            <w:pPr>
              <w:spacing w:after="0"/>
              <w:rPr>
                <w:sz w:val="18"/>
                <w:szCs w:val="18"/>
                <w:color w:val="auto"/>
              </w:rPr>
            </w:pPr>
          </w:p>
        </w:tc>
        <w:tc>
          <w:tcPr>
            <w:tcW w:w="1700" w:type="dxa"/>
            <w:vAlign w:val="bottom"/>
            <w:gridSpan w:val="14"/>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7"/>
            <w:vMerge w:val="continue"/>
          </w:tcPr>
          <w:p>
            <w:pPr>
              <w:spacing w:after="0"/>
              <w:rPr>
                <w:sz w:val="18"/>
                <w:szCs w:val="18"/>
                <w:color w:val="auto"/>
              </w:rPr>
            </w:pPr>
          </w:p>
        </w:tc>
        <w:tc>
          <w:tcPr>
            <w:tcW w:w="30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190</w:t>
            </w:r>
          </w:p>
        </w:tc>
        <w:tc>
          <w:tcPr>
            <w:tcW w:w="20" w:type="dxa"/>
            <w:vAlign w:val="bottom"/>
            <w:tcBorders>
              <w:bottom w:val="single" w:sz="8" w:color="0000FF"/>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98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0"/>
                <w:szCs w:val="20"/>
                <w:color w:val="auto"/>
              </w:rPr>
              <w:t>SECTION 9.22</w:t>
            </w:r>
          </w:p>
        </w:tc>
        <w:tc>
          <w:tcPr>
            <w:tcW w:w="1220" w:type="dxa"/>
            <w:vAlign w:val="bottom"/>
            <w:gridSpan w:val="3"/>
            <w:vMerge w:val="restart"/>
          </w:tcPr>
          <w:p>
            <w:pPr>
              <w:ind w:left="100"/>
              <w:spacing w:after="0" w:line="216" w:lineRule="exact"/>
              <w:rPr>
                <w:sz w:val="20"/>
                <w:szCs w:val="20"/>
                <w:color w:val="auto"/>
              </w:rPr>
            </w:pPr>
            <w:r>
              <w:rPr>
                <w:rFonts w:ascii="Times New Roman" w:cs="Times New Roman" w:eastAsia="Times New Roman" w:hAnsi="Times New Roman"/>
                <w:sz w:val="20"/>
                <w:szCs w:val="20"/>
                <w:color w:val="auto"/>
              </w:rPr>
              <w:t>Public Offer</w:t>
            </w:r>
          </w:p>
        </w:tc>
        <w:tc>
          <w:tcPr>
            <w:tcW w:w="380" w:type="dxa"/>
            <w:vAlign w:val="bottom"/>
            <w:gridSpan w:val="8"/>
            <w:vMerge w:val="restart"/>
          </w:tcPr>
          <w:p>
            <w:pPr>
              <w:jc w:val="right"/>
              <w:spacing w:after="0" w:line="217" w:lineRule="exact"/>
              <w:rPr>
                <w:sz w:val="20"/>
                <w:szCs w:val="20"/>
                <w:color w:val="auto"/>
              </w:rPr>
            </w:pPr>
            <w:r>
              <w:rPr>
                <w:rFonts w:ascii="Times New Roman" w:cs="Times New Roman" w:eastAsia="Times New Roman" w:hAnsi="Times New Roman"/>
                <w:sz w:val="22"/>
                <w:szCs w:val="22"/>
                <w:color w:val="FF0000"/>
                <w:strike w:val="1"/>
              </w:rPr>
              <w:t>175</w:t>
            </w:r>
          </w:p>
        </w:tc>
        <w:tc>
          <w:tcPr>
            <w:tcW w:w="300" w:type="dxa"/>
            <w:vAlign w:val="bottom"/>
            <w:gridSpan w:val="6"/>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DDDDDD"/>
            </w:tcBorders>
          </w:tcPr>
          <w:p>
            <w:pPr>
              <w:spacing w:after="0"/>
              <w:rPr>
                <w:sz w:val="2"/>
                <w:szCs w:val="2"/>
                <w:color w:val="auto"/>
              </w:rPr>
            </w:pPr>
          </w:p>
        </w:tc>
        <w:tc>
          <w:tcPr>
            <w:tcW w:w="10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0" w:type="dxa"/>
            <w:vAlign w:val="bottom"/>
            <w:tcBorders>
              <w:top w:val="single" w:sz="8" w:color="DDDDDD"/>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380" w:type="dxa"/>
            <w:vAlign w:val="bottom"/>
            <w:gridSpan w:val="8"/>
            <w:vMerge w:val="continue"/>
          </w:tcPr>
          <w:p>
            <w:pPr>
              <w:spacing w:after="0"/>
              <w:rPr>
                <w:sz w:val="17"/>
                <w:szCs w:val="17"/>
                <w:color w:val="auto"/>
              </w:rPr>
            </w:pPr>
          </w:p>
        </w:tc>
        <w:tc>
          <w:tcPr>
            <w:tcW w:w="30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190</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9.23</w:t>
            </w:r>
          </w:p>
        </w:tc>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Keepwell</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9.24</w:t>
            </w:r>
          </w:p>
        </w:tc>
        <w:tc>
          <w:tcPr>
            <w:tcW w:w="6600" w:type="dxa"/>
            <w:vAlign w:val="bottom"/>
            <w:gridSpan w:val="48"/>
          </w:tcPr>
          <w:p>
            <w:pPr>
              <w:ind w:left="100"/>
              <w:spacing w:after="0"/>
              <w:rPr>
                <w:sz w:val="20"/>
                <w:szCs w:val="20"/>
                <w:color w:val="auto"/>
              </w:rPr>
            </w:pPr>
            <w:r>
              <w:rPr>
                <w:rFonts w:ascii="Times New Roman" w:cs="Times New Roman" w:eastAsia="Times New Roman" w:hAnsi="Times New Roman"/>
                <w:sz w:val="20"/>
                <w:szCs w:val="20"/>
                <w:color w:val="auto"/>
                <w:w w:val="99"/>
              </w:rPr>
              <w:t>Acknowledgement and Consent to Bail-In of Affected Financial Institutions  192</w:t>
            </w:r>
          </w:p>
        </w:tc>
        <w:tc>
          <w:tcPr>
            <w:tcW w:w="0" w:type="dxa"/>
            <w:vAlign w:val="bottom"/>
          </w:tcPr>
          <w:p>
            <w:pPr>
              <w:spacing w:after="0"/>
              <w:rPr>
                <w:sz w:val="1"/>
                <w:szCs w:val="1"/>
                <w:color w:val="auto"/>
              </w:rPr>
            </w:pPr>
          </w:p>
        </w:tc>
      </w:tr>
      <w:tr>
        <w:trPr>
          <w:trHeight w:val="252"/>
        </w:trPr>
        <w:tc>
          <w:tcPr>
            <w:tcW w:w="1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9.25</w:t>
            </w:r>
          </w:p>
        </w:tc>
        <w:tc>
          <w:tcPr>
            <w:tcW w:w="6600" w:type="dxa"/>
            <w:vAlign w:val="bottom"/>
            <w:gridSpan w:val="48"/>
          </w:tcPr>
          <w:p>
            <w:pPr>
              <w:ind w:left="100"/>
              <w:spacing w:after="0"/>
              <w:rPr>
                <w:sz w:val="20"/>
                <w:szCs w:val="20"/>
                <w:color w:val="auto"/>
              </w:rPr>
            </w:pPr>
            <w:r>
              <w:rPr>
                <w:rFonts w:ascii="Times New Roman" w:cs="Times New Roman" w:eastAsia="Times New Roman" w:hAnsi="Times New Roman"/>
                <w:sz w:val="20"/>
                <w:szCs w:val="20"/>
                <w:color w:val="auto"/>
              </w:rPr>
              <w:t>Acknowledgment Regarding Any Supported QFCs  193</w:t>
            </w:r>
          </w:p>
        </w:tc>
        <w:tc>
          <w:tcPr>
            <w:tcW w:w="0" w:type="dxa"/>
            <w:vAlign w:val="bottom"/>
          </w:tcPr>
          <w:p>
            <w:pPr>
              <w:spacing w:after="0"/>
              <w:rPr>
                <w:sz w:val="1"/>
                <w:szCs w:val="1"/>
                <w:color w:val="auto"/>
              </w:rPr>
            </w:pPr>
          </w:p>
        </w:tc>
      </w:tr>
      <w:tr>
        <w:trPr>
          <w:trHeight w:val="41"/>
        </w:trPr>
        <w:tc>
          <w:tcPr>
            <w:tcW w:w="19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SECTION 9.26</w:t>
            </w:r>
          </w:p>
        </w:tc>
        <w:tc>
          <w:tcPr>
            <w:tcW w:w="3420" w:type="dxa"/>
            <w:vAlign w:val="bottom"/>
            <w:gridSpan w:val="40"/>
            <w:vMerge w:val="restart"/>
          </w:tcPr>
          <w:p>
            <w:pPr>
              <w:ind w:left="100"/>
              <w:spacing w:after="0"/>
              <w:rPr>
                <w:sz w:val="20"/>
                <w:szCs w:val="20"/>
                <w:color w:val="auto"/>
              </w:rPr>
            </w:pPr>
            <w:r>
              <w:rPr>
                <w:rFonts w:ascii="Times New Roman" w:cs="Times New Roman" w:eastAsia="Times New Roman" w:hAnsi="Times New Roman"/>
                <w:sz w:val="20"/>
                <w:szCs w:val="20"/>
                <w:color w:val="auto"/>
              </w:rPr>
              <w:t>Recognition of Hong Kong Stay Power</w:t>
            </w:r>
          </w:p>
        </w:tc>
        <w:tc>
          <w:tcPr>
            <w:tcW w:w="320" w:type="dxa"/>
            <w:vAlign w:val="bottom"/>
            <w:gridSpan w:val="2"/>
            <w:vMerge w:val="restart"/>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178</w:t>
            </w:r>
          </w:p>
        </w:tc>
        <w:tc>
          <w:tcPr>
            <w:tcW w:w="320" w:type="dxa"/>
            <w:vAlign w:val="bottom"/>
            <w:gridSpan w:val="3"/>
          </w:tcPr>
          <w:p>
            <w:pPr>
              <w:spacing w:after="0"/>
              <w:rPr>
                <w:sz w:val="3"/>
                <w:szCs w:val="3"/>
                <w:color w:val="auto"/>
              </w:rPr>
            </w:pPr>
          </w:p>
        </w:tc>
        <w:tc>
          <w:tcPr>
            <w:tcW w:w="20" w:type="dxa"/>
            <w:vAlign w:val="bottom"/>
            <w:vMerge w:val="restart"/>
          </w:tcPr>
          <w:p>
            <w:pPr>
              <w:spacing w:after="0"/>
              <w:rPr>
                <w:sz w:val="3"/>
                <w:szCs w:val="3"/>
                <w:color w:val="auto"/>
              </w:rPr>
            </w:pPr>
          </w:p>
        </w:tc>
        <w:tc>
          <w:tcPr>
            <w:tcW w:w="25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420" w:type="dxa"/>
            <w:vAlign w:val="bottom"/>
            <w:gridSpan w:val="40"/>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32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Times New Roman" w:cs="Times New Roman" w:eastAsia="Times New Roman" w:hAnsi="Times New Roman"/>
                <w:sz w:val="20"/>
                <w:szCs w:val="20"/>
                <w:color w:val="0000FF"/>
                <w:highlight w:val="lightGray"/>
                <w:w w:val="93"/>
              </w:rPr>
              <w:t>194</w:t>
            </w:r>
          </w:p>
        </w:tc>
        <w:tc>
          <w:tcPr>
            <w:tcW w:w="20" w:type="dxa"/>
            <w:vAlign w:val="bottom"/>
            <w:tcBorders>
              <w:bottom w:val="single" w:sz="8" w:color="0000FF"/>
            </w:tcBorders>
            <w:vMerge w:val="continue"/>
          </w:tcPr>
          <w:p>
            <w:pPr>
              <w:spacing w:after="0"/>
              <w:rPr>
                <w:sz w:val="17"/>
                <w:szCs w:val="17"/>
                <w:color w:val="auto"/>
              </w:rPr>
            </w:pPr>
          </w:p>
        </w:tc>
        <w:tc>
          <w:tcPr>
            <w:tcW w:w="2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iv</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140"/>
          </w:cols>
          <w:pgMar w:left="320" w:top="114" w:right="439" w:bottom="1440" w:gutter="0" w:footer="0" w:header="0"/>
        </w:sectPr>
      </w:pPr>
    </w:p>
    <w:bookmarkStart w:id="37" w:name="page38"/>
    <w:bookmarkEnd w:id="37"/>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1.01(a)</w:t>
      </w:r>
      <w:r>
        <w:rPr>
          <w:sz w:val="20"/>
          <w:szCs w:val="20"/>
          <w:color w:val="auto"/>
        </w:rPr>
        <w:tab/>
      </w:r>
      <w:r>
        <w:rPr>
          <w:rFonts w:ascii="Times New Roman" w:cs="Times New Roman" w:eastAsia="Times New Roman" w:hAnsi="Times New Roman"/>
          <w:sz w:val="21"/>
          <w:szCs w:val="21"/>
          <w:color w:val="auto"/>
        </w:rPr>
        <w:t>Rolled Letters of Credit</w:t>
      </w:r>
    </w:p>
    <w:p>
      <w:pPr>
        <w:spacing w:after="0" w:line="2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Schedule 1.01(b)</w:t>
      </w:r>
      <w:r>
        <w:rPr>
          <w:sz w:val="20"/>
          <w:szCs w:val="20"/>
          <w:color w:val="auto"/>
        </w:rPr>
        <w:tab/>
      </w:r>
      <w:r>
        <w:rPr>
          <w:rFonts w:ascii="Times New Roman" w:cs="Times New Roman" w:eastAsia="Times New Roman" w:hAnsi="Times New Roman"/>
          <w:sz w:val="21"/>
          <w:szCs w:val="21"/>
          <w:color w:val="auto"/>
        </w:rPr>
        <w:t>U.S. Subsidiary Guarantors</w:t>
      </w:r>
    </w:p>
    <w:p>
      <w:pPr>
        <w:spacing w:after="0" w:line="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1.01(c)</w:t>
      </w:r>
      <w:r>
        <w:rPr>
          <w:sz w:val="20"/>
          <w:szCs w:val="20"/>
          <w:color w:val="auto"/>
        </w:rPr>
        <w:tab/>
      </w:r>
      <w:r>
        <w:rPr>
          <w:rFonts w:ascii="Times New Roman" w:cs="Times New Roman" w:eastAsia="Times New Roman" w:hAnsi="Times New Roman"/>
          <w:sz w:val="21"/>
          <w:szCs w:val="21"/>
          <w:color w:val="auto"/>
        </w:rPr>
        <w:t>Canadian Subsidiary Guarantors</w:t>
      </w:r>
    </w:p>
    <w:p>
      <w:pPr>
        <w:spacing w:after="0" w:line="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1.01(d)</w:t>
      </w:r>
      <w:r>
        <w:rPr>
          <w:sz w:val="20"/>
          <w:szCs w:val="20"/>
          <w:color w:val="auto"/>
        </w:rPr>
        <w:tab/>
      </w:r>
      <w:r>
        <w:rPr>
          <w:rFonts w:ascii="Times New Roman" w:cs="Times New Roman" w:eastAsia="Times New Roman" w:hAnsi="Times New Roman"/>
          <w:sz w:val="21"/>
          <w:szCs w:val="21"/>
          <w:color w:val="auto"/>
        </w:rPr>
        <w:t>Australian Subsidiary Guarantors</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2.01</w:t>
      </w:r>
      <w:r>
        <w:rPr>
          <w:sz w:val="20"/>
          <w:szCs w:val="20"/>
          <w:color w:val="auto"/>
        </w:rPr>
        <w:tab/>
      </w:r>
      <w:r>
        <w:rPr>
          <w:rFonts w:ascii="Times New Roman" w:cs="Times New Roman" w:eastAsia="Times New Roman" w:hAnsi="Times New Roman"/>
          <w:sz w:val="21"/>
          <w:szCs w:val="21"/>
          <w:color w:val="auto"/>
        </w:rPr>
        <w:t>Lenders and Commitments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2.04</w:t>
      </w:r>
      <w:r>
        <w:rPr>
          <w:sz w:val="20"/>
          <w:szCs w:val="20"/>
          <w:color w:val="auto"/>
        </w:rPr>
        <w:tab/>
      </w:r>
      <w:r>
        <w:rPr>
          <w:rFonts w:ascii="Times New Roman" w:cs="Times New Roman" w:eastAsia="Times New Roman" w:hAnsi="Times New Roman"/>
          <w:sz w:val="21"/>
          <w:szCs w:val="21"/>
          <w:color w:val="auto"/>
        </w:rPr>
        <w:t>Amortization</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2.21</w:t>
      </w:r>
      <w:r>
        <w:rPr>
          <w:sz w:val="20"/>
          <w:szCs w:val="20"/>
          <w:color w:val="auto"/>
        </w:rPr>
        <w:tab/>
      </w:r>
      <w:r>
        <w:rPr>
          <w:rFonts w:ascii="Times New Roman" w:cs="Times New Roman" w:eastAsia="Times New Roman" w:hAnsi="Times New Roman"/>
          <w:sz w:val="21"/>
          <w:szCs w:val="21"/>
          <w:color w:val="auto"/>
        </w:rPr>
        <w:t>L/C Issuance Limits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3.08</w:t>
      </w:r>
      <w:r>
        <w:rPr>
          <w:sz w:val="20"/>
          <w:szCs w:val="20"/>
          <w:color w:val="auto"/>
        </w:rPr>
        <w:tab/>
      </w:r>
      <w:r>
        <w:rPr>
          <w:rFonts w:ascii="Times New Roman" w:cs="Times New Roman" w:eastAsia="Times New Roman" w:hAnsi="Times New Roman"/>
          <w:sz w:val="21"/>
          <w:szCs w:val="21"/>
          <w:color w:val="auto"/>
        </w:rPr>
        <w:t>Subsidiaries and Special Purpose Business Entities</w:t>
      </w:r>
    </w:p>
    <w:p>
      <w:pPr>
        <w:spacing w:after="0" w:line="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3.09</w:t>
      </w:r>
      <w:r>
        <w:rPr>
          <w:sz w:val="20"/>
          <w:szCs w:val="20"/>
          <w:color w:val="auto"/>
        </w:rPr>
        <w:tab/>
      </w:r>
      <w:r>
        <w:rPr>
          <w:rFonts w:ascii="Times New Roman" w:cs="Times New Roman" w:eastAsia="Times New Roman" w:hAnsi="Times New Roman"/>
          <w:sz w:val="21"/>
          <w:szCs w:val="21"/>
          <w:color w:val="auto"/>
        </w:rPr>
        <w:t>Litigation</w:t>
      </w:r>
    </w:p>
    <w:p>
      <w:pPr>
        <w:spacing w:after="0" w:line="1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3.16(a)</w:t>
      </w:r>
      <w:r>
        <w:rPr>
          <w:sz w:val="20"/>
          <w:szCs w:val="20"/>
          <w:color w:val="auto"/>
        </w:rPr>
        <w:tab/>
      </w:r>
      <w:r>
        <w:rPr>
          <w:rFonts w:ascii="Times New Roman" w:cs="Times New Roman" w:eastAsia="Times New Roman" w:hAnsi="Times New Roman"/>
          <w:sz w:val="21"/>
          <w:szCs w:val="21"/>
          <w:color w:val="auto"/>
        </w:rPr>
        <w:t>Unfunded Plans</w:t>
      </w:r>
    </w:p>
    <w:p>
      <w:pPr>
        <w:spacing w:after="0" w:line="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Schedule 3.16(b)</w:t>
      </w:r>
      <w:r>
        <w:rPr>
          <w:sz w:val="20"/>
          <w:szCs w:val="20"/>
          <w:color w:val="auto"/>
        </w:rPr>
        <w:tab/>
      </w:r>
      <w:r>
        <w:rPr>
          <w:rFonts w:ascii="Times New Roman" w:cs="Times New Roman" w:eastAsia="Times New Roman" w:hAnsi="Times New Roman"/>
          <w:sz w:val="21"/>
          <w:szCs w:val="21"/>
          <w:color w:val="auto"/>
        </w:rPr>
        <w:t>Canadian Benefit Plans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3.17</w:t>
      </w:r>
      <w:r>
        <w:rPr>
          <w:sz w:val="20"/>
          <w:szCs w:val="20"/>
          <w:color w:val="auto"/>
        </w:rPr>
        <w:tab/>
      </w:r>
      <w:r>
        <w:rPr>
          <w:rFonts w:ascii="Times New Roman" w:cs="Times New Roman" w:eastAsia="Times New Roman" w:hAnsi="Times New Roman"/>
          <w:sz w:val="21"/>
          <w:szCs w:val="21"/>
          <w:color w:val="auto"/>
        </w:rPr>
        <w:t>Environmental Matters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6.01</w:t>
      </w:r>
      <w:r>
        <w:rPr>
          <w:sz w:val="20"/>
          <w:szCs w:val="20"/>
          <w:color w:val="auto"/>
        </w:rPr>
        <w:tab/>
      </w:r>
      <w:r>
        <w:rPr>
          <w:rFonts w:ascii="Times New Roman" w:cs="Times New Roman" w:eastAsia="Times New Roman" w:hAnsi="Times New Roman"/>
          <w:sz w:val="21"/>
          <w:szCs w:val="21"/>
          <w:color w:val="auto"/>
        </w:rPr>
        <w:t>Existing Indebtedness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6.02</w:t>
      </w:r>
      <w:r>
        <w:rPr>
          <w:sz w:val="20"/>
          <w:szCs w:val="20"/>
          <w:color w:val="auto"/>
        </w:rPr>
        <w:tab/>
      </w:r>
      <w:r>
        <w:rPr>
          <w:rFonts w:ascii="Times New Roman" w:cs="Times New Roman" w:eastAsia="Times New Roman" w:hAnsi="Times New Roman"/>
          <w:sz w:val="21"/>
          <w:szCs w:val="21"/>
          <w:color w:val="auto"/>
        </w:rPr>
        <w:t>Existing Liens</w:t>
      </w:r>
    </w:p>
    <w:p>
      <w:pPr>
        <w:spacing w:after="0" w:line="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6.04</w:t>
      </w:r>
      <w:r>
        <w:rPr>
          <w:sz w:val="20"/>
          <w:szCs w:val="20"/>
          <w:color w:val="auto"/>
        </w:rPr>
        <w:tab/>
      </w:r>
      <w:r>
        <w:rPr>
          <w:rFonts w:ascii="Times New Roman" w:cs="Times New Roman" w:eastAsia="Times New Roman" w:hAnsi="Times New Roman"/>
          <w:sz w:val="21"/>
          <w:szCs w:val="21"/>
          <w:color w:val="auto"/>
        </w:rPr>
        <w:t>Existing Investments</w:t>
      </w:r>
    </w:p>
    <w:p>
      <w:pPr>
        <w:spacing w:after="0" w:line="20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Assignment and Acceptance</w:t>
      </w:r>
    </w:p>
    <w:p>
      <w:pPr>
        <w:spacing w:after="0" w:line="2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B-1</w:t>
      </w:r>
      <w:r>
        <w:rPr>
          <w:sz w:val="20"/>
          <w:szCs w:val="20"/>
          <w:color w:val="auto"/>
        </w:rPr>
        <w:tab/>
      </w:r>
      <w:r>
        <w:rPr>
          <w:rFonts w:ascii="Times New Roman" w:cs="Times New Roman" w:eastAsia="Times New Roman" w:hAnsi="Times New Roman"/>
          <w:sz w:val="21"/>
          <w:szCs w:val="21"/>
          <w:color w:val="auto"/>
        </w:rPr>
        <w:t>Form of U.S. Borrowing Request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B-2</w:t>
      </w:r>
      <w:r>
        <w:rPr>
          <w:sz w:val="20"/>
          <w:szCs w:val="20"/>
          <w:color w:val="auto"/>
        </w:rPr>
        <w:tab/>
      </w:r>
      <w:r>
        <w:rPr>
          <w:rFonts w:ascii="Times New Roman" w:cs="Times New Roman" w:eastAsia="Times New Roman" w:hAnsi="Times New Roman"/>
          <w:sz w:val="21"/>
          <w:szCs w:val="21"/>
          <w:color w:val="auto"/>
        </w:rPr>
        <w:t>Form of Canadian Borrowing Request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B-3</w:t>
      </w:r>
      <w:r>
        <w:rPr>
          <w:sz w:val="20"/>
          <w:szCs w:val="20"/>
          <w:color w:val="auto"/>
        </w:rPr>
        <w:tab/>
      </w:r>
      <w:r>
        <w:rPr>
          <w:rFonts w:ascii="Times New Roman" w:cs="Times New Roman" w:eastAsia="Times New Roman" w:hAnsi="Times New Roman"/>
          <w:sz w:val="21"/>
          <w:szCs w:val="21"/>
          <w:color w:val="auto"/>
        </w:rPr>
        <w:t>Form of Australian Borrowing Request</w:t>
      </w:r>
    </w:p>
    <w:p>
      <w:pPr>
        <w:spacing w:after="0" w:line="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B-4</w:t>
      </w:r>
      <w:r>
        <w:rPr>
          <w:sz w:val="20"/>
          <w:szCs w:val="20"/>
          <w:color w:val="auto"/>
        </w:rPr>
        <w:tab/>
      </w:r>
      <w:r>
        <w:rPr>
          <w:rFonts w:ascii="Times New Roman" w:cs="Times New Roman" w:eastAsia="Times New Roman" w:hAnsi="Times New Roman"/>
          <w:sz w:val="21"/>
          <w:szCs w:val="21"/>
          <w:color w:val="auto"/>
        </w:rPr>
        <w:t>Form of Swing Line Borrowing Request</w:t>
      </w:r>
    </w:p>
    <w:p>
      <w:pPr>
        <w:spacing w:after="0" w:line="1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B-5</w:t>
      </w:r>
      <w:r>
        <w:rPr>
          <w:sz w:val="20"/>
          <w:szCs w:val="20"/>
          <w:color w:val="auto"/>
        </w:rPr>
        <w:tab/>
      </w:r>
      <w:r>
        <w:rPr>
          <w:rFonts w:ascii="Times New Roman" w:cs="Times New Roman" w:eastAsia="Times New Roman" w:hAnsi="Times New Roman"/>
          <w:sz w:val="21"/>
          <w:szCs w:val="21"/>
          <w:color w:val="auto"/>
        </w:rPr>
        <w:t>Form of Prepayment Notice</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B-6</w:t>
      </w:r>
      <w:r>
        <w:rPr>
          <w:sz w:val="20"/>
          <w:szCs w:val="20"/>
          <w:color w:val="auto"/>
        </w:rPr>
        <w:tab/>
      </w:r>
      <w:r>
        <w:rPr>
          <w:rFonts w:ascii="Times New Roman" w:cs="Times New Roman" w:eastAsia="Times New Roman" w:hAnsi="Times New Roman"/>
          <w:sz w:val="21"/>
          <w:szCs w:val="21"/>
          <w:color w:val="auto"/>
        </w:rPr>
        <w:t>Form of Conversion/Continuation Notice</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C-1</w:t>
      </w:r>
      <w:r>
        <w:rPr>
          <w:sz w:val="20"/>
          <w:szCs w:val="20"/>
          <w:color w:val="auto"/>
        </w:rPr>
        <w:tab/>
      </w:r>
      <w:r>
        <w:rPr>
          <w:rFonts w:ascii="Times New Roman" w:cs="Times New Roman" w:eastAsia="Times New Roman" w:hAnsi="Times New Roman"/>
          <w:sz w:val="21"/>
          <w:szCs w:val="21"/>
          <w:color w:val="auto"/>
        </w:rPr>
        <w:t>Form of Australian Guarantee Agreement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C-2</w:t>
      </w:r>
      <w:r>
        <w:rPr>
          <w:sz w:val="20"/>
          <w:szCs w:val="20"/>
          <w:color w:val="auto"/>
        </w:rPr>
        <w:tab/>
      </w:r>
      <w:r>
        <w:rPr>
          <w:rFonts w:ascii="Times New Roman" w:cs="Times New Roman" w:eastAsia="Times New Roman" w:hAnsi="Times New Roman"/>
          <w:sz w:val="21"/>
          <w:szCs w:val="21"/>
          <w:color w:val="auto"/>
        </w:rPr>
        <w:t>Form of Canadian Guarantee Agreement</w:t>
      </w:r>
    </w:p>
    <w:p>
      <w:pPr>
        <w:spacing w:after="0" w:line="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C-3</w:t>
      </w:r>
      <w:r>
        <w:rPr>
          <w:sz w:val="20"/>
          <w:szCs w:val="20"/>
          <w:color w:val="auto"/>
        </w:rPr>
        <w:tab/>
      </w:r>
      <w:r>
        <w:rPr>
          <w:rFonts w:ascii="Times New Roman" w:cs="Times New Roman" w:eastAsia="Times New Roman" w:hAnsi="Times New Roman"/>
          <w:sz w:val="21"/>
          <w:szCs w:val="21"/>
          <w:color w:val="auto"/>
        </w:rPr>
        <w:t>Form of U.S. Guarantee Agreement</w:t>
      </w:r>
    </w:p>
    <w:p>
      <w:pPr>
        <w:spacing w:after="0" w:line="1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D-1</w:t>
      </w:r>
      <w:r>
        <w:rPr>
          <w:sz w:val="20"/>
          <w:szCs w:val="20"/>
          <w:color w:val="auto"/>
        </w:rPr>
        <w:tab/>
      </w:r>
      <w:r>
        <w:rPr>
          <w:rFonts w:ascii="Times New Roman" w:cs="Times New Roman" w:eastAsia="Times New Roman" w:hAnsi="Times New Roman"/>
          <w:sz w:val="21"/>
          <w:szCs w:val="21"/>
          <w:color w:val="auto"/>
        </w:rPr>
        <w:t>Form of Canadian Pledge Agreement</w:t>
      </w:r>
    </w:p>
    <w:p>
      <w:pPr>
        <w:spacing w:after="0" w:line="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D-2</w:t>
      </w:r>
      <w:r>
        <w:rPr>
          <w:sz w:val="20"/>
          <w:szCs w:val="20"/>
          <w:color w:val="auto"/>
        </w:rPr>
        <w:tab/>
      </w:r>
      <w:r>
        <w:rPr>
          <w:rFonts w:ascii="Times New Roman" w:cs="Times New Roman" w:eastAsia="Times New Roman" w:hAnsi="Times New Roman"/>
          <w:sz w:val="21"/>
          <w:szCs w:val="21"/>
          <w:color w:val="auto"/>
        </w:rPr>
        <w:t>Form of U.S. Pledge Agreement</w:t>
      </w:r>
    </w:p>
    <w:p>
      <w:pPr>
        <w:spacing w:after="0" w:line="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Exhibit E-1</w:t>
      </w:r>
      <w:r>
        <w:rPr>
          <w:sz w:val="20"/>
          <w:szCs w:val="20"/>
          <w:color w:val="auto"/>
        </w:rPr>
        <w:tab/>
      </w:r>
      <w:r>
        <w:rPr>
          <w:rFonts w:ascii="Times New Roman" w:cs="Times New Roman" w:eastAsia="Times New Roman" w:hAnsi="Times New Roman"/>
          <w:sz w:val="21"/>
          <w:szCs w:val="21"/>
          <w:color w:val="auto"/>
        </w:rPr>
        <w:t>Form of Australian Security Deed</w:t>
      </w:r>
    </w:p>
    <w:p>
      <w:pPr>
        <w:spacing w:after="0" w:line="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Exhibit E-2</w:t>
      </w:r>
      <w:r>
        <w:rPr>
          <w:sz w:val="20"/>
          <w:szCs w:val="20"/>
          <w:color w:val="auto"/>
        </w:rPr>
        <w:tab/>
      </w:r>
      <w:r>
        <w:rPr>
          <w:rFonts w:ascii="Times New Roman" w:cs="Times New Roman" w:eastAsia="Times New Roman" w:hAnsi="Times New Roman"/>
          <w:sz w:val="21"/>
          <w:szCs w:val="21"/>
          <w:color w:val="auto"/>
        </w:rPr>
        <w:t>Form of Canadian Security Agreement</w:t>
      </w:r>
    </w:p>
    <w:p>
      <w:pPr>
        <w:spacing w:after="0" w:line="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Exhibit E-3</w:t>
      </w:r>
      <w:r>
        <w:rPr>
          <w:sz w:val="20"/>
          <w:szCs w:val="20"/>
          <w:color w:val="auto"/>
        </w:rPr>
        <w:tab/>
      </w:r>
      <w:r>
        <w:rPr>
          <w:rFonts w:ascii="Times New Roman" w:cs="Times New Roman" w:eastAsia="Times New Roman" w:hAnsi="Times New Roman"/>
          <w:sz w:val="21"/>
          <w:szCs w:val="21"/>
          <w:color w:val="auto"/>
        </w:rPr>
        <w:t>Form of U.S. Security Agreement</w:t>
      </w:r>
    </w:p>
    <w:p>
      <w:pPr>
        <w:spacing w:after="0" w:line="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Compliance Certificate</w:t>
      </w:r>
    </w:p>
    <w:p>
      <w:pPr>
        <w:spacing w:after="0" w:line="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[Reserved]</w:t>
      </w:r>
    </w:p>
    <w:p>
      <w:pPr>
        <w:spacing w:after="0" w:line="4"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2"/>
          <w:szCs w:val="22"/>
          <w:color w:val="auto"/>
        </w:rPr>
        <w:t>Exhibit H-1 – H-4</w:t>
      </w:r>
      <w:r>
        <w:rPr>
          <w:sz w:val="20"/>
          <w:szCs w:val="20"/>
          <w:color w:val="auto"/>
        </w:rPr>
        <w:tab/>
      </w:r>
      <w:r>
        <w:rPr>
          <w:rFonts w:ascii="Times New Roman" w:cs="Times New Roman" w:eastAsia="Times New Roman" w:hAnsi="Times New Roman"/>
          <w:sz w:val="21"/>
          <w:szCs w:val="21"/>
          <w:color w:val="auto"/>
        </w:rPr>
        <w:t>Forms of Exemption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0139"/>
          </w:cols>
          <w:pgMar w:left="320" w:top="1422" w:right="1440" w:bottom="1440" w:gutter="0" w:footer="0" w:header="0"/>
        </w:sectPr>
      </w:pPr>
    </w:p>
    <w:bookmarkStart w:id="38" w:name="page39"/>
    <w:bookmarkEnd w:id="38"/>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SYNDICATED FACILITY AGREEMENT dated as of September 8, 2021 (as amended, supplemented or modified from time to time,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 among CIVEO CORPORATION, a corporation incorporated under the laws of the Province of British Columbia (the “</w:t>
      </w:r>
      <w:r>
        <w:rPr>
          <w:rFonts w:ascii="Times New Roman" w:cs="Times New Roman" w:eastAsia="Times New Roman" w:hAnsi="Times New Roman"/>
          <w:sz w:val="22"/>
          <w:szCs w:val="22"/>
          <w:i w:val="1"/>
          <w:iCs w:val="1"/>
          <w:color w:val="auto"/>
        </w:rPr>
        <w:t>Parent Borrower</w:t>
      </w:r>
      <w:r>
        <w:rPr>
          <w:rFonts w:ascii="Times New Roman" w:cs="Times New Roman" w:eastAsia="Times New Roman" w:hAnsi="Times New Roman"/>
          <w:sz w:val="22"/>
          <w:szCs w:val="22"/>
          <w:color w:val="auto"/>
        </w:rPr>
        <w:t>”), CIVEO MANAGEMENT LLC, a Delaware limited liability company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i w:val="1"/>
          <w:iCs w:val="1"/>
          <w:u w:val="single" w:color="auto"/>
          <w:color w:val="0000FF"/>
          <w:highlight w:val="lightGray"/>
        </w:rPr>
        <w:t>Civeo Management</w:t>
      </w:r>
      <w:r>
        <w:rPr>
          <w:rFonts w:ascii="Times New Roman" w:cs="Times New Roman" w:eastAsia="Times New Roman" w:hAnsi="Times New Roman"/>
          <w:sz w:val="22"/>
          <w:szCs w:val="22"/>
          <w:u w:val="single" w:color="auto"/>
          <w:color w:val="0000FF"/>
          <w:highlight w:val="lightGray"/>
        </w:rPr>
        <w:t>”), CIVEO USA LLC, a Delaware limited liability company (“</w:t>
      </w:r>
      <w:r>
        <w:rPr>
          <w:rFonts w:ascii="Times New Roman" w:cs="Times New Roman" w:eastAsia="Times New Roman" w:hAnsi="Times New Roman"/>
          <w:sz w:val="22"/>
          <w:szCs w:val="22"/>
          <w:i w:val="1"/>
          <w:iCs w:val="1"/>
          <w:u w:val="single" w:color="auto"/>
          <w:color w:val="0000FF"/>
          <w:highlight w:val="lightGray"/>
        </w:rPr>
        <w:t>Civeo USA</w:t>
      </w:r>
      <w:r>
        <w:rPr>
          <w:rFonts w:ascii="Times New Roman" w:cs="Times New Roman" w:eastAsia="Times New Roman" w:hAnsi="Times New Roman"/>
          <w:sz w:val="22"/>
          <w:szCs w:val="22"/>
          <w:u w:val="single" w:color="auto"/>
          <w:color w:val="0000FF"/>
          <w:highlight w:val="lightGray"/>
        </w:rPr>
        <w:t>”, and together with Civeo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Management, collectively, the “</w:t>
      </w:r>
      <w:r>
        <w:rPr>
          <w:rFonts w:ascii="Times New Roman" w:cs="Times New Roman" w:eastAsia="Times New Roman" w:hAnsi="Times New Roman"/>
          <w:sz w:val="22"/>
          <w:szCs w:val="22"/>
          <w:i w:val="1"/>
          <w:iCs w:val="1"/>
          <w:u w:val="single" w:color="auto"/>
          <w:color w:val="0000FF"/>
          <w:highlight w:val="lightGray"/>
        </w:rPr>
        <w:t>U.S. Borrowers</w:t>
      </w:r>
      <w:r>
        <w:rPr>
          <w:rFonts w:ascii="Times New Roman" w:cs="Times New Roman" w:eastAsia="Times New Roman" w:hAnsi="Times New Roman"/>
          <w:sz w:val="22"/>
          <w:szCs w:val="22"/>
          <w:u w:val="single" w:color="auto"/>
          <w:color w:val="0000FF"/>
          <w:highlight w:val="lightGray"/>
        </w:rPr>
        <w:t>” and each a</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U.S. Borrower</w:t>
      </w:r>
      <w:r>
        <w:rPr>
          <w:rFonts w:ascii="Times New Roman" w:cs="Times New Roman" w:eastAsia="Times New Roman" w:hAnsi="Times New Roman"/>
          <w:sz w:val="22"/>
          <w:szCs w:val="22"/>
          <w:color w:val="000000"/>
        </w:rPr>
        <w:t>”), CIVEO PTY LIMITED ACN 003 657 510, an</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Australian proprietary limited company (the “</w:t>
      </w:r>
      <w:r>
        <w:rPr>
          <w:rFonts w:ascii="Times New Roman" w:cs="Times New Roman" w:eastAsia="Times New Roman" w:hAnsi="Times New Roman"/>
          <w:sz w:val="22"/>
          <w:szCs w:val="22"/>
          <w:i w:val="1"/>
          <w:iCs w:val="1"/>
          <w:color w:val="000000"/>
        </w:rPr>
        <w:t>Australian Borrower</w:t>
      </w:r>
      <w:r>
        <w:rPr>
          <w:rFonts w:ascii="Times New Roman" w:cs="Times New Roman" w:eastAsia="Times New Roman" w:hAnsi="Times New Roman"/>
          <w:sz w:val="22"/>
          <w:szCs w:val="22"/>
          <w:color w:val="000000"/>
        </w:rPr>
        <w:t>” and, together with the Parent Borrower and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000000"/>
        </w:rPr>
        <w:t>, the “</w:t>
      </w:r>
      <w:r>
        <w:rPr>
          <w:rFonts w:ascii="Times New Roman" w:cs="Times New Roman" w:eastAsia="Times New Roman" w:hAnsi="Times New Roman"/>
          <w:sz w:val="22"/>
          <w:szCs w:val="22"/>
          <w:i w:val="1"/>
          <w:iCs w:val="1"/>
          <w:color w:val="000000"/>
        </w:rPr>
        <w:t>Borrowers</w:t>
      </w:r>
      <w:r>
        <w:rPr>
          <w:rFonts w:ascii="Times New Roman" w:cs="Times New Roman" w:eastAsia="Times New Roman" w:hAnsi="Times New Roman"/>
          <w:sz w:val="22"/>
          <w:szCs w:val="22"/>
          <w:color w:val="000000"/>
        </w:rPr>
        <w:t>”), the Lenders (as defined in Article I), ROYAL BANK OF CANADA (“</w:t>
      </w:r>
      <w:r>
        <w:rPr>
          <w:rFonts w:ascii="Times New Roman" w:cs="Times New Roman" w:eastAsia="Times New Roman" w:hAnsi="Times New Roman"/>
          <w:sz w:val="22"/>
          <w:szCs w:val="22"/>
          <w:i w:val="1"/>
          <w:iCs w:val="1"/>
          <w:color w:val="000000"/>
        </w:rPr>
        <w:t>RBC</w:t>
      </w:r>
      <w:r>
        <w:rPr>
          <w:rFonts w:ascii="Times New Roman" w:cs="Times New Roman" w:eastAsia="Times New Roman" w:hAnsi="Times New Roman"/>
          <w:sz w:val="22"/>
          <w:szCs w:val="22"/>
          <w:color w:val="000000"/>
        </w:rPr>
        <w:t>”), as administrative agent (in such capacity, the “</w:t>
      </w:r>
      <w:r>
        <w:rPr>
          <w:rFonts w:ascii="Times New Roman" w:cs="Times New Roman" w:eastAsia="Times New Roman" w:hAnsi="Times New Roman"/>
          <w:sz w:val="22"/>
          <w:szCs w:val="22"/>
          <w:i w:val="1"/>
          <w:iCs w:val="1"/>
          <w:color w:val="000000"/>
        </w:rPr>
        <w:t>Administrative Agent</w:t>
      </w:r>
      <w:r>
        <w:rPr>
          <w:rFonts w:ascii="Times New Roman" w:cs="Times New Roman" w:eastAsia="Times New Roman" w:hAnsi="Times New Roman"/>
          <w:sz w:val="22"/>
          <w:szCs w:val="22"/>
          <w:color w:val="000000"/>
        </w:rPr>
        <w:t>”) for the U.S. Lenders, as U.S. collateral agent (in such capacity, the “</w:t>
      </w:r>
      <w:r>
        <w:rPr>
          <w:rFonts w:ascii="Times New Roman" w:cs="Times New Roman" w:eastAsia="Times New Roman" w:hAnsi="Times New Roman"/>
          <w:sz w:val="22"/>
          <w:szCs w:val="22"/>
          <w:i w:val="1"/>
          <w:iCs w:val="1"/>
          <w:color w:val="000000"/>
        </w:rPr>
        <w:t>U.S.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Collateral Agent</w:t>
      </w:r>
      <w:r>
        <w:rPr>
          <w:rFonts w:ascii="Times New Roman" w:cs="Times New Roman" w:eastAsia="Times New Roman" w:hAnsi="Times New Roman"/>
          <w:sz w:val="22"/>
          <w:szCs w:val="22"/>
          <w:color w:val="000000"/>
        </w:rPr>
        <w:t>”) for the Lenders, as administrative agent (in such capacity, the “</w:t>
      </w:r>
      <w:r>
        <w:rPr>
          <w:rFonts w:ascii="Times New Roman" w:cs="Times New Roman" w:eastAsia="Times New Roman" w:hAnsi="Times New Roman"/>
          <w:sz w:val="22"/>
          <w:szCs w:val="22"/>
          <w:i w:val="1"/>
          <w:iCs w:val="1"/>
          <w:color w:val="000000"/>
        </w:rPr>
        <w:t>Canadian Administrative Agent</w:t>
      </w:r>
      <w:r>
        <w:rPr>
          <w:rFonts w:ascii="Times New Roman" w:cs="Times New Roman" w:eastAsia="Times New Roman" w:hAnsi="Times New Roman"/>
          <w:sz w:val="22"/>
          <w:szCs w:val="22"/>
          <w:color w:val="000000"/>
        </w:rPr>
        <w:t>”) for the</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 xml:space="preserve">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000000"/>
        </w:rPr>
        <w:t xml:space="preserve"> Lenders (as defined in Article I) and as Canadian collateral agent (in such capacity, the “</w:t>
      </w:r>
      <w:r>
        <w:rPr>
          <w:rFonts w:ascii="Times New Roman" w:cs="Times New Roman" w:eastAsia="Times New Roman" w:hAnsi="Times New Roman"/>
          <w:sz w:val="22"/>
          <w:szCs w:val="22"/>
          <w:i w:val="1"/>
          <w:iCs w:val="1"/>
          <w:color w:val="000000"/>
        </w:rPr>
        <w:t>Canadian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Collateral Agent</w:t>
      </w:r>
      <w:r>
        <w:rPr>
          <w:rFonts w:ascii="Times New Roman" w:cs="Times New Roman" w:eastAsia="Times New Roman" w:hAnsi="Times New Roman"/>
          <w:sz w:val="22"/>
          <w:szCs w:val="22"/>
          <w:color w:val="000000"/>
        </w:rPr>
        <w:t>”) for the Lenders, and RBC EUROPE LIMITED (“</w:t>
      </w:r>
      <w:r>
        <w:rPr>
          <w:rFonts w:ascii="Times New Roman" w:cs="Times New Roman" w:eastAsia="Times New Roman" w:hAnsi="Times New Roman"/>
          <w:sz w:val="22"/>
          <w:szCs w:val="22"/>
          <w:i w:val="1"/>
          <w:iCs w:val="1"/>
          <w:color w:val="000000"/>
        </w:rPr>
        <w:t>RBC Europe</w:t>
      </w:r>
      <w:r>
        <w:rPr>
          <w:rFonts w:ascii="Times New Roman" w:cs="Times New Roman" w:eastAsia="Times New Roman" w:hAnsi="Times New Roman"/>
          <w:sz w:val="22"/>
          <w:szCs w:val="22"/>
          <w:color w:val="000000"/>
        </w:rPr>
        <w:t>”), as administrative agent (in such capacity, the</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Australian Administrative Agent</w:t>
      </w:r>
      <w:r>
        <w:rPr>
          <w:rFonts w:ascii="Times New Roman" w:cs="Times New Roman" w:eastAsia="Times New Roman" w:hAnsi="Times New Roman"/>
          <w:sz w:val="22"/>
          <w:szCs w:val="22"/>
          <w:color w:val="000000"/>
        </w:rPr>
        <w:t>”) for the Australian Lenders (as defined in Article I) and as Australian collateral agent (in such capacity, the “</w:t>
      </w:r>
      <w:r>
        <w:rPr>
          <w:rFonts w:ascii="Times New Roman" w:cs="Times New Roman" w:eastAsia="Times New Roman" w:hAnsi="Times New Roman"/>
          <w:sz w:val="22"/>
          <w:szCs w:val="22"/>
          <w:i w:val="1"/>
          <w:iCs w:val="1"/>
          <w:color w:val="000000"/>
        </w:rPr>
        <w:t>Australian Collateral Agent</w:t>
      </w:r>
      <w:r>
        <w:rPr>
          <w:rFonts w:ascii="Times New Roman" w:cs="Times New Roman" w:eastAsia="Times New Roman" w:hAnsi="Times New Roman"/>
          <w:sz w:val="22"/>
          <w:szCs w:val="22"/>
          <w:color w:val="000000"/>
        </w:rPr>
        <w:t>”) for the Lenders.</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Parent Borrower, certain of its Subsidiaries, the lenders party thereto, and the Administrative Agents are party to that certain Amended and Restated Syndicated Facility Agreement, dated as of April 2, 2018 (such Syndicated Facility Agreement as amended prior to the date hereof, the “</w:t>
      </w:r>
      <w:r>
        <w:rPr>
          <w:rFonts w:ascii="Times New Roman" w:cs="Times New Roman" w:eastAsia="Times New Roman" w:hAnsi="Times New Roman"/>
          <w:sz w:val="22"/>
          <w:szCs w:val="22"/>
          <w:i w:val="1"/>
          <w:iCs w:val="1"/>
          <w:color w:val="auto"/>
        </w:rPr>
        <w:t>Existing Credit Agreement</w:t>
      </w:r>
      <w:r>
        <w:rPr>
          <w:rFonts w:ascii="Times New Roman" w:cs="Times New Roman" w:eastAsia="Times New Roman" w:hAnsi="Times New Roman"/>
          <w:sz w:val="22"/>
          <w:szCs w:val="22"/>
          <w:color w:val="auto"/>
        </w:rPr>
        <w:t>”); and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Existing Credit Agreement is being refinanced pursuant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the parties hereto hereby agree as follows:</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i w:val="1"/>
          <w:iCs w:val="1"/>
          <w:color w:val="auto"/>
        </w:rPr>
        <w:t>Defined Terms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As used in this Agreement, the following terms shall have the meanings specified below:</w:t>
      </w:r>
    </w:p>
    <w:p>
      <w:pPr>
        <w:spacing w:after="0" w:line="22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Permitted Amount</w:t>
      </w:r>
      <w:r>
        <w:rPr>
          <w:rFonts w:ascii="Times New Roman" w:cs="Times New Roman" w:eastAsia="Times New Roman" w:hAnsi="Times New Roman"/>
          <w:sz w:val="22"/>
          <w:szCs w:val="22"/>
          <w:color w:val="auto"/>
        </w:rPr>
        <w:t>” has the meaning set forth in the definition of Permitted Refinancing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39" w:name="page40"/>
    <w:bookmarkEnd w:id="39"/>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“Adjusted Term CORRA” </w:t>
      </w:r>
      <w:r>
        <w:rPr>
          <w:rFonts w:ascii="Times New Roman" w:cs="Times New Roman" w:eastAsia="Times New Roman" w:hAnsi="Times New Roman"/>
          <w:sz w:val="22"/>
          <w:szCs w:val="22"/>
          <w:color w:val="auto"/>
        </w:rPr>
        <w:t>means, for purposes of any calculation, the rate per annum equal to (a) Term CORRA for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calculation plus (b) the Term CORRA Adjustment; provided that if Adjusted Term CORRA as so determined shall ever be less than the Floor, then Adjusted Term CORRA shall be deemed to be the Floor.</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“Adjusted Term SOFR” </w:t>
      </w:r>
      <w:r>
        <w:rPr>
          <w:rFonts w:ascii="Times New Roman" w:cs="Times New Roman" w:eastAsia="Times New Roman" w:hAnsi="Times New Roman"/>
          <w:sz w:val="22"/>
          <w:szCs w:val="22"/>
          <w:color w:val="auto"/>
        </w:rPr>
        <w:t>means, for purposes of any calculation, the rate per annum equal to (a) Term SOFR for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calculation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Term SOFR Adjustment; provided that if Adjusted Term SOFR as so determined shall ever be less than the Floor, then Adjusted Term SOFR shall be deemed to be the Floor.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Agents</w:t>
      </w:r>
      <w:r>
        <w:rPr>
          <w:rFonts w:ascii="Times New Roman" w:cs="Times New Roman" w:eastAsia="Times New Roman" w:hAnsi="Times New Roman"/>
          <w:sz w:val="22"/>
          <w:szCs w:val="22"/>
          <w:color w:val="auto"/>
        </w:rPr>
        <w:t>” shall mean the Administrative Agent, the Canadian Administrative Agent and the Australian Administrative Agent.</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Questionnaire</w:t>
      </w:r>
      <w:r>
        <w:rPr>
          <w:rFonts w:ascii="Times New Roman" w:cs="Times New Roman" w:eastAsia="Times New Roman" w:hAnsi="Times New Roman"/>
          <w:sz w:val="22"/>
          <w:szCs w:val="22"/>
          <w:color w:val="auto"/>
        </w:rPr>
        <w:t>” shall mean an administrative questionnaire in a form supplied from time to time by the Applicable Administrative Agent.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“Affected Financial Institution” shall mean (a) any EEA Financial Institution or (b) any UK Financial Institution.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 Parties</w:t>
      </w:r>
      <w:r>
        <w:rPr>
          <w:rFonts w:ascii="Times New Roman" w:cs="Times New Roman" w:eastAsia="Times New Roman" w:hAnsi="Times New Roman"/>
          <w:sz w:val="22"/>
          <w:szCs w:val="22"/>
          <w:color w:val="auto"/>
        </w:rPr>
        <w:t>” shall have the meaning assigned to such term in Section 9.01(d).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Agents</w:t>
      </w:r>
      <w:r>
        <w:rPr>
          <w:rFonts w:ascii="Times New Roman" w:cs="Times New Roman" w:eastAsia="Times New Roman" w:hAnsi="Times New Roman"/>
          <w:sz w:val="22"/>
          <w:szCs w:val="22"/>
          <w:color w:val="auto"/>
        </w:rPr>
        <w:t>” shall mean, collectively, the Administrative Agents and the Collateral Agents.</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L/C Exposure</w:t>
      </w:r>
      <w:r>
        <w:rPr>
          <w:rFonts w:ascii="Times New Roman" w:cs="Times New Roman" w:eastAsia="Times New Roman" w:hAnsi="Times New Roman"/>
          <w:sz w:val="22"/>
          <w:szCs w:val="22"/>
          <w:color w:val="auto"/>
        </w:rPr>
        <w:t>” shall mean, at any time, the sum of the U.S. L/C Exposure, the U.S. Dollar Equivalent of the Canadian L/C Exposure and the U.S. Dollar Equivalent of the Australian L/C Exposure at such time.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Base Rate</w:t>
      </w:r>
      <w:r>
        <w:rPr>
          <w:rFonts w:ascii="Times New Roman" w:cs="Times New Roman" w:eastAsia="Times New Roman" w:hAnsi="Times New Roman"/>
          <w:sz w:val="22"/>
          <w:szCs w:val="22"/>
          <w:color w:val="auto"/>
        </w:rPr>
        <w:t xml:space="preserve">” shall mean, for any day, a rate per annum equal to the greatest of (i) the Prime Rate in effect on such day, (ii) the Federal Funds Effective Rate in effect on such day plus ½ of 1.00% and (iii) Adjusted Term SOFR for a one-month tenor in effect for such day plus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highest rate as calculated above shall, at any time, be less than the Floor, such rate shall be deemed to be Floor for all purposes herein. Any change in the Alternate Base Rate due to a change in the Prime Rate, the Federal Funds Effective Rate or Adjusted Term SOFR shall be effective on the opening of business on the day specified in the</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color w:val="auto"/>
        </w:rPr>
        <w:t>public announcement of such change in the Prime Rate, the Federal Funds Effective Rate or Adjusted Term SOFR, respectively.</w:t>
      </w:r>
    </w:p>
    <w:p>
      <w:pPr>
        <w:spacing w:after="0" w:line="2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Alternative Currency</w:t>
      </w:r>
      <w:r>
        <w:rPr>
          <w:rFonts w:ascii="Times New Roman" w:cs="Times New Roman" w:eastAsia="Times New Roman" w:hAnsi="Times New Roman"/>
          <w:sz w:val="22"/>
          <w:szCs w:val="22"/>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Anti-Corruption Laws</w:t>
      </w:r>
      <w:r>
        <w:rPr>
          <w:rFonts w:ascii="Times New Roman" w:cs="Times New Roman" w:eastAsia="Times New Roman" w:hAnsi="Times New Roman"/>
          <w:sz w:val="22"/>
          <w:szCs w:val="22"/>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Administrative Agent</w:t>
      </w:r>
      <w:r>
        <w:rPr>
          <w:rFonts w:ascii="Times New Roman" w:cs="Times New Roman" w:eastAsia="Times New Roman" w:hAnsi="Times New Roman"/>
          <w:sz w:val="21"/>
          <w:szCs w:val="21"/>
          <w:color w:val="auto"/>
        </w:rPr>
        <w:t xml:space="preserve">” shall mean (a) the Administrative Agent, with respect to any U.S. Loan or U.S. Letter of Credit, (b) the Canadian Administrative Agent, with respect to any Canadian </w:t>
      </w:r>
      <w:r>
        <w:rPr>
          <w:rFonts w:ascii="Times New Roman" w:cs="Times New Roman" w:eastAsia="Times New Roman" w:hAnsi="Times New Roman"/>
          <w:sz w:val="21"/>
          <w:szCs w:val="21"/>
          <w:u w:val="single" w:color="auto"/>
          <w:color w:val="0000FF"/>
          <w:highlight w:val="lightGray"/>
        </w:rPr>
        <w:t>Revolving</w:t>
      </w:r>
      <w:r>
        <w:rPr>
          <w:rFonts w:ascii="Times New Roman" w:cs="Times New Roman" w:eastAsia="Times New Roman" w:hAnsi="Times New Roman"/>
          <w:sz w:val="21"/>
          <w:szCs w:val="21"/>
          <w:color w:val="auto"/>
        </w:rPr>
        <w:t xml:space="preserve"> Loan or Canadian Letter of Credit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the Australian Administrative Agent, with respect to any Australian Revolving Credit Loan or Australian Letter of Credit.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Borrower</w:t>
      </w:r>
      <w:r>
        <w:rPr>
          <w:rFonts w:ascii="Times New Roman" w:cs="Times New Roman" w:eastAsia="Times New Roman" w:hAnsi="Times New Roman"/>
          <w:sz w:val="22"/>
          <w:szCs w:val="22"/>
          <w:color w:val="auto"/>
        </w:rPr>
        <w:t>” shall mean (a) the Parent Borrower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with respect to the </w:t>
      </w:r>
      <w:r>
        <w:rPr>
          <w:rFonts w:ascii="Times New Roman" w:cs="Times New Roman" w:eastAsia="Times New Roman" w:hAnsi="Times New Roman"/>
          <w:sz w:val="22"/>
          <w:szCs w:val="22"/>
          <w:color w:val="FF0000"/>
          <w:strike w:val="1"/>
        </w:rPr>
        <w:t>Canadian Term Loan Facility or the</w:t>
      </w:r>
      <w:r>
        <w:rPr>
          <w:rFonts w:ascii="Times New Roman" w:cs="Times New Roman" w:eastAsia="Times New Roman" w:hAnsi="Times New Roman"/>
          <w:sz w:val="22"/>
          <w:szCs w:val="22"/>
          <w:color w:val="auto"/>
        </w:rPr>
        <w:t xml:space="preserve"> Canadian Revolving Credit Facility, (b)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with respect to the U.S. Revolving Credit Facility </w:t>
      </w:r>
      <w:r>
        <w:rPr>
          <w:rFonts w:ascii="Times New Roman" w:cs="Times New Roman" w:eastAsia="Times New Roman" w:hAnsi="Times New Roman"/>
          <w:sz w:val="22"/>
          <w:szCs w:val="22"/>
          <w:color w:val="0000FF"/>
        </w:rPr>
        <w:t>or the Canadian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Revolving Credit Facility with respect to U.S. dollar denominated Canadian Revolving Credit Loans</w:t>
      </w:r>
      <w:r>
        <w:rPr>
          <w:rFonts w:ascii="Times New Roman" w:cs="Times New Roman" w:eastAsia="Times New Roman" w:hAnsi="Times New Roman"/>
          <w:sz w:val="22"/>
          <w:szCs w:val="22"/>
          <w:color w:val="000000"/>
        </w:rPr>
        <w:t>, and (c) the Australian</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Borrower, with respect to the Australian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-507365</wp:posOffset>
            </wp:positionV>
            <wp:extent cx="92837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28370" cy="145415"/>
                    </a:xfrm>
                    <a:prstGeom prst="rect">
                      <a:avLst/>
                    </a:prstGeom>
                    <a:noFill/>
                  </pic:spPr>
                </pic:pic>
              </a:graphicData>
            </a:graphic>
          </wp:anchor>
        </w:drawing>
      </w:r>
    </w:p>
    <w:p>
      <w:pPr>
        <w:spacing w:after="0" w:line="14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Collateral Agent</w:t>
      </w:r>
      <w:r>
        <w:rPr>
          <w:rFonts w:ascii="Times New Roman" w:cs="Times New Roman" w:eastAsia="Times New Roman" w:hAnsi="Times New Roman"/>
          <w:sz w:val="21"/>
          <w:szCs w:val="21"/>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14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Issuing Bank</w:t>
      </w:r>
      <w:r>
        <w:rPr>
          <w:rFonts w:ascii="Times New Roman" w:cs="Times New Roman" w:eastAsia="Times New Roman" w:hAnsi="Times New Roman"/>
          <w:sz w:val="21"/>
          <w:szCs w:val="21"/>
          <w:color w:val="auto"/>
        </w:rPr>
        <w:t xml:space="preserve">” shall mean (a) RBC or any other Issuing Bank that has issued, or has a commitment to issue, U.S. Letters of Credit, (b) RBC or any other Issuing Bank that has issued, or has a commitment to issue, Canadian Letters of Credit, or (c) RBC </w:t>
      </w:r>
      <w:r>
        <w:rPr>
          <w:rFonts w:ascii="Times New Roman" w:cs="Times New Roman" w:eastAsia="Times New Roman" w:hAnsi="Times New Roman"/>
          <w:sz w:val="21"/>
          <w:szCs w:val="21"/>
          <w:color w:val="FF0000"/>
          <w:strike w:val="1"/>
        </w:rPr>
        <w:t>Europe</w:t>
      </w:r>
      <w:r>
        <w:rPr>
          <w:rFonts w:ascii="Times New Roman" w:cs="Times New Roman" w:eastAsia="Times New Roman" w:hAnsi="Times New Roman"/>
          <w:sz w:val="21"/>
          <w:szCs w:val="21"/>
          <w:color w:val="auto"/>
        </w:rPr>
        <w:t>, or any other Issuing Bank that has issued, or has a commitment to issue, Australian Letters of Credit.</w:t>
      </w:r>
    </w:p>
    <w:p>
      <w:pPr>
        <w:spacing w:after="0" w:line="1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Lender</w:t>
      </w:r>
      <w:r>
        <w:rPr>
          <w:rFonts w:ascii="Times New Roman" w:cs="Times New Roman" w:eastAsia="Times New Roman" w:hAnsi="Times New Roman"/>
          <w:sz w:val="22"/>
          <w:szCs w:val="22"/>
          <w:color w:val="auto"/>
        </w:rPr>
        <w:t xml:space="preserve">” shall mean (a) when used with respect to the U.S. Revolving Credit </w:t>
      </w:r>
      <w:r>
        <w:rPr>
          <w:rFonts w:ascii="Times New Roman" w:cs="Times New Roman" w:eastAsia="Times New Roman" w:hAnsi="Times New Roman"/>
          <w:sz w:val="22"/>
          <w:szCs w:val="22"/>
          <w:color w:val="FF0000"/>
          <w:strike w:val="1"/>
        </w:rPr>
        <w:t>Facility, the Canadian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Facility, the Canadian Revolving Credit Facility or the</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22"/>
          <w:szCs w:val="22"/>
          <w:color w:val="auto"/>
        </w:rPr>
        <w:t>Australian Revolving Credit Facility, a Lender that has a Commitment or holds a Loan with respect to such Facility, (b) with respect to any Letter of Credit, (i) the Issuing Banks and (ii) if any L/C Disbursements have been made by an Issuing Bank and not reimbursed or refinanced by Section 2.02(g), the Canadian Revolving Lenders, the U.S. Revolving Lenders or the Australian Lenders, as the case may be, and (c) with respect to the U.S. Swing Line Sublimit or the Canadian Swing Line Sublimit, the Applicable Swing Line Lender.</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Percentage</w:t>
      </w:r>
      <w:r>
        <w:rPr>
          <w:rFonts w:ascii="Times New Roman" w:cs="Times New Roman" w:eastAsia="Times New Roman" w:hAnsi="Times New Roman"/>
          <w:sz w:val="22"/>
          <w:szCs w:val="22"/>
          <w:color w:val="auto"/>
        </w:rPr>
        <w:t>” shall mean, for any day, with respect to any SOFR Loan, ABR Loan, Term CORRA Loan, Canadian Prime Rate Loan, U.S. Base Rate Loan, BBSY Rate Loan or the Commitment Fee, the applicable percentage set forth below under the applicable caption, based upon the Total Net Leverage Ratio as of the relevant date of determination: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60" w:type="dxa"/>
            <w:vAlign w:val="bottom"/>
          </w:tcPr>
          <w:p>
            <w:pPr>
              <w:spacing w:after="0"/>
              <w:rPr>
                <w:sz w:val="22"/>
                <w:szCs w:val="22"/>
                <w:color w:val="auto"/>
              </w:rPr>
            </w:pPr>
          </w:p>
        </w:tc>
        <w:tc>
          <w:tcPr>
            <w:tcW w:w="3220" w:type="dxa"/>
            <w:vAlign w:val="bottom"/>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SOFR/ BBSY</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ABR, Canadian Prime</w:t>
            </w:r>
          </w:p>
        </w:tc>
        <w:tc>
          <w:tcPr>
            <w:tcW w:w="174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Commitment Fee</w:t>
            </w:r>
          </w:p>
        </w:tc>
        <w:tc>
          <w:tcPr>
            <w:tcW w:w="0" w:type="dxa"/>
            <w:vAlign w:val="bottom"/>
          </w:tcPr>
          <w:p>
            <w:pPr>
              <w:spacing w:after="0"/>
              <w:rPr>
                <w:sz w:val="1"/>
                <w:szCs w:val="1"/>
                <w:color w:val="auto"/>
              </w:rPr>
            </w:pPr>
          </w:p>
        </w:tc>
      </w:tr>
      <w:tr>
        <w:trPr>
          <w:trHeight w:val="216"/>
        </w:trPr>
        <w:tc>
          <w:tcPr>
            <w:tcW w:w="36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Net Leverage Ratio</w:t>
            </w:r>
          </w:p>
        </w:tc>
        <w:tc>
          <w:tcPr>
            <w:tcW w:w="3220" w:type="dxa"/>
            <w:vAlign w:val="bottom"/>
          </w:tcPr>
          <w:p>
            <w:pPr>
              <w:jc w:val="center"/>
              <w:ind w:left="1152"/>
              <w:spacing w:after="0" w:line="216" w:lineRule="exact"/>
              <w:rPr>
                <w:sz w:val="20"/>
                <w:szCs w:val="20"/>
                <w:color w:val="auto"/>
              </w:rPr>
            </w:pPr>
            <w:r>
              <w:rPr>
                <w:rFonts w:ascii="Times New Roman" w:cs="Times New Roman" w:eastAsia="Times New Roman" w:hAnsi="Times New Roman"/>
                <w:sz w:val="22"/>
                <w:szCs w:val="22"/>
                <w:b w:val="1"/>
                <w:bCs w:val="1"/>
                <w:color w:val="auto"/>
                <w:w w:val="97"/>
              </w:rPr>
              <w:t>Rate/Term CORRA</w:t>
            </w:r>
          </w:p>
        </w:tc>
        <w:tc>
          <w:tcPr>
            <w:tcW w:w="230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Rate and U.S. Base</w:t>
            </w: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660" w:type="dxa"/>
            <w:vAlign w:val="bottom"/>
            <w:vMerge w:val="continue"/>
          </w:tcPr>
          <w:p>
            <w:pPr>
              <w:spacing w:after="0"/>
              <w:rPr>
                <w:sz w:val="24"/>
                <w:szCs w:val="24"/>
                <w:color w:val="auto"/>
              </w:rPr>
            </w:pPr>
          </w:p>
        </w:tc>
        <w:tc>
          <w:tcPr>
            <w:tcW w:w="3220" w:type="dxa"/>
            <w:vAlign w:val="bottom"/>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5"/>
              </w:rPr>
              <w:t>Spread</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Rate Spread</w:t>
            </w:r>
          </w:p>
        </w:tc>
        <w:tc>
          <w:tcPr>
            <w:tcW w:w="17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8"/>
              </w:rPr>
              <w:t>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u w:val="single" w:color="auto"/>
          <w:color w:val="auto"/>
        </w:rPr>
        <w:t>Category 1</w:t>
      </w:r>
    </w:p>
    <w:p>
      <w:pPr>
        <w:spacing w:after="0" w:line="28" w:lineRule="exact"/>
        <w:rPr>
          <w:sz w:val="20"/>
          <w:szCs w:val="20"/>
          <w:color w:val="auto"/>
        </w:rPr>
      </w:pPr>
    </w:p>
    <w:p>
      <w:pPr>
        <w:ind w:left="20" w:right="2240" w:firstLine="341"/>
        <w:spacing w:after="0" w:line="263" w:lineRule="auto"/>
        <w:rPr>
          <w:sz w:val="20"/>
          <w:szCs w:val="20"/>
          <w:color w:val="auto"/>
        </w:rPr>
      </w:pPr>
      <w:r>
        <w:rPr>
          <w:rFonts w:ascii="Times New Roman" w:cs="Times New Roman" w:eastAsia="Times New Roman" w:hAnsi="Times New Roman"/>
          <w:sz w:val="22"/>
          <w:szCs w:val="22"/>
          <w:color w:val="auto"/>
        </w:rPr>
        <w:t xml:space="preserve">Less than </w:t>
      </w:r>
      <w:r>
        <w:rPr>
          <w:rFonts w:ascii="Times New Roman" w:cs="Times New Roman" w:eastAsia="Times New Roman" w:hAnsi="Times New Roman"/>
          <w:sz w:val="22"/>
          <w:szCs w:val="22"/>
          <w:color w:val="FF0000"/>
          <w:strike w:val="1"/>
        </w:rPr>
        <w:t>1.50</w:t>
      </w:r>
      <w:r>
        <w:rPr>
          <w:rFonts w:ascii="Times New Roman" w:cs="Times New Roman" w:eastAsia="Times New Roman" w:hAnsi="Times New Roman"/>
          <w:sz w:val="22"/>
          <w:szCs w:val="22"/>
          <w:u w:val="single" w:color="auto"/>
          <w:color w:val="0000FF"/>
          <w:highlight w:val="lightGray"/>
        </w:rPr>
        <w:t>1.00</w:t>
      </w:r>
      <w:r>
        <w:rPr>
          <w:rFonts w:ascii="Times New Roman" w:cs="Times New Roman" w:eastAsia="Times New Roman" w:hAnsi="Times New Roman"/>
          <w:sz w:val="22"/>
          <w:szCs w:val="22"/>
          <w:color w:val="auto"/>
        </w:rPr>
        <w:t xml:space="preserve"> to 1.00 </w:t>
      </w:r>
      <w:r>
        <w:rPr>
          <w:rFonts w:ascii="Times New Roman" w:cs="Times New Roman" w:eastAsia="Times New Roman" w:hAnsi="Times New Roman"/>
          <w:sz w:val="22"/>
          <w:szCs w:val="22"/>
          <w:u w:val="single" w:color="auto"/>
          <w:color w:val="0000FF"/>
        </w:rPr>
        <w:t>Category 2</w:t>
      </w:r>
    </w:p>
    <w:p>
      <w:pPr>
        <w:spacing w:after="0" w:line="2"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22"/>
          <w:szCs w:val="22"/>
          <w:u w:val="single" w:color="auto"/>
          <w:color w:val="0000FF"/>
          <w:highlight w:val="lightGray"/>
        </w:rPr>
        <w:t>Greater than or equal to 1.00 to 1.00 but less than 1.50 to 1.00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u w:val="single" w:color="auto"/>
          <w:color w:val="auto"/>
        </w:rPr>
        <w:t xml:space="preserve">Category </w:t>
      </w:r>
      <w:r>
        <w:rPr>
          <w:rFonts w:ascii="Times New Roman" w:cs="Times New Roman" w:eastAsia="Times New Roman" w:hAnsi="Times New Roman"/>
          <w:sz w:val="22"/>
          <w:szCs w:val="22"/>
          <w:u w:val="single" w:color="auto"/>
          <w:color w:val="FF0000"/>
          <w:strike w:val="1"/>
        </w:rPr>
        <w:t>2</w:t>
      </w:r>
      <w:r>
        <w:rPr>
          <w:rFonts w:ascii="Times New Roman" w:cs="Times New Roman" w:eastAsia="Times New Roman" w:hAnsi="Times New Roman"/>
          <w:sz w:val="22"/>
          <w:szCs w:val="22"/>
          <w:u w:val="single" w:color="auto"/>
          <w:color w:val="0000FF"/>
          <w:highlight w:val="lightGray"/>
        </w:rPr>
        <w:t>3</w:t>
      </w:r>
    </w:p>
    <w:p>
      <w:pPr>
        <w:spacing w:after="0" w:line="28" w:lineRule="exact"/>
        <w:rPr>
          <w:sz w:val="20"/>
          <w:szCs w:val="20"/>
          <w:color w:val="auto"/>
        </w:rPr>
      </w:pPr>
    </w:p>
    <w:p>
      <w:pPr>
        <w:ind w:left="380"/>
        <w:spacing w:after="0" w:line="248" w:lineRule="auto"/>
        <w:rPr>
          <w:sz w:val="20"/>
          <w:szCs w:val="20"/>
          <w:color w:val="auto"/>
        </w:rPr>
      </w:pPr>
      <w:r>
        <w:rPr>
          <w:rFonts w:ascii="Times New Roman" w:cs="Times New Roman" w:eastAsia="Times New Roman" w:hAnsi="Times New Roman"/>
          <w:sz w:val="22"/>
          <w:szCs w:val="22"/>
          <w:color w:val="auto"/>
        </w:rPr>
        <w:t>Greater than or equal to 1.50 to 1.00 but less than 2.00 to 1.00</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u w:val="single" w:color="auto"/>
          <w:color w:val="auto"/>
        </w:rPr>
        <w:t xml:space="preserve">Category </w:t>
      </w:r>
      <w:r>
        <w:rPr>
          <w:rFonts w:ascii="Times New Roman" w:cs="Times New Roman" w:eastAsia="Times New Roman" w:hAnsi="Times New Roman"/>
          <w:sz w:val="22"/>
          <w:szCs w:val="22"/>
          <w:u w:val="single" w:color="auto"/>
          <w:color w:val="FF0000"/>
          <w:strike w:val="1"/>
        </w:rPr>
        <w:t>3</w:t>
      </w:r>
      <w:r>
        <w:rPr>
          <w:rFonts w:ascii="Times New Roman" w:cs="Times New Roman" w:eastAsia="Times New Roman" w:hAnsi="Times New Roman"/>
          <w:sz w:val="22"/>
          <w:szCs w:val="22"/>
          <w:u w:val="single" w:color="auto"/>
          <w:color w:val="0000FF"/>
          <w:highlight w:val="lightGray"/>
        </w:rPr>
        <w:t>4</w:t>
      </w:r>
    </w:p>
    <w:p>
      <w:pPr>
        <w:spacing w:after="0" w:line="28" w:lineRule="exact"/>
        <w:rPr>
          <w:sz w:val="20"/>
          <w:szCs w:val="20"/>
          <w:color w:val="auto"/>
        </w:rPr>
      </w:pPr>
    </w:p>
    <w:p>
      <w:pPr>
        <w:ind w:left="360"/>
        <w:spacing w:after="0" w:line="248" w:lineRule="auto"/>
        <w:rPr>
          <w:sz w:val="20"/>
          <w:szCs w:val="20"/>
          <w:color w:val="auto"/>
        </w:rPr>
      </w:pPr>
      <w:r>
        <w:rPr>
          <w:rFonts w:ascii="Times New Roman" w:cs="Times New Roman" w:eastAsia="Times New Roman" w:hAnsi="Times New Roman"/>
          <w:sz w:val="22"/>
          <w:szCs w:val="22"/>
          <w:color w:val="auto"/>
        </w:rPr>
        <w:t>Greater than or equal to 2.00 to 1.00 but less than 2.50 to 1.00</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u w:val="single" w:color="auto"/>
          <w:color w:val="auto"/>
        </w:rPr>
        <w:t xml:space="preserve">Category </w:t>
      </w:r>
      <w:r>
        <w:rPr>
          <w:rFonts w:ascii="Times New Roman" w:cs="Times New Roman" w:eastAsia="Times New Roman" w:hAnsi="Times New Roman"/>
          <w:sz w:val="22"/>
          <w:szCs w:val="22"/>
          <w:u w:val="single" w:color="auto"/>
          <w:color w:val="FF0000"/>
          <w:strike w:val="1"/>
        </w:rPr>
        <w:t>4</w:t>
      </w:r>
      <w:r>
        <w:rPr>
          <w:rFonts w:ascii="Times New Roman" w:cs="Times New Roman" w:eastAsia="Times New Roman" w:hAnsi="Times New Roman"/>
          <w:sz w:val="22"/>
          <w:szCs w:val="22"/>
          <w:u w:val="single" w:color="auto"/>
          <w:color w:val="0000FF"/>
          <w:highlight w:val="lightGray"/>
        </w:rPr>
        <w:t>5</w:t>
      </w:r>
    </w:p>
    <w:p>
      <w:pPr>
        <w:spacing w:after="0" w:line="28" w:lineRule="exact"/>
        <w:rPr>
          <w:sz w:val="20"/>
          <w:szCs w:val="20"/>
          <w:color w:val="auto"/>
        </w:rPr>
      </w:pPr>
    </w:p>
    <w:p>
      <w:pPr>
        <w:ind w:left="360"/>
        <w:spacing w:after="0" w:line="248" w:lineRule="auto"/>
        <w:rPr>
          <w:sz w:val="20"/>
          <w:szCs w:val="20"/>
          <w:color w:val="auto"/>
        </w:rPr>
      </w:pPr>
      <w:r>
        <w:rPr>
          <w:rFonts w:ascii="Times New Roman" w:cs="Times New Roman" w:eastAsia="Times New Roman" w:hAnsi="Times New Roman"/>
          <w:sz w:val="22"/>
          <w:szCs w:val="22"/>
          <w:color w:val="auto"/>
        </w:rPr>
        <w:t>Greater than or equal to 2.50 to 1.00 but less than 3.00 to 1.00</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u w:val="single" w:color="auto"/>
          <w:color w:val="auto"/>
        </w:rPr>
        <w:t xml:space="preserve">Category </w:t>
      </w:r>
      <w:r>
        <w:rPr>
          <w:rFonts w:ascii="Times New Roman" w:cs="Times New Roman" w:eastAsia="Times New Roman" w:hAnsi="Times New Roman"/>
          <w:sz w:val="22"/>
          <w:szCs w:val="22"/>
          <w:u w:val="single" w:color="auto"/>
          <w:color w:val="FF0000"/>
          <w:strike w:val="1"/>
        </w:rPr>
        <w:t>5</w:t>
      </w:r>
      <w:r>
        <w:rPr>
          <w:rFonts w:ascii="Times New Roman" w:cs="Times New Roman" w:eastAsia="Times New Roman" w:hAnsi="Times New Roman"/>
          <w:sz w:val="22"/>
          <w:szCs w:val="22"/>
          <w:u w:val="single" w:color="auto"/>
          <w:color w:val="0000FF"/>
          <w:highlight w:val="lightGray"/>
        </w:rPr>
        <w:t>6</w:t>
      </w:r>
    </w:p>
    <w:p>
      <w:pPr>
        <w:spacing w:after="0" w:line="28" w:lineRule="exact"/>
        <w:rPr>
          <w:sz w:val="20"/>
          <w:szCs w:val="20"/>
          <w:color w:val="auto"/>
        </w:rPr>
      </w:pPr>
    </w:p>
    <w:p>
      <w:pPr>
        <w:ind w:left="360"/>
        <w:spacing w:after="0" w:line="248" w:lineRule="auto"/>
        <w:rPr>
          <w:sz w:val="20"/>
          <w:szCs w:val="20"/>
          <w:color w:val="auto"/>
        </w:rPr>
      </w:pPr>
      <w:r>
        <w:rPr>
          <w:rFonts w:ascii="Times New Roman" w:cs="Times New Roman" w:eastAsia="Times New Roman" w:hAnsi="Times New Roman"/>
          <w:sz w:val="22"/>
          <w:szCs w:val="22"/>
          <w:color w:val="auto"/>
        </w:rPr>
        <w:t xml:space="preserve">Greater than or equal to 3.00 to 1.00 </w:t>
      </w:r>
      <w:r>
        <w:rPr>
          <w:rFonts w:ascii="Times New Roman" w:cs="Times New Roman" w:eastAsia="Times New Roman" w:hAnsi="Times New Roman"/>
          <w:sz w:val="22"/>
          <w:szCs w:val="22"/>
          <w:color w:val="FF0000"/>
        </w:rPr>
        <w:t>but less than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3.50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-252095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tabs>
          <w:tab w:leader="none" w:pos="1980" w:val="left"/>
          <w:tab w:leader="none" w:pos="4120" w:val="left"/>
        </w:tabs>
        <w:rPr>
          <w:sz w:val="20"/>
          <w:szCs w:val="20"/>
          <w:color w:val="auto"/>
        </w:rPr>
      </w:pPr>
      <w:r>
        <w:rPr>
          <w:rFonts w:ascii="Times New Roman" w:cs="Times New Roman" w:eastAsia="Times New Roman" w:hAnsi="Times New Roman"/>
          <w:sz w:val="22"/>
          <w:szCs w:val="22"/>
          <w:color w:val="FF0000"/>
          <w:strike w:val="1"/>
        </w:rPr>
        <w:t>3.00</w:t>
      </w:r>
      <w:r>
        <w:rPr>
          <w:rFonts w:ascii="Times New Roman" w:cs="Times New Roman" w:eastAsia="Times New Roman" w:hAnsi="Times New Roman"/>
          <w:sz w:val="22"/>
          <w:szCs w:val="22"/>
          <w:u w:val="single" w:color="auto"/>
          <w:color w:val="0000FF"/>
          <w:highlight w:val="lightGray"/>
        </w:rPr>
        <w:t>2.50</w:t>
      </w:r>
      <w:r>
        <w:rPr>
          <w:rFonts w:ascii="Times New Roman" w:cs="Times New Roman" w:eastAsia="Times New Roman" w:hAnsi="Times New Roman"/>
          <w:sz w:val="22"/>
          <w:szCs w:val="22"/>
          <w:color w:val="000000"/>
        </w:rPr>
        <w:t>%</w:t>
      </w:r>
      <w:r>
        <w:rPr>
          <w:sz w:val="20"/>
          <w:szCs w:val="20"/>
          <w:color w:val="auto"/>
        </w:rPr>
        <w:tab/>
      </w:r>
      <w:r>
        <w:rPr>
          <w:rFonts w:ascii="Times New Roman" w:cs="Times New Roman" w:eastAsia="Times New Roman" w:hAnsi="Times New Roman"/>
          <w:sz w:val="22"/>
          <w:szCs w:val="22"/>
          <w:color w:val="FF0000"/>
          <w:strike w:val="1"/>
        </w:rPr>
        <w:t>2.00</w:t>
      </w:r>
      <w:r>
        <w:rPr>
          <w:rFonts w:ascii="Times New Roman" w:cs="Times New Roman" w:eastAsia="Times New Roman" w:hAnsi="Times New Roman"/>
          <w:sz w:val="22"/>
          <w:szCs w:val="22"/>
          <w:u w:val="single" w:color="auto"/>
          <w:color w:val="0000FF"/>
          <w:highlight w:val="lightGray"/>
          <w:strike w:val="1"/>
        </w:rPr>
        <w:t>1.50</w:t>
      </w:r>
      <w:r>
        <w:rPr>
          <w:rFonts w:ascii="Times New Roman" w:cs="Times New Roman" w:eastAsia="Times New Roman" w:hAnsi="Times New Roman"/>
          <w:sz w:val="22"/>
          <w:szCs w:val="22"/>
          <w:color w:val="000000"/>
          <w:strike w:val="1"/>
        </w:rPr>
        <w:t>%</w:t>
      </w:r>
      <w:r>
        <w:rPr>
          <w:sz w:val="20"/>
          <w:szCs w:val="20"/>
          <w:color w:val="auto"/>
        </w:rPr>
        <w:tab/>
      </w:r>
      <w:r>
        <w:rPr>
          <w:rFonts w:ascii="Times New Roman" w:cs="Times New Roman" w:eastAsia="Times New Roman" w:hAnsi="Times New Roman"/>
          <w:sz w:val="21"/>
          <w:szCs w:val="21"/>
          <w:color w:val="FF0000"/>
          <w:strike w:val="1"/>
        </w:rPr>
        <w:t>0.675</w:t>
      </w:r>
      <w:r>
        <w:rPr>
          <w:rFonts w:ascii="Times New Roman" w:cs="Times New Roman" w:eastAsia="Times New Roman" w:hAnsi="Times New Roman"/>
          <w:sz w:val="21"/>
          <w:szCs w:val="21"/>
          <w:u w:val="single" w:color="auto"/>
          <w:color w:val="0000FF"/>
          <w:highlight w:val="lightGray"/>
          <w:strike w:val="1"/>
        </w:rPr>
        <w:t>0.563</w:t>
      </w:r>
      <w:r>
        <w:rPr>
          <w:rFonts w:ascii="Times New Roman" w:cs="Times New Roman" w:eastAsia="Times New Roman" w:hAnsi="Times New Roman"/>
          <w:sz w:val="21"/>
          <w:szCs w:val="2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27940</wp:posOffset>
            </wp:positionV>
            <wp:extent cx="7132320" cy="531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tabs>
          <w:tab w:leader="none" w:pos="1980" w:val="left"/>
          <w:tab w:leader="none" w:pos="4120" w:val="left"/>
        </w:tabs>
        <w:rPr>
          <w:sz w:val="20"/>
          <w:szCs w:val="20"/>
          <w:color w:val="auto"/>
        </w:rPr>
      </w:pPr>
      <w:r>
        <w:rPr>
          <w:rFonts w:ascii="Times New Roman" w:cs="Times New Roman" w:eastAsia="Times New Roman" w:hAnsi="Times New Roman"/>
          <w:sz w:val="22"/>
          <w:szCs w:val="22"/>
          <w:u w:val="single" w:color="auto"/>
          <w:color w:val="0000FF"/>
        </w:rPr>
        <w:t>2.75%</w:t>
      </w:r>
      <w:r>
        <w:rPr>
          <w:sz w:val="20"/>
          <w:szCs w:val="20"/>
          <w:color w:val="auto"/>
        </w:rPr>
        <w:tab/>
      </w:r>
      <w:r>
        <w:rPr>
          <w:rFonts w:ascii="Times New Roman" w:cs="Times New Roman" w:eastAsia="Times New Roman" w:hAnsi="Times New Roman"/>
          <w:sz w:val="22"/>
          <w:szCs w:val="22"/>
          <w:u w:val="single" w:color="auto"/>
          <w:color w:val="0000FF"/>
        </w:rPr>
        <w:t>1.75%</w:t>
      </w:r>
      <w:r>
        <w:rPr>
          <w:sz w:val="20"/>
          <w:szCs w:val="20"/>
          <w:color w:val="auto"/>
        </w:rPr>
        <w:tab/>
      </w:r>
      <w:r>
        <w:rPr>
          <w:rFonts w:ascii="Times New Roman" w:cs="Times New Roman" w:eastAsia="Times New Roman" w:hAnsi="Times New Roman"/>
          <w:sz w:val="22"/>
          <w:szCs w:val="22"/>
          <w:u w:val="single" w:color="auto"/>
          <w:color w:val="0000FF"/>
        </w:rPr>
        <w:t>0.619%</w:t>
      </w:r>
    </w:p>
    <w:p>
      <w:pPr>
        <w:spacing w:after="0" w:line="200" w:lineRule="exact"/>
        <w:rPr>
          <w:sz w:val="20"/>
          <w:szCs w:val="20"/>
          <w:color w:val="auto"/>
        </w:rPr>
      </w:pPr>
    </w:p>
    <w:p>
      <w:pPr>
        <w:spacing w:after="0" w:line="371" w:lineRule="exact"/>
        <w:rPr>
          <w:sz w:val="20"/>
          <w:szCs w:val="20"/>
          <w:color w:val="auto"/>
        </w:rPr>
      </w:pPr>
    </w:p>
    <w:p>
      <w:pPr>
        <w:spacing w:after="0"/>
        <w:tabs>
          <w:tab w:leader="none" w:pos="1980" w:val="left"/>
          <w:tab w:leader="none" w:pos="4120" w:val="left"/>
        </w:tabs>
        <w:rPr>
          <w:sz w:val="20"/>
          <w:szCs w:val="20"/>
          <w:color w:val="auto"/>
        </w:rPr>
      </w:pPr>
      <w:r>
        <w:rPr>
          <w:rFonts w:ascii="Times New Roman" w:cs="Times New Roman" w:eastAsia="Times New Roman" w:hAnsi="Times New Roman"/>
          <w:sz w:val="22"/>
          <w:szCs w:val="22"/>
          <w:color w:val="FF0000"/>
          <w:strike w:val="1"/>
        </w:rPr>
        <w:t>3.25</w:t>
      </w:r>
      <w:r>
        <w:rPr>
          <w:rFonts w:ascii="Times New Roman" w:cs="Times New Roman" w:eastAsia="Times New Roman" w:hAnsi="Times New Roman"/>
          <w:sz w:val="22"/>
          <w:szCs w:val="22"/>
          <w:u w:val="single" w:color="auto"/>
          <w:color w:val="0000FF"/>
          <w:highlight w:val="lightGray"/>
        </w:rPr>
        <w:t>3.00</w:t>
      </w:r>
      <w:r>
        <w:rPr>
          <w:rFonts w:ascii="Times New Roman" w:cs="Times New Roman" w:eastAsia="Times New Roman" w:hAnsi="Times New Roman"/>
          <w:sz w:val="22"/>
          <w:szCs w:val="22"/>
          <w:color w:val="000000"/>
        </w:rPr>
        <w:t>%</w:t>
      </w:r>
      <w:r>
        <w:rPr>
          <w:sz w:val="20"/>
          <w:szCs w:val="20"/>
          <w:color w:val="auto"/>
        </w:rPr>
        <w:tab/>
      </w:r>
      <w:r>
        <w:rPr>
          <w:rFonts w:ascii="Times New Roman" w:cs="Times New Roman" w:eastAsia="Times New Roman" w:hAnsi="Times New Roman"/>
          <w:sz w:val="22"/>
          <w:szCs w:val="22"/>
          <w:color w:val="FF0000"/>
          <w:strike w:val="1"/>
        </w:rPr>
        <w:t>2.25</w:t>
      </w:r>
      <w:r>
        <w:rPr>
          <w:rFonts w:ascii="Times New Roman" w:cs="Times New Roman" w:eastAsia="Times New Roman" w:hAnsi="Times New Roman"/>
          <w:sz w:val="22"/>
          <w:szCs w:val="22"/>
          <w:u w:val="single" w:color="auto"/>
          <w:color w:val="0000FF"/>
          <w:highlight w:val="lightGray"/>
          <w:strike w:val="1"/>
        </w:rPr>
        <w:t>2.00</w:t>
      </w:r>
      <w:r>
        <w:rPr>
          <w:rFonts w:ascii="Times New Roman" w:cs="Times New Roman" w:eastAsia="Times New Roman" w:hAnsi="Times New Roman"/>
          <w:sz w:val="22"/>
          <w:szCs w:val="22"/>
          <w:color w:val="000000"/>
          <w:strike w:val="1"/>
        </w:rPr>
        <w:t>%</w:t>
      </w:r>
      <w:r>
        <w:rPr>
          <w:sz w:val="20"/>
          <w:szCs w:val="20"/>
          <w:color w:val="auto"/>
        </w:rPr>
        <w:tab/>
      </w:r>
      <w:r>
        <w:rPr>
          <w:rFonts w:ascii="Times New Roman" w:cs="Times New Roman" w:eastAsia="Times New Roman" w:hAnsi="Times New Roman"/>
          <w:sz w:val="21"/>
          <w:szCs w:val="21"/>
          <w:color w:val="FF0000"/>
          <w:strike w:val="1"/>
        </w:rPr>
        <w:t>0.731</w:t>
      </w:r>
      <w:r>
        <w:rPr>
          <w:rFonts w:ascii="Times New Roman" w:cs="Times New Roman" w:eastAsia="Times New Roman" w:hAnsi="Times New Roman"/>
          <w:sz w:val="21"/>
          <w:szCs w:val="21"/>
          <w:u w:val="single" w:color="auto"/>
          <w:color w:val="0000FF"/>
          <w:highlight w:val="lightGray"/>
          <w:strike w:val="1"/>
        </w:rPr>
        <w:t>0.675</w:t>
      </w:r>
      <w:r>
        <w:rPr>
          <w:rFonts w:ascii="Times New Roman" w:cs="Times New Roman" w:eastAsia="Times New Roman" w:hAnsi="Times New Roman"/>
          <w:sz w:val="21"/>
          <w:szCs w:val="21"/>
          <w:color w:val="000000"/>
          <w:strike w:val="1"/>
        </w:rPr>
        <w:t>%</w:t>
      </w:r>
    </w:p>
    <w:p>
      <w:pPr>
        <w:spacing w:after="0" w:line="200" w:lineRule="exact"/>
        <w:rPr>
          <w:sz w:val="20"/>
          <w:szCs w:val="20"/>
          <w:color w:val="auto"/>
        </w:rPr>
      </w:pPr>
    </w:p>
    <w:p>
      <w:pPr>
        <w:spacing w:after="0" w:line="384" w:lineRule="exact"/>
        <w:rPr>
          <w:sz w:val="20"/>
          <w:szCs w:val="20"/>
          <w:color w:val="auto"/>
        </w:rPr>
      </w:pPr>
    </w:p>
    <w:p>
      <w:pPr>
        <w:spacing w:after="0"/>
        <w:tabs>
          <w:tab w:leader="none" w:pos="1980" w:val="left"/>
          <w:tab w:leader="none" w:pos="4120" w:val="left"/>
        </w:tabs>
        <w:rPr>
          <w:sz w:val="20"/>
          <w:szCs w:val="20"/>
          <w:color w:val="auto"/>
        </w:rPr>
      </w:pPr>
      <w:r>
        <w:rPr>
          <w:rFonts w:ascii="Times New Roman" w:cs="Times New Roman" w:eastAsia="Times New Roman" w:hAnsi="Times New Roman"/>
          <w:sz w:val="22"/>
          <w:szCs w:val="22"/>
          <w:color w:val="FF0000"/>
          <w:strike w:val="1"/>
        </w:rPr>
        <w:t>3.50</w:t>
      </w:r>
      <w:r>
        <w:rPr>
          <w:rFonts w:ascii="Times New Roman" w:cs="Times New Roman" w:eastAsia="Times New Roman" w:hAnsi="Times New Roman"/>
          <w:sz w:val="22"/>
          <w:szCs w:val="22"/>
          <w:u w:val="single" w:color="auto"/>
          <w:color w:val="0000FF"/>
          <w:highlight w:val="lightGray"/>
        </w:rPr>
        <w:t>3.25</w:t>
      </w:r>
      <w:r>
        <w:rPr>
          <w:rFonts w:ascii="Times New Roman" w:cs="Times New Roman" w:eastAsia="Times New Roman" w:hAnsi="Times New Roman"/>
          <w:sz w:val="22"/>
          <w:szCs w:val="22"/>
          <w:color w:val="000000"/>
        </w:rPr>
        <w:t>%</w:t>
      </w:r>
      <w:r>
        <w:rPr>
          <w:sz w:val="20"/>
          <w:szCs w:val="20"/>
          <w:color w:val="auto"/>
        </w:rPr>
        <w:tab/>
      </w:r>
      <w:r>
        <w:rPr>
          <w:rFonts w:ascii="Times New Roman" w:cs="Times New Roman" w:eastAsia="Times New Roman" w:hAnsi="Times New Roman"/>
          <w:sz w:val="22"/>
          <w:szCs w:val="22"/>
          <w:color w:val="FF0000"/>
          <w:strike w:val="1"/>
        </w:rPr>
        <w:t>2.50</w:t>
      </w:r>
      <w:r>
        <w:rPr>
          <w:rFonts w:ascii="Times New Roman" w:cs="Times New Roman" w:eastAsia="Times New Roman" w:hAnsi="Times New Roman"/>
          <w:sz w:val="22"/>
          <w:szCs w:val="22"/>
          <w:u w:val="single" w:color="auto"/>
          <w:color w:val="0000FF"/>
          <w:highlight w:val="lightGray"/>
          <w:strike w:val="1"/>
        </w:rPr>
        <w:t>2.25</w:t>
      </w:r>
      <w:r>
        <w:rPr>
          <w:rFonts w:ascii="Times New Roman" w:cs="Times New Roman" w:eastAsia="Times New Roman" w:hAnsi="Times New Roman"/>
          <w:sz w:val="22"/>
          <w:szCs w:val="22"/>
          <w:color w:val="000000"/>
          <w:strike w:val="1"/>
        </w:rPr>
        <w:t>%</w:t>
      </w:r>
      <w:r>
        <w:rPr>
          <w:sz w:val="20"/>
          <w:szCs w:val="20"/>
          <w:color w:val="auto"/>
        </w:rPr>
        <w:tab/>
      </w:r>
      <w:r>
        <w:rPr>
          <w:rFonts w:ascii="Times New Roman" w:cs="Times New Roman" w:eastAsia="Times New Roman" w:hAnsi="Times New Roman"/>
          <w:sz w:val="21"/>
          <w:szCs w:val="21"/>
          <w:color w:val="FF0000"/>
          <w:strike w:val="1"/>
        </w:rPr>
        <w:t>0.788</w:t>
      </w:r>
      <w:r>
        <w:rPr>
          <w:rFonts w:ascii="Times New Roman" w:cs="Times New Roman" w:eastAsia="Times New Roman" w:hAnsi="Times New Roman"/>
          <w:sz w:val="21"/>
          <w:szCs w:val="21"/>
          <w:u w:val="single" w:color="auto"/>
          <w:color w:val="0000FF"/>
          <w:highlight w:val="lightGray"/>
          <w:strike w:val="1"/>
        </w:rPr>
        <w:t>0.731</w:t>
      </w:r>
      <w:r>
        <w:rPr>
          <w:rFonts w:ascii="Times New Roman" w:cs="Times New Roman" w:eastAsia="Times New Roman" w:hAnsi="Times New Roman"/>
          <w:sz w:val="21"/>
          <w:szCs w:val="21"/>
          <w:color w:val="000000"/>
          <w:strike w:val="1"/>
        </w:rPr>
        <w:t>%</w:t>
      </w:r>
    </w:p>
    <w:p>
      <w:pPr>
        <w:spacing w:after="0" w:line="200" w:lineRule="exact"/>
        <w:rPr>
          <w:sz w:val="20"/>
          <w:szCs w:val="20"/>
          <w:color w:val="auto"/>
        </w:rPr>
      </w:pPr>
    </w:p>
    <w:p>
      <w:pPr>
        <w:spacing w:after="0" w:line="384" w:lineRule="exact"/>
        <w:rPr>
          <w:sz w:val="20"/>
          <w:szCs w:val="20"/>
          <w:color w:val="auto"/>
        </w:rPr>
      </w:pPr>
    </w:p>
    <w:p>
      <w:pPr>
        <w:spacing w:after="0"/>
        <w:tabs>
          <w:tab w:leader="none" w:pos="1980" w:val="left"/>
          <w:tab w:leader="none" w:pos="4120" w:val="left"/>
        </w:tabs>
        <w:rPr>
          <w:sz w:val="20"/>
          <w:szCs w:val="20"/>
          <w:color w:val="auto"/>
        </w:rPr>
      </w:pPr>
      <w:r>
        <w:rPr>
          <w:rFonts w:ascii="Times New Roman" w:cs="Times New Roman" w:eastAsia="Times New Roman" w:hAnsi="Times New Roman"/>
          <w:sz w:val="22"/>
          <w:szCs w:val="22"/>
          <w:color w:val="FF0000"/>
          <w:strike w:val="1"/>
        </w:rPr>
        <w:t>3.75</w:t>
      </w:r>
      <w:r>
        <w:rPr>
          <w:rFonts w:ascii="Times New Roman" w:cs="Times New Roman" w:eastAsia="Times New Roman" w:hAnsi="Times New Roman"/>
          <w:sz w:val="22"/>
          <w:szCs w:val="22"/>
          <w:u w:val="single" w:color="auto"/>
          <w:color w:val="0000FF"/>
          <w:highlight w:val="lightGray"/>
        </w:rPr>
        <w:t>3.50</w:t>
      </w:r>
      <w:r>
        <w:rPr>
          <w:rFonts w:ascii="Times New Roman" w:cs="Times New Roman" w:eastAsia="Times New Roman" w:hAnsi="Times New Roman"/>
          <w:sz w:val="22"/>
          <w:szCs w:val="22"/>
          <w:color w:val="000000"/>
        </w:rPr>
        <w:t>%</w:t>
      </w:r>
      <w:r>
        <w:rPr>
          <w:sz w:val="20"/>
          <w:szCs w:val="20"/>
          <w:color w:val="auto"/>
        </w:rPr>
        <w:tab/>
      </w:r>
      <w:r>
        <w:rPr>
          <w:rFonts w:ascii="Times New Roman" w:cs="Times New Roman" w:eastAsia="Times New Roman" w:hAnsi="Times New Roman"/>
          <w:sz w:val="22"/>
          <w:szCs w:val="22"/>
          <w:color w:val="FF0000"/>
          <w:strike w:val="1"/>
        </w:rPr>
        <w:t>2.75</w:t>
      </w:r>
      <w:r>
        <w:rPr>
          <w:rFonts w:ascii="Times New Roman" w:cs="Times New Roman" w:eastAsia="Times New Roman" w:hAnsi="Times New Roman"/>
          <w:sz w:val="22"/>
          <w:szCs w:val="22"/>
          <w:u w:val="single" w:color="auto"/>
          <w:color w:val="0000FF"/>
          <w:highlight w:val="lightGray"/>
          <w:strike w:val="1"/>
        </w:rPr>
        <w:t>2.50</w:t>
      </w:r>
      <w:r>
        <w:rPr>
          <w:rFonts w:ascii="Times New Roman" w:cs="Times New Roman" w:eastAsia="Times New Roman" w:hAnsi="Times New Roman"/>
          <w:sz w:val="22"/>
          <w:szCs w:val="22"/>
          <w:color w:val="000000"/>
          <w:strike w:val="1"/>
        </w:rPr>
        <w:t>%</w:t>
      </w:r>
      <w:r>
        <w:rPr>
          <w:sz w:val="20"/>
          <w:szCs w:val="20"/>
          <w:color w:val="auto"/>
        </w:rPr>
        <w:tab/>
      </w:r>
      <w:r>
        <w:rPr>
          <w:rFonts w:ascii="Times New Roman" w:cs="Times New Roman" w:eastAsia="Times New Roman" w:hAnsi="Times New Roman"/>
          <w:sz w:val="21"/>
          <w:szCs w:val="21"/>
          <w:color w:val="FF0000"/>
          <w:strike w:val="1"/>
        </w:rPr>
        <w:t>0.844</w:t>
      </w:r>
      <w:r>
        <w:rPr>
          <w:rFonts w:ascii="Times New Roman" w:cs="Times New Roman" w:eastAsia="Times New Roman" w:hAnsi="Times New Roman"/>
          <w:sz w:val="21"/>
          <w:szCs w:val="21"/>
          <w:u w:val="single" w:color="auto"/>
          <w:color w:val="0000FF"/>
          <w:highlight w:val="lightGray"/>
          <w:strike w:val="1"/>
        </w:rPr>
        <w:t>0.788</w:t>
      </w:r>
      <w:r>
        <w:rPr>
          <w:rFonts w:ascii="Times New Roman" w:cs="Times New Roman" w:eastAsia="Times New Roman" w:hAnsi="Times New Roman"/>
          <w:sz w:val="21"/>
          <w:szCs w:val="21"/>
          <w:color w:val="000000"/>
          <w:strike w:val="1"/>
        </w:rPr>
        <w:t>%</w:t>
      </w:r>
    </w:p>
    <w:p>
      <w:pPr>
        <w:spacing w:after="0" w:line="200" w:lineRule="exact"/>
        <w:rPr>
          <w:sz w:val="20"/>
          <w:szCs w:val="20"/>
          <w:color w:val="auto"/>
        </w:rPr>
      </w:pPr>
    </w:p>
    <w:p>
      <w:pPr>
        <w:spacing w:after="0" w:line="384" w:lineRule="exact"/>
        <w:rPr>
          <w:sz w:val="20"/>
          <w:szCs w:val="20"/>
          <w:color w:val="auto"/>
        </w:rPr>
      </w:pPr>
    </w:p>
    <w:p>
      <w:pPr>
        <w:spacing w:after="0"/>
        <w:tabs>
          <w:tab w:leader="none" w:pos="1980" w:val="left"/>
          <w:tab w:leader="none" w:pos="4120" w:val="left"/>
        </w:tabs>
        <w:rPr>
          <w:sz w:val="20"/>
          <w:szCs w:val="20"/>
          <w:color w:val="auto"/>
        </w:rPr>
      </w:pPr>
      <w:r>
        <w:rPr>
          <w:rFonts w:ascii="Times New Roman" w:cs="Times New Roman" w:eastAsia="Times New Roman" w:hAnsi="Times New Roman"/>
          <w:sz w:val="22"/>
          <w:szCs w:val="22"/>
          <w:color w:val="FF0000"/>
          <w:strike w:val="1"/>
        </w:rPr>
        <w:t>4.00</w:t>
      </w:r>
      <w:r>
        <w:rPr>
          <w:rFonts w:ascii="Times New Roman" w:cs="Times New Roman" w:eastAsia="Times New Roman" w:hAnsi="Times New Roman"/>
          <w:sz w:val="22"/>
          <w:szCs w:val="22"/>
          <w:u w:val="single" w:color="auto"/>
          <w:color w:val="0000FF"/>
          <w:highlight w:val="lightGray"/>
        </w:rPr>
        <w:t>3.75</w:t>
      </w:r>
      <w:r>
        <w:rPr>
          <w:rFonts w:ascii="Times New Roman" w:cs="Times New Roman" w:eastAsia="Times New Roman" w:hAnsi="Times New Roman"/>
          <w:sz w:val="22"/>
          <w:szCs w:val="22"/>
          <w:color w:val="000000"/>
        </w:rPr>
        <w:t>%</w:t>
      </w:r>
      <w:r>
        <w:rPr>
          <w:sz w:val="20"/>
          <w:szCs w:val="20"/>
          <w:color w:val="auto"/>
        </w:rPr>
        <w:tab/>
      </w:r>
      <w:r>
        <w:rPr>
          <w:rFonts w:ascii="Times New Roman" w:cs="Times New Roman" w:eastAsia="Times New Roman" w:hAnsi="Times New Roman"/>
          <w:sz w:val="22"/>
          <w:szCs w:val="22"/>
          <w:color w:val="FF0000"/>
          <w:strike w:val="1"/>
        </w:rPr>
        <w:t>3.00</w:t>
      </w:r>
      <w:r>
        <w:rPr>
          <w:rFonts w:ascii="Times New Roman" w:cs="Times New Roman" w:eastAsia="Times New Roman" w:hAnsi="Times New Roman"/>
          <w:sz w:val="22"/>
          <w:szCs w:val="22"/>
          <w:u w:val="single" w:color="auto"/>
          <w:color w:val="0000FF"/>
          <w:highlight w:val="lightGray"/>
          <w:strike w:val="1"/>
        </w:rPr>
        <w:t>2.75</w:t>
      </w:r>
      <w:r>
        <w:rPr>
          <w:rFonts w:ascii="Times New Roman" w:cs="Times New Roman" w:eastAsia="Times New Roman" w:hAnsi="Times New Roman"/>
          <w:sz w:val="22"/>
          <w:szCs w:val="22"/>
          <w:color w:val="000000"/>
          <w:strike w:val="1"/>
        </w:rPr>
        <w:t>%</w:t>
      </w:r>
      <w:r>
        <w:rPr>
          <w:sz w:val="20"/>
          <w:szCs w:val="20"/>
          <w:color w:val="auto"/>
        </w:rPr>
        <w:tab/>
      </w:r>
      <w:r>
        <w:rPr>
          <w:rFonts w:ascii="Times New Roman" w:cs="Times New Roman" w:eastAsia="Times New Roman" w:hAnsi="Times New Roman"/>
          <w:sz w:val="21"/>
          <w:szCs w:val="21"/>
          <w:color w:val="FF0000"/>
          <w:strike w:val="1"/>
        </w:rPr>
        <w:t>0.900</w:t>
      </w:r>
      <w:r>
        <w:rPr>
          <w:rFonts w:ascii="Times New Roman" w:cs="Times New Roman" w:eastAsia="Times New Roman" w:hAnsi="Times New Roman"/>
          <w:sz w:val="21"/>
          <w:szCs w:val="21"/>
          <w:u w:val="single" w:color="auto"/>
          <w:color w:val="0000FF"/>
          <w:highlight w:val="lightGray"/>
          <w:strike w:val="1"/>
        </w:rPr>
        <w:t>0.844</w:t>
      </w:r>
      <w:r>
        <w:rPr>
          <w:rFonts w:ascii="Times New Roman" w:cs="Times New Roman" w:eastAsia="Times New Roman" w:hAnsi="Times New Roman"/>
          <w:sz w:val="21"/>
          <w:szCs w:val="21"/>
          <w:color w:val="000000"/>
          <w:strike w:val="1"/>
        </w:rPr>
        <w:t>%</w:t>
      </w:r>
    </w:p>
    <w:p>
      <w:pPr>
        <w:spacing w:after="0" w:line="223" w:lineRule="exact"/>
        <w:rPr>
          <w:sz w:val="20"/>
          <w:szCs w:val="20"/>
          <w:color w:val="auto"/>
        </w:rPr>
      </w:pPr>
    </w:p>
    <w:p>
      <w:pPr>
        <w:sectPr>
          <w:pgSz w:w="11900" w:h="16838" w:orient="portrait"/>
          <w:cols w:equalWidth="0" w:num="2">
            <w:col w:w="4900" w:space="80"/>
            <w:col w:w="6260"/>
          </w:cols>
          <w:pgMar w:left="320" w:top="1422"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change in the Applicable Percentage resulting from a change in the Total Net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provided, however, that at any time during which the Parent Borrower has failed to deliver when due the financial statements required by Section 5.04(a) or (b) and the Compliance Certificate required by Section 5.04(c), respectively, the Total Net Leverage Ratio shall be deemed to be in Category 5 for purposes of determining</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type w:val="continuous"/>
        </w:sectPr>
      </w:pPr>
    </w:p>
    <w:bookmarkStart w:id="42" w:name="page43"/>
    <w:bookmarkEnd w:id="4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 Applicable Percentage. Notwithstanding the foregoing, as of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highlight w:val="lightGray"/>
        </w:rPr>
        <w:t>Third Amendment Effective</w:t>
      </w:r>
      <w:r>
        <w:rPr>
          <w:rFonts w:ascii="Times New Roman" w:cs="Times New Roman" w:eastAsia="Times New Roman" w:hAnsi="Times New Roman"/>
          <w:sz w:val="22"/>
          <w:szCs w:val="22"/>
          <w:color w:val="auto"/>
        </w:rPr>
        <w:t xml:space="preserve"> Date, the Applicable Percentage shall be based on Category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highlight w:val="lightGray"/>
        </w:rPr>
        <w:t>1</w:t>
      </w:r>
      <w:r>
        <w:rPr>
          <w:rFonts w:ascii="Times New Roman" w:cs="Times New Roman" w:eastAsia="Times New Roman" w:hAnsi="Times New Roman"/>
          <w:sz w:val="22"/>
          <w:szCs w:val="22"/>
          <w:color w:val="auto"/>
        </w:rPr>
        <w:t xml:space="preserve"> until adjusted in accordance with this paragraph.</w:t>
      </w:r>
    </w:p>
    <w:p>
      <w:pPr>
        <w:spacing w:after="0" w:line="15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Pro Rata Percentage</w:t>
      </w:r>
      <w:r>
        <w:rPr>
          <w:rFonts w:ascii="Times New Roman" w:cs="Times New Roman" w:eastAsia="Times New Roman" w:hAnsi="Times New Roman"/>
          <w:sz w:val="22"/>
          <w:szCs w:val="22"/>
          <w:color w:val="auto"/>
        </w:rPr>
        <w:t xml:space="preserve">” shall mean the Canadian </w:t>
      </w:r>
      <w:r>
        <w:rPr>
          <w:rFonts w:ascii="Times New Roman" w:cs="Times New Roman" w:eastAsia="Times New Roman" w:hAnsi="Times New Roman"/>
          <w:sz w:val="22"/>
          <w:szCs w:val="22"/>
          <w:color w:val="FF0000"/>
          <w:strike w:val="1"/>
        </w:rPr>
        <w:t>Applicable</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Pro Rata Percentage, the Australian Revolving Pro Rata Percentage or the U.S. Revolving Pro Rata Percentage, as the context may require.</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Required Lenders</w:t>
      </w:r>
      <w:r>
        <w:rPr>
          <w:rFonts w:ascii="Times New Roman" w:cs="Times New Roman" w:eastAsia="Times New Roman" w:hAnsi="Times New Roman"/>
          <w:sz w:val="22"/>
          <w:szCs w:val="22"/>
          <w:color w:val="auto"/>
        </w:rPr>
        <w:t>” shall mean (a) the Required U.S. Lenders with respect to the U.S. Revolving Credit Facility, (b) the Required Canadian Revolving Lenders with respect to the Canadian Revolving Credit Facility</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or</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22"/>
          <w:szCs w:val="22"/>
          <w:color w:val="FF0000"/>
          <w:strike w:val="1"/>
        </w:rPr>
        <w: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Required Canadian Term Lenders with respect to the Canadian Term Loan Facility, or (d</w:t>
      </w:r>
      <w:r>
        <w:rPr>
          <w:rFonts w:ascii="Times New Roman" w:cs="Times New Roman" w:eastAsia="Times New Roman" w:hAnsi="Times New Roman"/>
          <w:sz w:val="22"/>
          <w:szCs w:val="22"/>
          <w:color w:val="000000"/>
        </w:rPr>
        <w:t>) the Required Australian Lenders with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respect to the Australian Revolving Credit Facility.</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Swing Line Lender</w:t>
      </w:r>
      <w:r>
        <w:rPr>
          <w:rFonts w:ascii="Times New Roman" w:cs="Times New Roman" w:eastAsia="Times New Roman" w:hAnsi="Times New Roman"/>
          <w:sz w:val="22"/>
          <w:szCs w:val="22"/>
          <w:color w:val="auto"/>
        </w:rPr>
        <w:t>” shall mean (a) with respect to the U.S. Swing Line Sublimit, (i) the U.S. Swing Line Lender and (ii) if any U.S. Swing Line Loans are outstanding and have not been refinanced by a U.S. Revolving Borrowing pursuant to Section 2.23(c)(ii), the U.S. Revolving Lenders and (b) with respect to the Canadian Swing Line Sublimit, the Canadian Swing Line Lender and (ii) if any Canadian Swing Line Loans are outstanding and have not been refinanced by a Canadian Revolving Borrowing pursuant to Section 2.23(c)(ii), the Canadian Revolving Lenders.</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shall mean any Fund that is administered or managed by (a) a Lender, (b) an Affiliate of a Lender or (c) an entity or an Affiliate of an entity that administers or manages a Lender.</w:t>
      </w:r>
    </w:p>
    <w:p>
      <w:pPr>
        <w:spacing w:after="0" w:line="1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Asset Sale</w:t>
      </w:r>
      <w:r>
        <w:rPr>
          <w:rFonts w:ascii="Times New Roman" w:cs="Times New Roman" w:eastAsia="Times New Roman" w:hAnsi="Times New Roman"/>
          <w:sz w:val="22"/>
          <w:szCs w:val="22"/>
          <w:color w:val="auto"/>
        </w:rPr>
        <w:t xml:space="preserve">” shall mean the sale, transfer or other disposition (by way of merger, casualty, condemnation or otherwise) of any or all of the property of the Parent Borrower or any of its Subsidiaries to any person other than the Parent Borrower or any of its Subsidiaries (other than (a) Equity Interests in the Parent Borrower or directors’ qualifying shares in any Subsidiary, (b) inventory, damaged, obsolete or worn out assets, scrap and Permitted Investments, in each case disposed of in the ordinary course of business, (c) dispositions between or among Subsidiaries that are not Loan Parties or (d) Specified Dispositions);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asset sale or series of related asset sales described above having a value not in excess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w:t>
      </w:r>
      <w:r>
        <w:rPr>
          <w:rFonts w:ascii="Times New Roman" w:cs="Times New Roman" w:eastAsia="Times New Roman" w:hAnsi="Times New Roman"/>
          <w:sz w:val="22"/>
          <w:szCs w:val="22"/>
          <w:color w:val="FF0000"/>
          <w:strike w:val="1"/>
        </w:rPr>
        <w:t>1,000,000</w:t>
      </w:r>
      <w:r>
        <w:rPr>
          <w:rFonts w:ascii="Times New Roman" w:cs="Times New Roman" w:eastAsia="Times New Roman" w:hAnsi="Times New Roman"/>
          <w:sz w:val="22"/>
          <w:szCs w:val="22"/>
          <w:u w:val="single" w:color="auto"/>
          <w:color w:val="0000FF"/>
          <w:highlight w:val="lightGray"/>
        </w:rPr>
        <w:t>5,000,000</w:t>
      </w:r>
      <w:r>
        <w:rPr>
          <w:rFonts w:ascii="Times New Roman" w:cs="Times New Roman" w:eastAsia="Times New Roman" w:hAnsi="Times New Roman"/>
          <w:sz w:val="22"/>
          <w:szCs w:val="22"/>
          <w:color w:val="auto"/>
        </w:rPr>
        <w:t xml:space="preserve"> shall be deemed not to be an “Asset Sale” for purposes of this Agreement.</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Assignee Group</w:t>
      </w:r>
      <w:r>
        <w:rPr>
          <w:rFonts w:ascii="Times New Roman" w:cs="Times New Roman" w:eastAsia="Times New Roman" w:hAnsi="Times New Roman"/>
          <w:sz w:val="22"/>
          <w:szCs w:val="22"/>
          <w:color w:val="auto"/>
        </w:rPr>
        <w:t>” shall mean two or more Eligible Assignees that are Affiliates of one another or two or more Approved Funds managed by the same investment advisor.</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Associate</w:t>
      </w:r>
      <w:r>
        <w:rPr>
          <w:rFonts w:ascii="Times New Roman" w:cs="Times New Roman" w:eastAsia="Times New Roman" w:hAnsi="Times New Roman"/>
          <w:sz w:val="22"/>
          <w:szCs w:val="22"/>
          <w:color w:val="auto"/>
        </w:rPr>
        <w:t>” shall mean an “associate” as defined in section 128F(9) of the Australian Tax Act.</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Attorneys</w:t>
      </w:r>
      <w:r>
        <w:rPr>
          <w:rFonts w:ascii="Times New Roman" w:cs="Times New Roman" w:eastAsia="Times New Roman" w:hAnsi="Times New Roman"/>
          <w:sz w:val="22"/>
          <w:szCs w:val="22"/>
          <w:color w:val="auto"/>
        </w:rPr>
        <w:t>” shall have the meaning assigned to such term in Section 1.03(b).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Administrative Agent</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Borrower</w:t>
      </w:r>
      <w:r>
        <w:rPr>
          <w:rFonts w:ascii="Times New Roman" w:cs="Times New Roman" w:eastAsia="Times New Roman" w:hAnsi="Times New Roman"/>
          <w:sz w:val="22"/>
          <w:szCs w:val="22"/>
          <w:color w:val="auto"/>
        </w:rPr>
        <w:t>” shall have the meaning assigned to such term in the preamble hereto.</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Collateral</w:t>
      </w:r>
      <w:r>
        <w:rPr>
          <w:rFonts w:ascii="Times New Roman" w:cs="Times New Roman" w:eastAsia="Times New Roman" w:hAnsi="Times New Roman"/>
          <w:sz w:val="22"/>
          <w:szCs w:val="22"/>
          <w:color w:val="auto"/>
        </w:rPr>
        <w:t>” shall mean all “Collateral” or “Secured Property” as defined in any Australian Security Document.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Collateral Agent</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Commitment Fee</w:t>
      </w:r>
      <w:r>
        <w:rPr>
          <w:rFonts w:ascii="Times New Roman" w:cs="Times New Roman" w:eastAsia="Times New Roman" w:hAnsi="Times New Roman"/>
          <w:sz w:val="22"/>
          <w:szCs w:val="22"/>
          <w:color w:val="auto"/>
        </w:rPr>
        <w:t>” shall have the meaning assigned to such term in Section 2.05(a).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Corporations Act</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i w:val="1"/>
          <w:iCs w:val="1"/>
          <w:color w:val="auto"/>
        </w:rPr>
        <w:t>Corporations Act 2001 (Cth)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Dollar Equivalent</w:t>
      </w:r>
      <w:r>
        <w:rPr>
          <w:rFonts w:ascii="Times New Roman" w:cs="Times New Roman" w:eastAsia="Times New Roman" w:hAnsi="Times New Roman"/>
          <w:sz w:val="21"/>
          <w:szCs w:val="21"/>
          <w:color w:val="auto"/>
        </w:rPr>
        <w:t>” shall mean, on any date of determination, with respect to any amount in U.S. dollars, the equivalent in Australian dollars of such amount, determined by the Administrative Agent using the Exchange Rate then in effect.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AUD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AUD$</w:t>
      </w:r>
      <w:r>
        <w:rPr>
          <w:rFonts w:ascii="Times New Roman" w:cs="Times New Roman" w:eastAsia="Times New Roman" w:hAnsi="Times New Roman"/>
          <w:sz w:val="22"/>
          <w:szCs w:val="22"/>
          <w:color w:val="auto"/>
        </w:rPr>
        <w:t>” shall mean the lawful money of the Commonwealth of Australia.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GST</w:t>
      </w:r>
      <w:r>
        <w:rPr>
          <w:rFonts w:ascii="Times New Roman" w:cs="Times New Roman" w:eastAsia="Times New Roman" w:hAnsi="Times New Roman"/>
          <w:sz w:val="22"/>
          <w:szCs w:val="22"/>
          <w:color w:val="auto"/>
        </w:rPr>
        <w:t xml:space="preserve">” shall have the meaning given in </w:t>
      </w:r>
      <w:r>
        <w:rPr>
          <w:rFonts w:ascii="Times New Roman" w:cs="Times New Roman" w:eastAsia="Times New Roman" w:hAnsi="Times New Roman"/>
          <w:sz w:val="22"/>
          <w:szCs w:val="22"/>
          <w:i w:val="1"/>
          <w:iCs w:val="1"/>
          <w:color w:val="auto"/>
        </w:rPr>
        <w:t>A New Tax System (Goods and Services Tax) Act 1999 (Cth)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GST Liability</w:t>
      </w:r>
      <w:r>
        <w:rPr>
          <w:rFonts w:ascii="Times New Roman" w:cs="Times New Roman" w:eastAsia="Times New Roman" w:hAnsi="Times New Roman"/>
          <w:sz w:val="22"/>
          <w:szCs w:val="22"/>
          <w:color w:val="auto"/>
        </w:rPr>
        <w:t>” shall have the meaning assigned to such term in Section 2.19(j).</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Guarantee Agreement</w:t>
      </w:r>
      <w:r>
        <w:rPr>
          <w:rFonts w:ascii="Times New Roman" w:cs="Times New Roman" w:eastAsia="Times New Roman" w:hAnsi="Times New Roman"/>
          <w:sz w:val="22"/>
          <w:szCs w:val="22"/>
          <w:color w:val="auto"/>
        </w:rPr>
        <w:t>” shall mean a Deed of Guarantee and Indemnity, substantially in the form of Exhibit C-1, in favor of the Australian Collateral Agent, for the benefit of the Secured Parties.</w:t>
      </w:r>
    </w:p>
    <w:p>
      <w:pPr>
        <w:spacing w:after="0" w:line="1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L/C Exposure</w:t>
      </w:r>
      <w:r>
        <w:rPr>
          <w:rFonts w:ascii="Times New Roman" w:cs="Times New Roman" w:eastAsia="Times New Roman" w:hAnsi="Times New Roman"/>
          <w:sz w:val="22"/>
          <w:szCs w:val="22"/>
          <w:color w:val="auto"/>
        </w:rPr>
        <w:t>”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L/C Participation Fee</w:t>
      </w:r>
      <w:r>
        <w:rPr>
          <w:rFonts w:ascii="Times New Roman" w:cs="Times New Roman" w:eastAsia="Times New Roman" w:hAnsi="Times New Roman"/>
          <w:sz w:val="22"/>
          <w:szCs w:val="22"/>
          <w:color w:val="auto"/>
        </w:rPr>
        <w:t>” shall have the meaning assigned to such term in Section 2.05(c).</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44" w:name="page45"/>
    <w:bookmarkEnd w:id="44"/>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Lenders</w:t>
      </w:r>
      <w:r>
        <w:rPr>
          <w:rFonts w:ascii="Times New Roman" w:cs="Times New Roman" w:eastAsia="Times New Roman" w:hAnsi="Times New Roman"/>
          <w:sz w:val="22"/>
          <w:szCs w:val="22"/>
          <w:color w:val="auto"/>
        </w:rPr>
        <w:t>” shall mean Lenders having Australian Revolving Commitments, outstanding Australian Revolving Credit Loans or participations in Australian Letters of Credit pursuant to Section 2.21(d).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Loan Parties</w:t>
      </w:r>
      <w:r>
        <w:rPr>
          <w:rFonts w:ascii="Times New Roman" w:cs="Times New Roman" w:eastAsia="Times New Roman" w:hAnsi="Times New Roman"/>
          <w:sz w:val="22"/>
          <w:szCs w:val="22"/>
          <w:color w:val="auto"/>
        </w:rPr>
        <w:t>” shall mean the Australian Borrower and the Australian Subsidiary Guarantors.</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Borrowing</w:t>
      </w:r>
      <w:r>
        <w:rPr>
          <w:rFonts w:ascii="Times New Roman" w:cs="Times New Roman" w:eastAsia="Times New Roman" w:hAnsi="Times New Roman"/>
          <w:sz w:val="22"/>
          <w:szCs w:val="22"/>
          <w:color w:val="auto"/>
        </w:rPr>
        <w:t>” shall mean a group of Australian Revolving Credit Loans of a single Type made, converted or continued by the Australian Lenders on a single date and as to which a single Interest Period is in effect.</w:t>
      </w:r>
    </w:p>
    <w:p>
      <w:pPr>
        <w:spacing w:after="0" w:line="1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Commitment</w:t>
      </w:r>
      <w:r>
        <w:rPr>
          <w:rFonts w:ascii="Times New Roman" w:cs="Times New Roman" w:eastAsia="Times New Roman" w:hAnsi="Times New Roman"/>
          <w:sz w:val="22"/>
          <w:szCs w:val="22"/>
          <w:color w:val="auto"/>
        </w:rPr>
        <w: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increased from time to time pursuant to Section 2.25, (ii) reduced from time to time pursuant to Section 2.09 and (iii) reduced or increased from time to time pursuant to assignments by or to such Australian Lender pursuant to Section 9.04. The aggregate amount of the Australian Revolving Commitments as of the Closing Date is U.S.$35,000,000.</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Credit Exposure</w:t>
      </w:r>
      <w:r>
        <w:rPr>
          <w:rFonts w:ascii="Times New Roman" w:cs="Times New Roman" w:eastAsia="Times New Roman" w:hAnsi="Times New Roman"/>
          <w:sz w:val="22"/>
          <w:szCs w:val="22"/>
          <w:color w:val="auto"/>
        </w:rPr>
        <w:t xml:space="preserve">” shall mean, with respect to any Australian Lender at any time, the aggregate principal amount at such time of all outstanding Australian Revolving Credit Loans of such Lender denominated in U.S. dollars,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the U.S. Dollar Equivalent of the aggregate principal amount at such time of all outstanding Australian Revolving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Loans of such Australian Lender denominated in Australian dollars,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amount at such time of such Australian Lender’s Australian Revolving Pro Rata Percentage of the Australian L/C Exposure.</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Credit Facility</w:t>
      </w:r>
      <w:r>
        <w:rPr>
          <w:rFonts w:ascii="Times New Roman" w:cs="Times New Roman" w:eastAsia="Times New Roman" w:hAnsi="Times New Roman"/>
          <w:sz w:val="22"/>
          <w:szCs w:val="22"/>
          <w:color w:val="auto"/>
        </w:rPr>
        <w:t>” shall mean at any time the aggregate amount of the Australian Revolving Commitments of the Australian Lenders at such time.</w:t>
      </w:r>
    </w:p>
    <w:p>
      <w:pPr>
        <w:spacing w:after="0" w:line="1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Credit Loans</w:t>
      </w:r>
      <w:r>
        <w:rPr>
          <w:rFonts w:ascii="Times New Roman" w:cs="Times New Roman" w:eastAsia="Times New Roman" w:hAnsi="Times New Roman"/>
          <w:sz w:val="22"/>
          <w:szCs w:val="22"/>
          <w:color w:val="auto"/>
        </w:rPr>
        <w:t>”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SOFR Loan.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Pro Rata Percentage</w:t>
      </w:r>
      <w:r>
        <w:rPr>
          <w:rFonts w:ascii="Times New Roman" w:cs="Times New Roman" w:eastAsia="Times New Roman" w:hAnsi="Times New Roman"/>
          <w:sz w:val="22"/>
          <w:szCs w:val="22"/>
          <w:color w:val="auto"/>
        </w:rPr>
        <w:t xml:space="preserve">” of any Australian Lender, subject to any adjustment as provided in Section 2.24(c) or 2.25(a), shall mean the percentage of the aggregate Australian Revolving Commitments represented by such Australian Lender’s Australian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Australian Revolving Commitments have terminated, the Australian Revolving Pro Rata Percentages of the Australian Lenders shall be</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determined based upon the Australian Revolving Commitments most recently in effect, giving effect to any assignments.</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Security Deed</w:t>
      </w:r>
      <w:r>
        <w:rPr>
          <w:rFonts w:ascii="Times New Roman" w:cs="Times New Roman" w:eastAsia="Times New Roman" w:hAnsi="Times New Roman"/>
          <w:sz w:val="22"/>
          <w:szCs w:val="22"/>
          <w:color w:val="auto"/>
        </w:rPr>
        <w:t>” shall mean any Australian General Security Deed governed by the laws of New South Wales, Australia, substantially in the form of Exhibit E-1, among the Australian Borrower and the Australian Subsidiary Guarantors, as grantors, and the Australian Collateral Agent for the benefit of the Secured Parties.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Security Documents</w:t>
      </w:r>
      <w:r>
        <w:rPr>
          <w:rFonts w:ascii="Times New Roman" w:cs="Times New Roman" w:eastAsia="Times New Roman" w:hAnsi="Times New Roman"/>
          <w:sz w:val="21"/>
          <w:szCs w:val="21"/>
          <w:color w:val="auto"/>
        </w:rPr>
        <w:t>” shall mean the Australian Security Deed, the Australian Security Trust Deed and each other Security Document to which the Australian Borrower, or any Australian Subsidiary Guarantor is a party and that purports to grant a Lien in the assets of any such person in favor of the Australian Collateral Agent for the benefit of the Secured Parties.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Security Trust Deed</w:t>
      </w:r>
      <w:r>
        <w:rPr>
          <w:rFonts w:ascii="Times New Roman" w:cs="Times New Roman" w:eastAsia="Times New Roman" w:hAnsi="Times New Roman"/>
          <w:sz w:val="21"/>
          <w:szCs w:val="21"/>
          <w:color w:val="auto"/>
        </w:rPr>
        <w:t>” shall mean the security trust deed granted by the Australian Collateral Agent, as security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Subsidiaries</w:t>
      </w:r>
      <w:r>
        <w:rPr>
          <w:rFonts w:ascii="Times New Roman" w:cs="Times New Roman" w:eastAsia="Times New Roman" w:hAnsi="Times New Roman"/>
          <w:sz w:val="22"/>
          <w:szCs w:val="22"/>
          <w:color w:val="auto"/>
        </w:rPr>
        <w:t>” shall mean the Subsidiaries of the Parent Borrower (other than the Australian Borrower) organized under the laws of the Commonwealth of Australia or any state, territory or other political subdivision thereof other than any U.S. Owned Subsidiary.</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Subsidiary Guarantor</w:t>
      </w:r>
      <w:r>
        <w:rPr>
          <w:rFonts w:ascii="Times New Roman" w:cs="Times New Roman" w:eastAsia="Times New Roman" w:hAnsi="Times New Roman"/>
          <w:sz w:val="22"/>
          <w:szCs w:val="22"/>
          <w:color w:val="auto"/>
        </w:rPr>
        <w:t>” shall mean each Australian Subsidiary listed on Schedule 1.01(d), and each other Australian Subsidiary that is or becomes a party to an Australian Guarantee Agreement.</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Tax Act</w:t>
      </w:r>
      <w:r>
        <w:rPr>
          <w:rFonts w:ascii="Times New Roman" w:cs="Times New Roman" w:eastAsia="Times New Roman" w:hAnsi="Times New Roman"/>
          <w:sz w:val="22"/>
          <w:szCs w:val="22"/>
          <w:color w:val="auto"/>
        </w:rPr>
        <w:t>” shall mean the Income Tax Assessment Act 1936 (Cth) (Australia) or the Income Tax Assessment Act 1997 (Cth) (Australia) as applicable.</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Withholding Tax</w:t>
      </w:r>
      <w:r>
        <w:rPr>
          <w:rFonts w:ascii="Times New Roman" w:cs="Times New Roman" w:eastAsia="Times New Roman" w:hAnsi="Times New Roman"/>
          <w:sz w:val="22"/>
          <w:szCs w:val="22"/>
          <w:color w:val="auto"/>
        </w:rPr>
        <w:t xml:space="preserve">” shall mean any Australian Tax required to be withheld or deducted from any interest or other payment under Division 11A of Part III of the Tax Act or Subdivision 12-F of Schedule 1 to the </w:t>
      </w:r>
      <w:r>
        <w:rPr>
          <w:rFonts w:ascii="Times New Roman" w:cs="Times New Roman" w:eastAsia="Times New Roman" w:hAnsi="Times New Roman"/>
          <w:sz w:val="22"/>
          <w:szCs w:val="22"/>
          <w:i w:val="1"/>
          <w:iCs w:val="1"/>
          <w:color w:val="auto"/>
        </w:rPr>
        <w:t>Taxation Administration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1953 (Commonwealth of Australia).</w:t>
      </w:r>
    </w:p>
    <w:p>
      <w:pPr>
        <w:spacing w:after="0" w:line="1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AutoBorrow Agreement</w:t>
      </w:r>
      <w:r>
        <w:rPr>
          <w:rFonts w:ascii="Times New Roman" w:cs="Times New Roman" w:eastAsia="Times New Roman" w:hAnsi="Times New Roman"/>
          <w:sz w:val="22"/>
          <w:szCs w:val="22"/>
          <w:color w:val="auto"/>
        </w:rPr>
        <w:t>” shall mean any agreement providing for automatic borrowing services between a Loan Party and a Swing Line Lender.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“Available Tenor” </w:t>
      </w:r>
      <w:r>
        <w:rPr>
          <w:rFonts w:ascii="Times New Roman" w:cs="Times New Roman" w:eastAsia="Times New Roman" w:hAnsi="Times New Roman"/>
          <w:sz w:val="21"/>
          <w:szCs w:val="21"/>
          <w:color w:val="auto"/>
        </w:rPr>
        <w:t>means, as of any date of determination and with respect to the then-current Benchmark, as applicable,</w:t>
      </w:r>
    </w:p>
    <w:p>
      <w:pPr>
        <w:spacing w:after="0" w:line="43" w:lineRule="exact"/>
        <w:rPr>
          <w:sz w:val="20"/>
          <w:szCs w:val="20"/>
          <w:color w:val="auto"/>
        </w:rPr>
      </w:pPr>
    </w:p>
    <w:p>
      <w:pPr>
        <w:jc w:val="both"/>
        <w:ind w:firstLine="8"/>
        <w:spacing w:after="0" w:line="246" w:lineRule="auto"/>
        <w:tabs>
          <w:tab w:leader="none" w:pos="3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clause (d) of Section 2.26.</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46" w:name="page47"/>
    <w:bookmarkEnd w:id="46"/>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shall mean the exercise of any Write-Down and Conversion Powers by the applicable EEA Resolution Authority in respect of any liability of an EEA Financial Institution.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Legislation</w:t>
      </w:r>
      <w:r>
        <w:rPr>
          <w:rFonts w:ascii="Times New Roman" w:cs="Times New Roman" w:eastAsia="Times New Roman" w:hAnsi="Times New Roman"/>
          <w:sz w:val="22"/>
          <w:szCs w:val="22"/>
          <w:color w:val="auto"/>
        </w:rPr>
        <w:t>” shall mean:</w:t>
      </w:r>
    </w:p>
    <w:p>
      <w:pPr>
        <w:spacing w:after="0" w:line="237" w:lineRule="exact"/>
        <w:rPr>
          <w:sz w:val="20"/>
          <w:szCs w:val="20"/>
          <w:color w:val="auto"/>
        </w:rPr>
      </w:pPr>
    </w:p>
    <w:p>
      <w:pPr>
        <w:jc w:val="both"/>
        <w:ind w:firstLine="656"/>
        <w:spacing w:after="0" w:line="257" w:lineRule="auto"/>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respective Affiliates (other than through liquidation, administration or other insolvency proceedings).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Services</w:t>
      </w:r>
      <w:r>
        <w:rPr>
          <w:rFonts w:ascii="Times New Roman" w:cs="Times New Roman" w:eastAsia="Times New Roman" w:hAnsi="Times New Roman"/>
          <w:sz w:val="22"/>
          <w:szCs w:val="22"/>
          <w:color w:val="auto"/>
        </w:rPr>
        <w:t>” shall mean each and any of the following bank services provided to the Parent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Services Obligations</w:t>
      </w:r>
      <w:r>
        <w:rPr>
          <w:rFonts w:ascii="Times New Roman" w:cs="Times New Roman" w:eastAsia="Times New Roman" w:hAnsi="Times New Roman"/>
          <w:sz w:val="22"/>
          <w:szCs w:val="22"/>
          <w:color w:val="auto"/>
        </w:rPr>
        <w:t>” shall mean any and all obligations of the Parent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w:t>
      </w:r>
      <w:r>
        <w:rPr>
          <w:rFonts w:ascii="Times New Roman" w:cs="Times New Roman" w:eastAsia="Times New Roman" w:hAnsi="Times New Roman"/>
          <w:sz w:val="22"/>
          <w:szCs w:val="22"/>
          <w:u w:val="single" w:color="auto"/>
          <w:color w:val="0000FF"/>
          <w:highlight w:val="lightGray"/>
        </w:rPr>
        <w:t>.</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BBSY Rate</w:t>
      </w:r>
      <w:r>
        <w:rPr>
          <w:rFonts w:ascii="Times New Roman" w:cs="Times New Roman" w:eastAsia="Times New Roman" w:hAnsi="Times New Roman"/>
          <w:sz w:val="22"/>
          <w:szCs w:val="22"/>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 (a) 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Adjusted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Adjusted Term SOFR or the then-current Benchmark, then “Benchmark” means the applicable Benchmark Replacement to the extent that such Benchmark Replacement has replaced such prior benchmark rate pursuant to clause (a) of Section 2.26.</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means with respect to any Benchmark Transition Event, for any Available Tenor, the sum of:</w:t>
      </w:r>
    </w:p>
    <w:p>
      <w:pPr>
        <w:spacing w:after="0" w:line="43" w:lineRule="exact"/>
        <w:rPr>
          <w:sz w:val="20"/>
          <w:szCs w:val="20"/>
          <w:color w:val="auto"/>
        </w:rPr>
      </w:pPr>
    </w:p>
    <w:p>
      <w:pPr>
        <w:jc w:val="both"/>
        <w:ind w:firstLine="8"/>
        <w:spacing w:after="0" w:line="247" w:lineRule="auto"/>
        <w:tabs>
          <w:tab w:leader="none" w:pos="30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in the United States and (b) the related Benchmark Replacement Adjustment.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 Adjustment</w:t>
      </w:r>
      <w:r>
        <w:rPr>
          <w:rFonts w:ascii="Times New Roman" w:cs="Times New Roman" w:eastAsia="Times New Roman" w:hAnsi="Times New Roman"/>
          <w:sz w:val="21"/>
          <w:szCs w:val="21"/>
          <w:color w:val="auto"/>
        </w:rPr>
        <w:t>” means,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the then-current Benchmark:</w:t>
      </w:r>
    </w:p>
    <w:p>
      <w:pPr>
        <w:spacing w:after="0" w:line="141" w:lineRule="exact"/>
        <w:rPr>
          <w:sz w:val="20"/>
          <w:szCs w:val="20"/>
          <w:color w:val="auto"/>
        </w:rPr>
      </w:pPr>
    </w:p>
    <w:p>
      <w:pPr>
        <w:jc w:val="both"/>
        <w:ind w:firstLine="656"/>
        <w:spacing w:after="0" w:line="256" w:lineRule="auto"/>
        <w:tabs>
          <w:tab w:leader="none" w:pos="115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(1) or (2) with respect to any Benchmark upon the occurrence of</w:t>
      </w: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48" w:name="page49"/>
    <w:bookmarkEnd w:id="48"/>
    <w:p>
      <w:pPr>
        <w:spacing w:after="0" w:line="271" w:lineRule="auto"/>
        <w:rPr>
          <w:sz w:val="20"/>
          <w:szCs w:val="20"/>
          <w:color w:val="auto"/>
        </w:rPr>
      </w:pPr>
      <w:r>
        <w:rPr>
          <w:rFonts w:ascii="Times New Roman" w:cs="Times New Roman" w:eastAsia="Times New Roman" w:hAnsi="Times New Roman"/>
          <w:sz w:val="22"/>
          <w:szCs w:val="22"/>
          <w:color w:val="auto"/>
        </w:rPr>
        <w:t>the applicable event or events set forth therein with respect to all then-current Available Tenors of such Benchmark (or the published component used in the calculation thereof).</w:t>
      </w:r>
    </w:p>
    <w:p>
      <w:pPr>
        <w:spacing w:after="0" w:line="154"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41" w:lineRule="exact"/>
        <w:rPr>
          <w:sz w:val="20"/>
          <w:szCs w:val="20"/>
          <w:color w:val="auto"/>
        </w:rPr>
      </w:pPr>
    </w:p>
    <w:p>
      <w:pPr>
        <w:jc w:val="both"/>
        <w:ind w:firstLine="656"/>
        <w:spacing w:after="0" w:line="253" w:lineRule="auto"/>
        <w:tabs>
          <w:tab w:leader="none" w:pos="117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0"/>
          <w:szCs w:val="20"/>
          <w:color w:val="auto"/>
        </w:rPr>
      </w:pPr>
    </w:p>
    <w:p>
      <w:pPr>
        <w:jc w:val="both"/>
        <w:ind w:firstLine="656"/>
        <w:spacing w:after="0" w:line="250" w:lineRule="auto"/>
        <w:tabs>
          <w:tab w:leader="none" w:pos="127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79" w:lineRule="exact"/>
        <w:rPr>
          <w:rFonts w:ascii="Times New Roman" w:cs="Times New Roman" w:eastAsia="Times New Roman" w:hAnsi="Times New Roman"/>
          <w:sz w:val="20"/>
          <w:szCs w:val="20"/>
          <w:color w:val="auto"/>
        </w:rPr>
      </w:pPr>
    </w:p>
    <w:p>
      <w:pPr>
        <w:jc w:val="both"/>
        <w:ind w:firstLine="656"/>
        <w:spacing w:after="0" w:line="263" w:lineRule="auto"/>
        <w:tabs>
          <w:tab w:leader="none" w:pos="127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1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means, with respect to any Benchmark, the period (if any) (x) beginning at the time that a Benchmark Replacement Date has occurred if, at such time, no Benchmark Replacement has replaced the then-current Benchmark for all purposes hereunder</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22"/>
          <w:szCs w:val="22"/>
          <w:color w:val="auto"/>
        </w:rPr>
        <w:t>and under any Loan Document in accordance with Section 2.26 and (y) ending at the time that a Benchmark Replacement has replaced such then-current Benchmark for all purposes hereunder and under any Loan Document in accordance with Section 2.26.</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Benefit Plan</w:t>
      </w:r>
      <w:r>
        <w:rPr>
          <w:rFonts w:ascii="Times New Roman" w:cs="Times New Roman" w:eastAsia="Times New Roman" w:hAnsi="Times New Roman"/>
          <w:sz w:val="22"/>
          <w:szCs w:val="22"/>
          <w:color w:val="auto"/>
        </w:rPr>
        <w:t>” shall mean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BHC Act Affiliate</w:t>
      </w:r>
      <w:r>
        <w:rPr>
          <w:rFonts w:ascii="Times New Roman" w:cs="Times New Roman" w:eastAsia="Times New Roman" w:hAnsi="Times New Roman"/>
          <w:sz w:val="22"/>
          <w:szCs w:val="22"/>
          <w:color w:val="auto"/>
        </w:rPr>
        <w:t>” of a party shall mean an “affiliate” (as such term is defined under, and interpreted in accordance with, 12 U.S.C. 1841(k)) of such party.</w:t>
      </w:r>
    </w:p>
    <w:p>
      <w:pPr>
        <w:spacing w:after="0" w:line="1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Bilateral Agreement</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22"/>
          <w:szCs w:val="22"/>
          <w:u w:val="single" w:color="auto"/>
          <w:color w:val="0000FF"/>
          <w:highlight w:val="lightGray"/>
        </w:rPr>
        <w:t>collectively (i)</w:t>
      </w:r>
      <w:r>
        <w:rPr>
          <w:rFonts w:ascii="Times New Roman" w:cs="Times New Roman" w:eastAsia="Times New Roman" w:hAnsi="Times New Roman"/>
          <w:sz w:val="22"/>
          <w:szCs w:val="22"/>
          <w:color w:val="auto"/>
        </w:rPr>
        <w:t xml:space="preserve"> that AUD$1,000,000 Guarantee Line provided by the Bilateral Lender to the Australian Borrower pursuant to the Facility Letter, dated as of August 20, 2020 (the “</w:t>
      </w:r>
      <w:r>
        <w:rPr>
          <w:rFonts w:ascii="Times New Roman" w:cs="Times New Roman" w:eastAsia="Times New Roman" w:hAnsi="Times New Roman"/>
          <w:sz w:val="22"/>
          <w:szCs w:val="22"/>
          <w:i w:val="1"/>
          <w:iCs w:val="1"/>
          <w:color w:val="auto"/>
        </w:rPr>
        <w:t>Facility Letter</w:t>
      </w:r>
      <w:r>
        <w:rPr>
          <w:rFonts w:ascii="Times New Roman" w:cs="Times New Roman" w:eastAsia="Times New Roman" w:hAnsi="Times New Roman"/>
          <w:sz w:val="22"/>
          <w:szCs w:val="22"/>
          <w:color w:val="auto"/>
        </w:rPr>
        <w:t>”) by and among the Australian Borrower, the Bilateral Lender and The Hongkong and Shanghai Banking Corporation ABN 65 117 925 970, as amended or supplemented from time to time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and (ii) that AUD$700,000 corporate card limit provided by the Bilateral Lender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the Australian Borrower pursuant to that certain Variation Letter dated as of July 19, 2024, by and among Australian Borrower, the Bilateral Lender and The Hongkong and Shanghai Banking Corporation ABN 65 117 925 970, as amended or supplemented from time to time.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Bilateral Obligations</w:t>
      </w:r>
      <w:r>
        <w:rPr>
          <w:rFonts w:ascii="Times New Roman" w:cs="Times New Roman" w:eastAsia="Times New Roman" w:hAnsi="Times New Roman"/>
          <w:sz w:val="22"/>
          <w:szCs w:val="22"/>
          <w:color w:val="auto"/>
        </w:rPr>
        <w:t>” shall mean all the liabilities of the Australian Borrower to the Bilateral Lender under or by reason of the Bilateral 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Australian Bank Guarantee Obligations under this Agreement or any other Loan Document shall not exceed AUD$1,000,000.</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Bilateral Lender</w:t>
      </w:r>
      <w:r>
        <w:rPr>
          <w:rFonts w:ascii="Times New Roman" w:cs="Times New Roman" w:eastAsia="Times New Roman" w:hAnsi="Times New Roman"/>
          <w:sz w:val="22"/>
          <w:szCs w:val="22"/>
          <w:color w:val="auto"/>
        </w:rPr>
        <w:t>” shall mean HSBC Bank Australia Limited ABN 48 006 434 162 in its capacity as lender under the Bilateral Agreement or any other Lender that succeeds HSBC Bank Australia Limited ABN 48 006 434 162 as a party to the Bilateral Agreement.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shall mean the Board of Governors of the Federal Reserve System of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Materials</w:t>
      </w:r>
      <w:r>
        <w:rPr>
          <w:rFonts w:ascii="Times New Roman" w:cs="Times New Roman" w:eastAsia="Times New Roman" w:hAnsi="Times New Roman"/>
          <w:sz w:val="22"/>
          <w:szCs w:val="22"/>
          <w:color w:val="auto"/>
        </w:rPr>
        <w:t>” shall have the meaning assigned to such term in Section 5.04.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Borrowers</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xml:space="preserve">” shall mean a Canadian Revolving </w:t>
      </w:r>
      <w:r>
        <w:rPr>
          <w:rFonts w:ascii="Times New Roman" w:cs="Times New Roman" w:eastAsia="Times New Roman" w:hAnsi="Times New Roman"/>
          <w:sz w:val="22"/>
          <w:szCs w:val="22"/>
          <w:color w:val="FF0000"/>
          <w:strike w:val="1"/>
        </w:rPr>
        <w:t>Borrowing, a Canadian Term</w:t>
      </w:r>
      <w:r>
        <w:rPr>
          <w:rFonts w:ascii="Times New Roman" w:cs="Times New Roman" w:eastAsia="Times New Roman" w:hAnsi="Times New Roman"/>
          <w:sz w:val="22"/>
          <w:szCs w:val="22"/>
          <w:color w:val="auto"/>
        </w:rPr>
        <w:t xml:space="preserve"> Borrowing, an Australian Revolving Borrowing, a U.S. Revolving Borrowing or a Swing Line Borrowing.</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50" w:name="page51"/>
    <w:bookmarkEnd w:id="50"/>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Request</w:t>
      </w:r>
      <w:r>
        <w:rPr>
          <w:rFonts w:ascii="Times New Roman" w:cs="Times New Roman" w:eastAsia="Times New Roman" w:hAnsi="Times New Roman"/>
          <w:sz w:val="22"/>
          <w:szCs w:val="22"/>
          <w:color w:val="auto"/>
        </w:rPr>
        <w:t>” shall mean a request by a Borrower in accordance with the terms of Section 2.03 and substantially in the form of Exhibit B-1, B-2, B-3 or B-4, as applicable, or such other form as shall be reasonably approved by the Applicable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Breakage Event</w:t>
      </w:r>
      <w:r>
        <w:rPr>
          <w:rFonts w:ascii="Times New Roman" w:cs="Times New Roman" w:eastAsia="Times New Roman" w:hAnsi="Times New Roman"/>
          <w:sz w:val="22"/>
          <w:szCs w:val="22"/>
          <w:color w:val="auto"/>
        </w:rPr>
        <w:t>” shall have the meaning assigned to such term in Section 2.15.</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xml:space="preserve">” shall mean (a) when used in connection with a Loan, Letter of Credit or payment denominated in U.S. dollars, any day other than a Saturday or a Sunday or a legal holiday on which commercial banks are authorized or required by law to be closed for business in New York,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 used in connection with a SOFR Loan, or any other calculation or determination involving SOFR, the term “Business Day” means any day that is only a U.S. Government Securities Business Day, (b) when used in connection with </w:t>
      </w:r>
      <w:r>
        <w:rPr>
          <w:rFonts w:ascii="Times New Roman" w:cs="Times New Roman" w:eastAsia="Times New Roman" w:hAnsi="Times New Roman"/>
          <w:sz w:val="22"/>
          <w:szCs w:val="22"/>
          <w:color w:val="FF0000"/>
          <w:strike w:val="1"/>
        </w:rPr>
        <w:t>the Canadian Term Loan,</w:t>
      </w:r>
      <w:r>
        <w:rPr>
          <w:rFonts w:ascii="Times New Roman" w:cs="Times New Roman" w:eastAsia="Times New Roman" w:hAnsi="Times New Roman"/>
          <w:sz w:val="22"/>
          <w:szCs w:val="22"/>
          <w:color w:val="auto"/>
        </w:rPr>
        <w:t xml:space="preserve"> a Canadian Revolving Credit Loan, a Canadian Letter of Credit or a payment under </w:t>
      </w:r>
      <w:r>
        <w:rPr>
          <w:rFonts w:ascii="Times New Roman" w:cs="Times New Roman" w:eastAsia="Times New Roman" w:hAnsi="Times New Roman"/>
          <w:sz w:val="22"/>
          <w:szCs w:val="22"/>
          <w:color w:val="FF0000"/>
          <w:strike w:val="1"/>
        </w:rPr>
        <w:t>the Canadian Term Loan Facility or</w:t>
      </w:r>
      <w:r>
        <w:rPr>
          <w:rFonts w:ascii="Times New Roman" w:cs="Times New Roman" w:eastAsia="Times New Roman" w:hAnsi="Times New Roman"/>
          <w:sz w:val="22"/>
          <w:szCs w:val="22"/>
          <w:color w:val="auto"/>
        </w:rPr>
        <w:t xml:space="preserve"> the Canadian Revolving Credit Facility, a day on which banks are open for over-the-counter business in Toronto, Ontario and Calgary, Alberta, and excludes Saturday, Sunday and any other day which is a statutory holiday in Toronto, Ontario or Calgary, Alberta, provided that, when used in connection with SOFR Loans or any other calculation or determination involving SOFR, the term “Business Day” means any day that is only a U.S. Government Securities Business Day,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Alternative Currency and on which the relevant office of the Applicable Issuing Bank is not authorized or required by law to close.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Administrative Agent</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Applicable Pro Rata Percentage</w:t>
      </w:r>
      <w:r>
        <w:rPr>
          <w:rFonts w:ascii="Times New Roman" w:cs="Times New Roman" w:eastAsia="Times New Roman" w:hAnsi="Times New Roman"/>
          <w:sz w:val="22"/>
          <w:szCs w:val="22"/>
          <w:color w:val="FF0000"/>
          <w:strike w:val="1"/>
        </w:rPr>
        <w:t>” shall mean with respect to any Canadian Revolving Lender or Canadian Term Lender, the Canadian Revolving Pro Rata Percentage or the Canadian Term Loan Pro Rata Percentage, respectively.</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Benefit Plans</w:t>
      </w:r>
      <w:r>
        <w:rPr>
          <w:rFonts w:ascii="Times New Roman" w:cs="Times New Roman" w:eastAsia="Times New Roman" w:hAnsi="Times New Roman"/>
          <w:sz w:val="22"/>
          <w:szCs w:val="22"/>
          <w:color w:val="auto"/>
        </w:rPr>
        <w:t>” shall mean all employee benefit plans of any nature or kind whatsoever that are not Canadian Pension Plans or Defined Benefit Plans and are maintained or contributed to by the Parent Borrower or any of the Canadian Subsidiaries, in each case covering employees in Canada.</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Collateral</w:t>
      </w:r>
      <w:r>
        <w:rPr>
          <w:rFonts w:ascii="Times New Roman" w:cs="Times New Roman" w:eastAsia="Times New Roman" w:hAnsi="Times New Roman"/>
          <w:sz w:val="22"/>
          <w:szCs w:val="22"/>
          <w:color w:val="auto"/>
        </w:rPr>
        <w:t>” shall mean all “Collateral” as defined in any Canadian Security Document.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Collateral Agent</w:t>
      </w:r>
      <w:r>
        <w:rPr>
          <w:rFonts w:ascii="Times New Roman" w:cs="Times New Roman" w:eastAsia="Times New Roman" w:hAnsi="Times New Roman"/>
          <w:sz w:val="22"/>
          <w:szCs w:val="22"/>
          <w:color w:val="auto"/>
        </w:rPr>
        <w:t>” shall have the meaning assigned to such term in the preamble hereto.</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Commitment Fees</w:t>
      </w:r>
      <w:r>
        <w:rPr>
          <w:rFonts w:ascii="Times New Roman" w:cs="Times New Roman" w:eastAsia="Times New Roman" w:hAnsi="Times New Roman"/>
          <w:sz w:val="22"/>
          <w:szCs w:val="22"/>
          <w:color w:val="auto"/>
        </w:rPr>
        <w:t>” shall have the meaning assigned to such term in Section 2.05(a)(ii).</w:t>
      </w:r>
    </w:p>
    <w:p>
      <w:pPr>
        <w:spacing w:after="0" w:line="22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Dollar Equivalent</w:t>
      </w:r>
      <w:r>
        <w:rPr>
          <w:rFonts w:ascii="Times New Roman" w:cs="Times New Roman" w:eastAsia="Times New Roman" w:hAnsi="Times New Roman"/>
          <w:sz w:val="21"/>
          <w:szCs w:val="21"/>
          <w:color w:val="auto"/>
        </w:rPr>
        <w:t>” shall mean, on any date of determination, with respect to any amount in U.S. dollars, the equivalent in Canadian dollars of such amount, determined by the Administrative Agent using the Exchange Rate, then in effect.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w:t>
      </w:r>
      <w:r>
        <w:rPr>
          <w:rFonts w:ascii="Times New Roman" w:cs="Times New Roman" w:eastAsia="Times New Roman" w:hAnsi="Times New Roman"/>
          <w:sz w:val="22"/>
          <w:szCs w:val="22"/>
          <w:color w:val="auto"/>
        </w:rPr>
        <w:t>” shall mean lawful currency of Canada.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Facility</w:t>
      </w:r>
      <w:r>
        <w:rPr>
          <w:rFonts w:ascii="Times New Roman" w:cs="Times New Roman" w:eastAsia="Times New Roman" w:hAnsi="Times New Roman"/>
          <w:sz w:val="22"/>
          <w:szCs w:val="22"/>
          <w:color w:val="FF0000"/>
          <w:strike w:val="1"/>
        </w:rPr>
        <w:t>” shall mean either the Canadian Term Loan Facility or the Canadian Revolving Credit Facility.</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Guarantee Agreement</w:t>
      </w:r>
      <w:r>
        <w:rPr>
          <w:rFonts w:ascii="Times New Roman" w:cs="Times New Roman" w:eastAsia="Times New Roman" w:hAnsi="Times New Roman"/>
          <w:sz w:val="22"/>
          <w:szCs w:val="22"/>
          <w:color w:val="auto"/>
        </w:rPr>
        <w:t>” shall mean the Canadian Guarantee Agreement, substantially in the form of Exhibit C-2, by the Parent Borrower and the Canadian Subsidiary Guarantors in favor of the Canadian Collateral Agent, for the benefit of the Secured Parties.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L/C Exposure</w:t>
      </w:r>
      <w:r>
        <w:rPr>
          <w:rFonts w:ascii="Times New Roman" w:cs="Times New Roman" w:eastAsia="Times New Roman" w:hAnsi="Times New Roman"/>
          <w:sz w:val="22"/>
          <w:szCs w:val="22"/>
          <w:color w:val="auto"/>
        </w:rPr>
        <w:t>”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Revolving Lender at any time shall mean its Canadian Revolving Pro Rata Percentage of the aggregate Canadian L/C Exposure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L/C Participation Fee</w:t>
      </w:r>
      <w:r>
        <w:rPr>
          <w:rFonts w:ascii="Times New Roman" w:cs="Times New Roman" w:eastAsia="Times New Roman" w:hAnsi="Times New Roman"/>
          <w:sz w:val="22"/>
          <w:szCs w:val="22"/>
          <w:color w:val="auto"/>
        </w:rPr>
        <w:t>” shall have the meaning assigned to such term in Section 2.05(c).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Lenders</w:t>
      </w:r>
      <w:r>
        <w:rPr>
          <w:rFonts w:ascii="Times New Roman" w:cs="Times New Roman" w:eastAsia="Times New Roman" w:hAnsi="Times New Roman"/>
          <w:sz w:val="22"/>
          <w:szCs w:val="22"/>
          <w:color w:val="FF0000"/>
          <w:strike w:val="1"/>
        </w:rPr>
        <w:t>” shall mean Canadian Revolving Lenders and Canadian Term Lenders, as applicable.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Loan</w:t>
      </w:r>
      <w:r>
        <w:rPr>
          <w:rFonts w:ascii="Times New Roman" w:cs="Times New Roman" w:eastAsia="Times New Roman" w:hAnsi="Times New Roman"/>
          <w:sz w:val="22"/>
          <w:szCs w:val="22"/>
          <w:color w:val="FF0000"/>
          <w:strike w:val="1"/>
        </w:rPr>
        <w:t>” shall mean a Canadian Revolving Credit Loan or a Canadian Term Loan.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Loan Parties</w:t>
      </w:r>
      <w:r>
        <w:rPr>
          <w:rFonts w:ascii="Times New Roman" w:cs="Times New Roman" w:eastAsia="Times New Roman" w:hAnsi="Times New Roman"/>
          <w:sz w:val="22"/>
          <w:szCs w:val="22"/>
          <w:color w:val="auto"/>
        </w:rPr>
        <w:t>” shall mean the Parent Borrower and the Canadian Subsidiary Guarantors.</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Pension Plans</w:t>
      </w:r>
      <w:r>
        <w:rPr>
          <w:rFonts w:ascii="Times New Roman" w:cs="Times New Roman" w:eastAsia="Times New Roman" w:hAnsi="Times New Roman"/>
          <w:sz w:val="21"/>
          <w:szCs w:val="21"/>
          <w:color w:val="auto"/>
        </w:rPr>
        <w:t>” shall mean each plan that is considered to be a pension plan for the purposes of any applicable pension benefits standards statute and/or regulation in Canada established, maintained or contributed to by the Parent Borrower or any of the Canadian Subsidiaries for its employees or former employees, but excluding the Defined Benefit Plans.</w:t>
      </w:r>
    </w:p>
    <w:p>
      <w:pPr>
        <w:spacing w:after="0" w:line="1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Pledge Agreement</w:t>
      </w:r>
      <w:r>
        <w:rPr>
          <w:rFonts w:ascii="Times New Roman" w:cs="Times New Roman" w:eastAsia="Times New Roman" w:hAnsi="Times New Roman"/>
          <w:sz w:val="22"/>
          <w:szCs w:val="22"/>
          <w:color w:val="auto"/>
        </w:rPr>
        <w:t>” shall mean the Canadian Pledge Agreement, substantially in the form of Exhibit D-1, among the Parent Borrower and each Canadian Subsidiary of the Parent Borrower party thereto, as pledgors, and the Canadian Collateral Agent, for the benefit of the Secured Parties.</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Prime Rate</w:t>
      </w:r>
      <w:r>
        <w:rPr>
          <w:rFonts w:ascii="Times New Roman" w:cs="Times New Roman" w:eastAsia="Times New Roman" w:hAnsi="Times New Roman"/>
          <w:sz w:val="22"/>
          <w:szCs w:val="22"/>
          <w:color w:val="auto"/>
        </w:rPr>
        <w:t>” shall mean, with respect to a Canadian Prime Rate Loan, on any day the greater of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the annual rate of interest announced from time to time by the Canadian</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52" w:name="page53"/>
    <w:bookmarkEnd w:id="52"/>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Administrative Agent as being its reference rate then in effect on such day for determining interest rates on Canadian </w:t>
      </w:r>
      <w:r>
        <w:rPr>
          <w:rFonts w:ascii="Times New Roman" w:cs="Times New Roman" w:eastAsia="Times New Roman" w:hAnsi="Times New Roman"/>
          <w:sz w:val="22"/>
          <w:szCs w:val="22"/>
          <w:color w:val="FF0000"/>
          <w:strike w:val="1"/>
        </w:rPr>
        <w:t>Dollar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dollar-</w:t>
      </w:r>
      <w:r>
        <w:rPr>
          <w:rFonts w:ascii="Times New Roman" w:cs="Times New Roman" w:eastAsia="Times New Roman" w:hAnsi="Times New Roman"/>
          <w:sz w:val="22"/>
          <w:szCs w:val="22"/>
          <w:color w:val="000000"/>
        </w:rPr>
        <w:t>denominated commercial loans made by it in Canada and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highlight w:val="lightGray"/>
        </w:rPr>
        <w:t>b</w:t>
      </w:r>
      <w:r>
        <w:rPr>
          <w:rFonts w:ascii="Times New Roman" w:cs="Times New Roman" w:eastAsia="Times New Roman" w:hAnsi="Times New Roman"/>
          <w:sz w:val="22"/>
          <w:szCs w:val="22"/>
          <w:color w:val="000000"/>
        </w:rPr>
        <w:t>) Adjusted Term CORRA for an interest period of one month</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in effect from time to time plus 100 basis points per annum; provided that in no event shall the Canadian Prime Rate be less than zero for the purposes of this Agreement. The Canadian Prime Rate is a reference rate and does not necessarily represent the lowest or best rate actually charged to any customer. Any change in the Canadian Prime Rate determined by the Canadian Administrative Agent shall be effective on the date the change becomes effective generally.</w:t>
      </w:r>
    </w:p>
    <w:p>
      <w:pPr>
        <w:spacing w:after="0" w:line="17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Revolving Borrowing</w:t>
      </w:r>
      <w:r>
        <w:rPr>
          <w:rFonts w:ascii="Times New Roman" w:cs="Times New Roman" w:eastAsia="Times New Roman" w:hAnsi="Times New Roman"/>
          <w:sz w:val="21"/>
          <w:szCs w:val="21"/>
          <w:color w:val="auto"/>
        </w:rPr>
        <w:t>” shall mean a group of Canadian Revolving Credit Loans of a single Type made, converted or continued by the Canadian Revolving Lenders on a single date and, in the case of a SOFR Borrowing, as to which a single Interest Period is in effect and, in the case of a Term CORRA Borrowing, as to which a single Interest Period is in effect.</w:t>
      </w:r>
    </w:p>
    <w:p>
      <w:pPr>
        <w:spacing w:after="0" w:line="14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Commitment</w:t>
      </w:r>
      <w:r>
        <w:rPr>
          <w:rFonts w:ascii="Times New Roman" w:cs="Times New Roman" w:eastAsia="Times New Roman" w:hAnsi="Times New Roman"/>
          <w:sz w:val="22"/>
          <w:szCs w:val="22"/>
          <w:color w:val="auto"/>
        </w:rPr>
        <w:t xml:space="preserve">” shall mean, with respect to each Canadian Revolving Lender, the commitment of such Canadian Revolving Lender to (a) make Canadian Revolving Credit Loans hereunder, (b) purchase participations in the Canadian L/C Exposure and (c) purchase participations in Canadian Swing Line Loans, in an aggregate principal amount not to exceed the amount set forth opposite such Lender’s name on Schedule 2.01 under the caption “Canadian Revolving Commitment”, or in the Assignment and Acceptance or Lender Joinder Agreement pursuant to which such Canadian Revolving Lender assumed its Canadian Revolving Commitment, as applicable, as the same may be (i) increased from time to time pursuant to Section 2.25, (ii) reduced from time to time pursuant to Section 2.09 and (iii) reduced or increased from time to time pursuant to assignments by or to such Canadian Revolving Lender pursuant to Section 9.04. The aggregate amount of the Canadian Revolving Commitments as of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highlight w:val="lightGray"/>
        </w:rPr>
        <w:t>Third Amendment Effective</w:t>
      </w:r>
      <w:r>
        <w:rPr>
          <w:rFonts w:ascii="Times New Roman" w:cs="Times New Roman" w:eastAsia="Times New Roman" w:hAnsi="Times New Roman"/>
          <w:sz w:val="22"/>
          <w:szCs w:val="22"/>
          <w:color w:val="auto"/>
        </w:rPr>
        <w:t xml:space="preserve"> Date is U.S.$</w:t>
      </w:r>
      <w:r>
        <w:rPr>
          <w:rFonts w:ascii="Times New Roman" w:cs="Times New Roman" w:eastAsia="Times New Roman" w:hAnsi="Times New Roman"/>
          <w:sz w:val="22"/>
          <w:szCs w:val="22"/>
          <w:color w:val="FF0000"/>
          <w:strike w:val="1"/>
        </w:rPr>
        <w:t>155,000,000</w:t>
      </w:r>
      <w:r>
        <w:rPr>
          <w:rFonts w:ascii="Times New Roman" w:cs="Times New Roman" w:eastAsia="Times New Roman" w:hAnsi="Times New Roman"/>
          <w:sz w:val="22"/>
          <w:szCs w:val="22"/>
          <w:u w:val="single" w:color="auto"/>
          <w:color w:val="0000FF"/>
          <w:highlight w:val="lightGray"/>
        </w:rPr>
        <w:t>200,000,000</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Credit Exposure</w:t>
      </w:r>
      <w:r>
        <w:rPr>
          <w:rFonts w:ascii="Times New Roman" w:cs="Times New Roman" w:eastAsia="Times New Roman" w:hAnsi="Times New Roman"/>
          <w:sz w:val="22"/>
          <w:szCs w:val="22"/>
          <w:color w:val="auto"/>
        </w:rPr>
        <w:t xml:space="preserve">” shall mean, with respect to any Canadian Revolving Lender at any time, the aggregate principal amount at such time of all outstanding Canadian Revolving Credit Loans of such Lender denominated in U.S. dollars,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principal amount at such time of all outstanding Canadian Revolving Credit Loans of such Canadian Revolving Lender denominated in Canadian dollars,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amount at such time of such Canadian Revolving Lender’s Canadian Revolving Pro Rata Percentage of the Canadian L/C Exposure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such Canadian Revolving Lender’s Canadian Revolving Pro Rata Percentage of the outstanding amount of all Canadian Swing Line Loans.</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Credit Facility</w:t>
      </w:r>
      <w:r>
        <w:rPr>
          <w:rFonts w:ascii="Times New Roman" w:cs="Times New Roman" w:eastAsia="Times New Roman" w:hAnsi="Times New Roman"/>
          <w:sz w:val="22"/>
          <w:szCs w:val="22"/>
          <w:color w:val="auto"/>
        </w:rPr>
        <w:t>” shall mean at any time the aggregate amount of the Canadian Revolving Commitments of the Canadian Revolving Lenders at such time.</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Credit Loans</w:t>
      </w:r>
      <w:r>
        <w:rPr>
          <w:rFonts w:ascii="Times New Roman" w:cs="Times New Roman" w:eastAsia="Times New Roman" w:hAnsi="Times New Roman"/>
          <w:sz w:val="22"/>
          <w:szCs w:val="22"/>
          <w:color w:val="auto"/>
        </w:rPr>
        <w:t xml:space="preserve">” shall mean (a) the Canadian dollar-denominated Revolving Credit Loans made by the Canadian Revolving Lenders to the Parent Borrower hereunder and (b) the U.S. dollar-denominated Revolving Credit Loans made by the Canadian Revolving Lenders to the Parent Borrower </w:t>
      </w:r>
      <w:r>
        <w:rPr>
          <w:rFonts w:ascii="Times New Roman" w:cs="Times New Roman" w:eastAsia="Times New Roman" w:hAnsi="Times New Roman"/>
          <w:sz w:val="22"/>
          <w:szCs w:val="22"/>
          <w:color w:val="0000FF"/>
        </w:rPr>
        <w:t>or a U.S. Borrower</w:t>
      </w:r>
      <w:r>
        <w:rPr>
          <w:rFonts w:ascii="Times New Roman" w:cs="Times New Roman" w:eastAsia="Times New Roman" w:hAnsi="Times New Roman"/>
          <w:sz w:val="22"/>
          <w:szCs w:val="22"/>
          <w:color w:val="auto"/>
        </w:rPr>
        <w:t>. Each Canadian Revolving Credit Loan denominated in Canadian dollars shall be a Canadian Prime Rate Loan or a Term 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-344170</wp:posOffset>
            </wp:positionV>
            <wp:extent cx="114173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41730" cy="14541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Loan. Each Canadian Revolving Credit Loan denominated in U.S. dollars and made to the Parent Borrower </w:t>
      </w:r>
      <w:r>
        <w:rPr>
          <w:rFonts w:ascii="Times New Roman" w:cs="Times New Roman" w:eastAsia="Times New Roman" w:hAnsi="Times New Roman"/>
          <w:sz w:val="22"/>
          <w:szCs w:val="22"/>
          <w:u w:val="single" w:color="auto"/>
          <w:color w:val="0000FF"/>
          <w:highlight w:val="lightGray"/>
        </w:rPr>
        <w:t>or a U.S. Borrower</w:t>
      </w:r>
      <w:r>
        <w:rPr>
          <w:rFonts w:ascii="Times New Roman" w:cs="Times New Roman" w:eastAsia="Times New Roman" w:hAnsi="Times New Roman"/>
          <w:sz w:val="22"/>
          <w:szCs w:val="22"/>
          <w:color w:val="auto"/>
        </w:rPr>
        <w:t xml:space="preserve"> shall be a SOFR Loan or a U.S. Base Rate Loan.</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Lenders</w:t>
      </w:r>
      <w:r>
        <w:rPr>
          <w:rFonts w:ascii="Times New Roman" w:cs="Times New Roman" w:eastAsia="Times New Roman" w:hAnsi="Times New Roman"/>
          <w:sz w:val="22"/>
          <w:szCs w:val="22"/>
          <w:color w:val="auto"/>
        </w:rPr>
        <w:t>” shall mean Lenders having Canadian Revolving Commitments, outstanding Canadian Revolving Credit Loans, or participations in Canadian Letters of Credit pursuant to Section 2.21(d) or in Canadian Swing Line Loans pursuant to Section 2.23.</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Pro Rata Percentage</w:t>
      </w:r>
      <w:r>
        <w:rPr>
          <w:rFonts w:ascii="Times New Roman" w:cs="Times New Roman" w:eastAsia="Times New Roman" w:hAnsi="Times New Roman"/>
          <w:sz w:val="22"/>
          <w:szCs w:val="22"/>
          <w:color w:val="auto"/>
        </w:rPr>
        <w:t xml:space="preserve">” of any Canadian Revolving Lender, subject to any adjustment as provided in Section 2.24(c) or 2.25(a), shall mean the percentage of the aggregate Canadian Revolving Commitments represented by such Canadian Revolving Lender’s Canadian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Canadian Revolving Commitments have terminated, the Canadian Revolving Pro Rata Percentages of the Canadian Revolving Lenders shall be determined based upon the Canadian Revolving Commitments most recently in effect, giving effect to any assignments</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Security Agreement</w:t>
      </w:r>
      <w:r>
        <w:rPr>
          <w:rFonts w:ascii="Times New Roman" w:cs="Times New Roman" w:eastAsia="Times New Roman" w:hAnsi="Times New Roman"/>
          <w:sz w:val="22"/>
          <w:szCs w:val="22"/>
          <w:color w:val="auto"/>
        </w:rPr>
        <w:t>” shall mean the Canadian Security Agreement, substantially in the form of Exhibit E-2, among each Canadian Subsidiary of the Parent Borrower party thereto, as grantors, and the Canadian Collateral Agent, for the benefit of the Secured Parties.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Security Documents</w:t>
      </w:r>
      <w:r>
        <w:rPr>
          <w:rFonts w:ascii="Times New Roman" w:cs="Times New Roman" w:eastAsia="Times New Roman" w:hAnsi="Times New Roman"/>
          <w:sz w:val="22"/>
          <w:szCs w:val="22"/>
          <w:color w:val="auto"/>
        </w:rPr>
        <w:t>” shall mean the Canadian Security Agreement, the Canadian Pledge Agreement, and each other Security Document to which the Parent Borrower, any Canadian Subsidiary Guarantor or any other Subsidiary of the Parent Borrower is a party and that purports to grant a Lien in the assets of any such person in favor of the Canadian Collateral Agent for the benefit of the Secured Parties.</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Subsidiaries</w:t>
      </w:r>
      <w:r>
        <w:rPr>
          <w:rFonts w:ascii="Times New Roman" w:cs="Times New Roman" w:eastAsia="Times New Roman" w:hAnsi="Times New Roman"/>
          <w:sz w:val="22"/>
          <w:szCs w:val="22"/>
          <w:color w:val="auto"/>
        </w:rPr>
        <w:t>” shall mean the Subsidiaries organized under the laws of Canada or any province, territory or other political subdivision thereof, other than any U.S. Owned Subsidiary.</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Subsidiary Guarantor</w:t>
      </w:r>
      <w:r>
        <w:rPr>
          <w:rFonts w:ascii="Times New Roman" w:cs="Times New Roman" w:eastAsia="Times New Roman" w:hAnsi="Times New Roman"/>
          <w:sz w:val="22"/>
          <w:szCs w:val="22"/>
          <w:color w:val="auto"/>
        </w:rPr>
        <w:t>” shall mean each Canadian Subsidiary listed on Schedule 1.01(c), and each other Canadian Subsidiary that is or becomes a party to the Canadian Guarantee Agreement.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Borrowing</w:t>
      </w:r>
      <w:r>
        <w:rPr>
          <w:rFonts w:ascii="Times New Roman" w:cs="Times New Roman" w:eastAsia="Times New Roman" w:hAnsi="Times New Roman"/>
          <w:sz w:val="22"/>
          <w:szCs w:val="22"/>
          <w:color w:val="auto"/>
        </w:rPr>
        <w:t>” shall mean a borrowing of a Canadian Swing Line Loan pursuant to Section 2.23(a) (ii) or, if an AutoBorrow Agreement is in effect, any transfer of funds pursuant to such AutoBorrow Agreement.</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Lender</w:t>
      </w:r>
      <w:r>
        <w:rPr>
          <w:rFonts w:ascii="Times New Roman" w:cs="Times New Roman" w:eastAsia="Times New Roman" w:hAnsi="Times New Roman"/>
          <w:sz w:val="22"/>
          <w:szCs w:val="22"/>
          <w:color w:val="auto"/>
        </w:rPr>
        <w:t>” shall mean RBC in its capacity as provider of Canadian Swing Line Loans, or any successor swing line lender hereunder.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Loan</w:t>
      </w:r>
      <w:r>
        <w:rPr>
          <w:rFonts w:ascii="Times New Roman" w:cs="Times New Roman" w:eastAsia="Times New Roman" w:hAnsi="Times New Roman"/>
          <w:sz w:val="22"/>
          <w:szCs w:val="22"/>
          <w:color w:val="auto"/>
        </w:rPr>
        <w:t>” shall have the meaning assigned to such term in Section 2.23(a)(ii).</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54" w:name="page55"/>
    <w:bookmarkEnd w:id="54"/>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Sublimit</w:t>
      </w:r>
      <w:r>
        <w:rPr>
          <w:rFonts w:ascii="Times New Roman" w:cs="Times New Roman" w:eastAsia="Times New Roman" w:hAnsi="Times New Roman"/>
          <w:sz w:val="22"/>
          <w:szCs w:val="22"/>
          <w:color w:val="auto"/>
        </w:rPr>
        <w:t>” shall mean U.S.$25,000,000. The Canadian Swing Line Sublimit is part of, and not in addition to, the Canadian Revolving Commitments.</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Term Borrowing</w:t>
      </w:r>
      <w:r>
        <w:rPr>
          <w:rFonts w:ascii="Times New Roman" w:cs="Times New Roman" w:eastAsia="Times New Roman" w:hAnsi="Times New Roman"/>
          <w:sz w:val="22"/>
          <w:szCs w:val="22"/>
          <w:color w:val="FF0000"/>
          <w:strike w:val="1"/>
        </w:rPr>
        <w:t>” shall mean a group of Canadian Term Loans of a single Type made, converted or continued by the Canadian Term Lenders on a single date and, in the case of a Term CORRA Borrowing, as to which a single Interest Period is in effect.</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Term Commitment</w:t>
      </w:r>
      <w:r>
        <w:rPr>
          <w:rFonts w:ascii="Times New Roman" w:cs="Times New Roman" w:eastAsia="Times New Roman" w:hAnsi="Times New Roman"/>
          <w:sz w:val="22"/>
          <w:szCs w:val="22"/>
          <w:color w:val="FF0000"/>
          <w:strike w:val="1"/>
        </w:rPr>
        <w:t>” shall mean, with respect to each Canadian Term Lender, the commitment of such Canadian Term Lender to make a single Canadian Term Loan to the Parent Borrower on the Closing Date in an aggregate principal amount not to exceed the Canadian dollar amount set forth opposite such Lender’s name on Schedule 2.01. The aggregate amount of the Canadian Term Commitments as of the Closing Date is C$100,000,000.</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Canadian Term Lender</w:t>
      </w:r>
      <w:r>
        <w:rPr>
          <w:rFonts w:ascii="Times New Roman" w:cs="Times New Roman" w:eastAsia="Times New Roman" w:hAnsi="Times New Roman"/>
          <w:sz w:val="21"/>
          <w:szCs w:val="21"/>
          <w:color w:val="FF0000"/>
          <w:strike w:val="1"/>
        </w:rPr>
        <w:t>” shall mean any Lender that has a Canadian Term Commitment or holds a Canadian Term Loan.</w:t>
      </w:r>
    </w:p>
    <w:p>
      <w:pPr>
        <w:spacing w:after="0" w:line="23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Term Loan</w:t>
      </w:r>
      <w:r>
        <w:rPr>
          <w:rFonts w:ascii="Times New Roman" w:cs="Times New Roman" w:eastAsia="Times New Roman" w:hAnsi="Times New Roman"/>
          <w:sz w:val="22"/>
          <w:szCs w:val="22"/>
          <w:color w:val="FF0000"/>
          <w:strike w:val="1"/>
        </w:rPr>
        <w:t>” shall mean the Canadian dollar-denominated term loans made by the Canadian Term Lenders to the Parent Borrower.</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Canadian Term Loan Facility</w:t>
      </w:r>
      <w:r>
        <w:rPr>
          <w:rFonts w:ascii="Times New Roman" w:cs="Times New Roman" w:eastAsia="Times New Roman" w:hAnsi="Times New Roman"/>
          <w:sz w:val="22"/>
          <w:szCs w:val="22"/>
          <w:color w:val="FF0000"/>
          <w:strike w:val="1"/>
        </w:rPr>
        <w:t>” shall mean the aggregate principal amount of the Canadian Term Loans of all Canadian Term Lenders outstanding at such time.</w:t>
      </w:r>
    </w:p>
    <w:p>
      <w:pPr>
        <w:spacing w:after="0" w:line="163" w:lineRule="exact"/>
        <w:rPr>
          <w:sz w:val="20"/>
          <w:szCs w:val="20"/>
          <w:color w:val="auto"/>
        </w:rPr>
      </w:pPr>
    </w:p>
    <w:p>
      <w:pPr>
        <w:jc w:val="both"/>
        <w:ind w:right="20" w:firstLine="648"/>
        <w:spacing w:after="0" w:line="299"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Canadian Term Loan Pro Rata Percentage</w:t>
      </w:r>
      <w:r>
        <w:rPr>
          <w:rFonts w:ascii="Times New Roman" w:cs="Times New Roman" w:eastAsia="Times New Roman" w:hAnsi="Times New Roman"/>
          <w:sz w:val="21"/>
          <w:szCs w:val="21"/>
          <w:color w:val="FF0000"/>
          <w:strike w:val="1"/>
        </w:rPr>
        <w:t>” with respect to any Canadian Term Lender, the percentage of the aggregate principal amount of the Canadian Term Loans represented by such Canadian Term Lender’s Canadian Term Loans at such time.</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Lease Obligations</w:t>
      </w:r>
      <w:r>
        <w:rPr>
          <w:rFonts w:ascii="Times New Roman" w:cs="Times New Roman" w:eastAsia="Times New Roman" w:hAnsi="Times New Roman"/>
          <w:sz w:val="22"/>
          <w:szCs w:val="22"/>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Collateralize</w:t>
      </w:r>
      <w:r>
        <w:rPr>
          <w:rFonts w:ascii="Times New Roman" w:cs="Times New Roman" w:eastAsia="Times New Roman" w:hAnsi="Times New Roman"/>
          <w:sz w:val="22"/>
          <w:szCs w:val="22"/>
          <w:color w:val="auto"/>
        </w:rPr>
        <w:t>” shall mean to pledge and deposit with or deliver to the Applicable Collateral Agent, for the benefit of the Secured Parties,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shall mean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Parent Borrower; (b) the failure by the Parent</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55" w:name="page56"/>
    <w:bookmarkEnd w:id="55"/>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Borrower to own, directly or indirectly, beneficially and of record, 100% of the issued and outstanding Equity Interests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any</w:t>
      </w:r>
      <w:r>
        <w:rPr>
          <w:rFonts w:ascii="Times New Roman" w:cs="Times New Roman" w:eastAsia="Times New Roman" w:hAnsi="Times New Roman"/>
          <w:sz w:val="22"/>
          <w:szCs w:val="22"/>
          <w:color w:val="auto"/>
        </w:rPr>
        <w:t xml:space="preserve"> U.S. Borrower; or (c) the failure by the Parent Borrower to own, directly or indirectly, beneficially and of record, 100% of the issued and outstanding Equity Interests of the Australian Borrower.</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Change in Law</w:t>
      </w:r>
      <w:r>
        <w:rPr>
          <w:rFonts w:ascii="Times New Roman" w:cs="Times New Roman" w:eastAsia="Times New Roman" w:hAnsi="Times New Roman"/>
          <w:sz w:val="21"/>
          <w:szCs w:val="21"/>
          <w:color w:val="auto"/>
        </w:rPr>
        <w:t xml:space="preserve">” shall mean (a) the adoption of any law, rule, regulation or treaty after the Closing Date, (b) any change in any law, rule or regulation or in the administration, interpretation, implementation or application thereof by any Governmental Authority after the Closing Date or (c) 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for purposes of this Agreement and notwithstanding anything to the contrary, (i) the Dodd-Frank Wall Street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w:t>
      </w:r>
      <w:r>
        <w:rPr>
          <w:rFonts w:ascii="Times New Roman" w:cs="Times New Roman" w:eastAsia="Times New Roman" w:hAnsi="Times New Roman"/>
          <w:sz w:val="22"/>
          <w:szCs w:val="22"/>
          <w:color w:val="auto"/>
        </w:rPr>
        <w:t xml:space="preserve">”, when used in reference to (a) any Loan or Borrowing, refers to whether such Loan, or the Loans comprising such Borrowing, are Canadian Revolving Credit Loans, </w:t>
      </w:r>
      <w:r>
        <w:rPr>
          <w:rFonts w:ascii="Times New Roman" w:cs="Times New Roman" w:eastAsia="Times New Roman" w:hAnsi="Times New Roman"/>
          <w:sz w:val="22"/>
          <w:szCs w:val="22"/>
          <w:color w:val="FF0000"/>
          <w:strike w:val="1"/>
        </w:rPr>
        <w:t>Canadian Term Loans,</w:t>
      </w:r>
      <w:r>
        <w:rPr>
          <w:rFonts w:ascii="Times New Roman" w:cs="Times New Roman" w:eastAsia="Times New Roman" w:hAnsi="Times New Roman"/>
          <w:sz w:val="22"/>
          <w:szCs w:val="22"/>
          <w:color w:val="auto"/>
        </w:rPr>
        <w:t xml:space="preserve"> Australian Revolving Credit Loans or U.S. Revolving Credit Loans, and (b) any Commitment, refers to whether such Commitment is a Canadian Revolving Commitment, </w:t>
      </w:r>
      <w:r>
        <w:rPr>
          <w:rFonts w:ascii="Times New Roman" w:cs="Times New Roman" w:eastAsia="Times New Roman" w:hAnsi="Times New Roman"/>
          <w:sz w:val="22"/>
          <w:szCs w:val="22"/>
          <w:color w:val="FF0000"/>
          <w:strike w:val="1"/>
        </w:rPr>
        <w:t>Canadian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Term Commitment,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Australian Revolving Commitment or a U.S. Revolving Commitment.</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shall mean the date upon which all of the conditions set forth in Sections 4.01 and 4.02 are satisfied or waived in accordance with Section 9.08(b).</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 shall mean, collectively, all of the U.S. Collateral, the Canadian Collateral and the Australian Collateral.</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Agents</w:t>
      </w:r>
      <w:r>
        <w:rPr>
          <w:rFonts w:ascii="Times New Roman" w:cs="Times New Roman" w:eastAsia="Times New Roman" w:hAnsi="Times New Roman"/>
          <w:sz w:val="22"/>
          <w:szCs w:val="22"/>
          <w:color w:val="auto"/>
        </w:rPr>
        <w:t>” shall mean, collectively, the U.S. Collateral Agent, the Canadian Collateral Agent and the Australian Collateral Agent.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xml:space="preserve">” shall mean, with respect to any Lender, such Lender’s U.S. Revolving Commitment, Canadian Revolving Commitment, </w:t>
      </w:r>
      <w:r>
        <w:rPr>
          <w:rFonts w:ascii="Times New Roman" w:cs="Times New Roman" w:eastAsia="Times New Roman" w:hAnsi="Times New Roman"/>
          <w:sz w:val="22"/>
          <w:szCs w:val="22"/>
          <w:color w:val="FF0000"/>
          <w:strike w:val="1"/>
        </w:rPr>
        <w:t>Canadian Term Commitment,</w:t>
      </w:r>
      <w:r>
        <w:rPr>
          <w:rFonts w:ascii="Times New Roman" w:cs="Times New Roman" w:eastAsia="Times New Roman" w:hAnsi="Times New Roman"/>
          <w:sz w:val="22"/>
          <w:szCs w:val="22"/>
          <w:color w:val="auto"/>
        </w:rPr>
        <w:t xml:space="preserve"> Australian Revolving Commitment or any Incremental Revolving Commitment, and “</w:t>
      </w:r>
      <w:r>
        <w:rPr>
          <w:rFonts w:ascii="Times New Roman" w:cs="Times New Roman" w:eastAsia="Times New Roman" w:hAnsi="Times New Roman"/>
          <w:sz w:val="22"/>
          <w:szCs w:val="22"/>
          <w:i w:val="1"/>
          <w:iCs w:val="1"/>
          <w:color w:val="auto"/>
        </w:rPr>
        <w:t>Commitments</w:t>
      </w:r>
      <w:r>
        <w:rPr>
          <w:rFonts w:ascii="Times New Roman" w:cs="Times New Roman" w:eastAsia="Times New Roman" w:hAnsi="Times New Roman"/>
          <w:sz w:val="22"/>
          <w:szCs w:val="22"/>
          <w:color w:val="auto"/>
        </w:rPr>
        <w:t xml:space="preserve">” shall mean the U.S. Revolving Commitments, the Canadian Revolving Commitments, the </w:t>
      </w:r>
      <w:r>
        <w:rPr>
          <w:rFonts w:ascii="Times New Roman" w:cs="Times New Roman" w:eastAsia="Times New Roman" w:hAnsi="Times New Roman"/>
          <w:sz w:val="22"/>
          <w:szCs w:val="22"/>
          <w:color w:val="FF0000"/>
          <w:strike w:val="1"/>
        </w:rPr>
        <w:t>Canadian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Commitments,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Australian Revolving Commitments and any Incremental Revolving Commitments.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Fees</w:t>
      </w:r>
      <w:r>
        <w:rPr>
          <w:rFonts w:ascii="Times New Roman" w:cs="Times New Roman" w:eastAsia="Times New Roman" w:hAnsi="Times New Roman"/>
          <w:sz w:val="22"/>
          <w:szCs w:val="22"/>
          <w:color w:val="auto"/>
        </w:rPr>
        <w:t>” shall have the meaning assigned to such term in Section 2.05(a)(iii).</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56" w:name="page57"/>
    <w:bookmarkEnd w:id="56"/>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shall mean the Commodity Exchange Act (7 U.S.C. Section 1 et seq.), as amended from time to time, and any successor statute.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Compliance Certificate</w:t>
      </w:r>
      <w:r>
        <w:rPr>
          <w:rFonts w:ascii="Times New Roman" w:cs="Times New Roman" w:eastAsia="Times New Roman" w:hAnsi="Times New Roman"/>
          <w:sz w:val="22"/>
          <w:szCs w:val="22"/>
          <w:color w:val="auto"/>
        </w:rPr>
        <w:t>” shall have the meaning assigned to such term in Section 5.04(c).</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shall mean, with respect to either the use or administration of Term SOFR or the use, administration, adoption or implementation of any Benchmark Replacement, any technical, administrative or operational changes (including changes to the definition of “Alternate Base Rate,” the definition of “U.S.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2.26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necessary in connection with the administration of this Agreement and the other Loan Documents).</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Connection Income Taxes</w:t>
      </w:r>
      <w:r>
        <w:rPr>
          <w:rFonts w:ascii="Times New Roman" w:cs="Times New Roman" w:eastAsia="Times New Roman" w:hAnsi="Times New Roman"/>
          <w:sz w:val="22"/>
          <w:szCs w:val="22"/>
          <w:color w:val="auto"/>
        </w:rPr>
        <w:t>” shall mean Other Connection Taxes that are imposed on or measured by net income (however denominated) or that are franchise Taxes or branch profits Taxes.</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EBITDA</w:t>
      </w:r>
      <w:r>
        <w:rPr>
          <w:rFonts w:ascii="Times New Roman" w:cs="Times New Roman" w:eastAsia="Times New Roman" w:hAnsi="Times New Roman"/>
          <w:sz w:val="22"/>
          <w:szCs w:val="22"/>
          <w:color w:val="auto"/>
        </w:rPr>
        <w:t>” shall mean, for any period, EBITDA of the Parent Borrower and the Subsidiaries for such period, all determined on a consolidated basis.</w:t>
      </w:r>
    </w:p>
    <w:p>
      <w:pPr>
        <w:spacing w:after="0" w:line="1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Interest Expense</w:t>
      </w:r>
      <w:r>
        <w:rPr>
          <w:rFonts w:ascii="Times New Roman" w:cs="Times New Roman" w:eastAsia="Times New Roman" w:hAnsi="Times New Roman"/>
          <w:sz w:val="22"/>
          <w:szCs w:val="22"/>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Income</w:t>
      </w:r>
      <w:r>
        <w:rPr>
          <w:rFonts w:ascii="Times New Roman" w:cs="Times New Roman" w:eastAsia="Times New Roman" w:hAnsi="Times New Roman"/>
          <w:sz w:val="22"/>
          <w:szCs w:val="22"/>
          <w:color w:val="auto"/>
        </w:rPr>
        <w:t xml:space="preserve">” shall mean, for any person for any period, the net income or loss of such person for such period determined on a consolidated basis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be excluded (a) the income of any subsidiary of such person to the extent that the declaration or payment of dividends or similar distributions by such subsidiary of that income is not at the time permitted by operation of the terms of its charter or any</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57" w:name="page58"/>
    <w:bookmarkEnd w:id="57"/>
    <w:p>
      <w:pPr>
        <w:jc w:val="both"/>
        <w:spacing w:after="0" w:line="249" w:lineRule="auto"/>
        <w:rPr>
          <w:sz w:val="20"/>
          <w:szCs w:val="20"/>
          <w:color w:val="auto"/>
        </w:rPr>
      </w:pPr>
      <w:r>
        <w:rPr>
          <w:rFonts w:ascii="Times New Roman" w:cs="Times New Roman" w:eastAsia="Times New Roman" w:hAnsi="Times New Roman"/>
          <w:sz w:val="22"/>
          <w:szCs w:val="22"/>
          <w:color w:val="auto"/>
        </w:rPr>
        <w:t>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 For the avoidance of doubt, Consolidated Net Income shall include all amounts recognized as income during such period from the Canada Emergency Wage Subsidy program (but shall deduct, if applicable, any such amounts that were required to be repaid during such period as a result of program non-compliance).</w:t>
      </w:r>
    </w:p>
    <w:p>
      <w:pPr>
        <w:spacing w:after="0" w:line="19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Worth</w:t>
      </w:r>
      <w:r>
        <w:rPr>
          <w:rFonts w:ascii="Times New Roman" w:cs="Times New Roman" w:eastAsia="Times New Roman" w:hAnsi="Times New Roman"/>
          <w:sz w:val="22"/>
          <w:szCs w:val="22"/>
          <w:color w:val="auto"/>
        </w:rPr>
        <w:t>” shall mean, at any time, the net worth or total shareholders’ equity of the Parent Borrower and its subsidiaries on a consolidated basis determined in accordance with GAAP.</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shall have meanings correlative thereto.</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CORRA</w:t>
      </w:r>
      <w:r>
        <w:rPr>
          <w:rFonts w:ascii="Times New Roman" w:cs="Times New Roman" w:eastAsia="Times New Roman" w:hAnsi="Times New Roman"/>
          <w:sz w:val="22"/>
          <w:szCs w:val="22"/>
          <w:color w:val="auto"/>
        </w:rPr>
        <w:t>” means the Canadian Overnight Repo Rate Average administered and published by the Bank of Canada (or any successor administrator).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Entity</w:t>
      </w:r>
      <w:r>
        <w:rPr>
          <w:rFonts w:ascii="Times New Roman" w:cs="Times New Roman" w:eastAsia="Times New Roman" w:hAnsi="Times New Roman"/>
          <w:sz w:val="22"/>
          <w:szCs w:val="22"/>
          <w:color w:val="auto"/>
        </w:rPr>
        <w:t>” shall mean any of the following:</w:t>
      </w:r>
    </w:p>
    <w:p>
      <w:pPr>
        <w:spacing w:after="0" w:line="224" w:lineRule="exact"/>
        <w:rPr>
          <w:sz w:val="20"/>
          <w:szCs w:val="20"/>
          <w:color w:val="auto"/>
        </w:rPr>
      </w:pPr>
    </w:p>
    <w:p>
      <w:pPr>
        <w:ind w:left="1100" w:hanging="444"/>
        <w:spacing w:after="0"/>
        <w:tabs>
          <w:tab w:leader="none" w:pos="11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33"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19"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Party</w:t>
      </w:r>
      <w:r>
        <w:rPr>
          <w:rFonts w:ascii="Times New Roman" w:cs="Times New Roman" w:eastAsia="Times New Roman" w:hAnsi="Times New Roman"/>
          <w:sz w:val="22"/>
          <w:szCs w:val="22"/>
          <w:color w:val="auto"/>
        </w:rPr>
        <w:t>” shall have the meaning provided in Section 9.25.</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Event</w:t>
      </w:r>
      <w:r>
        <w:rPr>
          <w:rFonts w:ascii="Times New Roman" w:cs="Times New Roman" w:eastAsia="Times New Roman" w:hAnsi="Times New Roman"/>
          <w:sz w:val="22"/>
          <w:szCs w:val="22"/>
          <w:color w:val="auto"/>
        </w:rPr>
        <w:t>” shall have the meaning assigned to such term in Section 4.01.</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Customary Junior Lien Intercreditor Agreement</w:t>
      </w:r>
      <w:r>
        <w:rPr>
          <w:rFonts w:ascii="Times New Roman" w:cs="Times New Roman" w:eastAsia="Times New Roman" w:hAnsi="Times New Roman"/>
          <w:sz w:val="22"/>
          <w:szCs w:val="22"/>
          <w:color w:val="auto"/>
        </w:rPr>
        <w:t>” shall mean an intercreditor agreement, reasonably acceptable to the Loan Party incurring Indebtedness under the indenture or agreement pursuant to which a Qualified Offering is issued, incurred or otherwise obtained, the Agents and the Required Lenders, to be entered into by and among such Loan Party, the other Loan Parties party thereto, the Agents and the trustee, administrative agent, collateral agent, security agent or similar agent and under such indenture or agreement pursuant to which such Qualified Offering is issued, incurred or otherwise obtained, as the case may be, and each of their successors in such capacities.</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Decision Period</w:t>
      </w:r>
      <w:r>
        <w:rPr>
          <w:rFonts w:ascii="Times New Roman" w:cs="Times New Roman" w:eastAsia="Times New Roman" w:hAnsi="Times New Roman"/>
          <w:sz w:val="22"/>
          <w:szCs w:val="22"/>
          <w:color w:val="auto"/>
        </w:rPr>
        <w:t>” shall have the meaning assigned to such term in Section 2.17(d).</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shall mean any event or condition which upon notice, lapse of time or both would constitute an Event of Default.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Defaulting Lender</w:t>
      </w:r>
      <w:r>
        <w:rPr>
          <w:rFonts w:ascii="Times New Roman" w:cs="Times New Roman" w:eastAsia="Times New Roman" w:hAnsi="Times New Roman"/>
          <w:sz w:val="22"/>
          <w:szCs w:val="22"/>
          <w:color w:val="auto"/>
        </w:rPr>
        <w:t>” shall mean, subject to Section 2.24(d), any Lender that:</w:t>
      </w:r>
    </w:p>
    <w:p>
      <w:pPr>
        <w:spacing w:after="0" w:line="224" w:lineRule="exact"/>
        <w:rPr>
          <w:sz w:val="20"/>
          <w:szCs w:val="20"/>
          <w:color w:val="auto"/>
        </w:rPr>
      </w:pPr>
    </w:p>
    <w:p>
      <w:pPr>
        <w:jc w:val="both"/>
        <w:ind w:firstLine="1304"/>
        <w:spacing w:after="0" w:line="261" w:lineRule="auto"/>
        <w:tabs>
          <w:tab w:leader="none" w:pos="175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failed to (i) fund all or any portion of its Loans within two (2) Business Days of the date such Loans were required to be funded hereunder unless such Lender notifies an Administrative Agent and the Parent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w:t>
      </w:r>
    </w:p>
    <w:p>
      <w:pPr>
        <w:ind w:left="320" w:hanging="312"/>
        <w:spacing w:after="0"/>
        <w:tabs>
          <w:tab w:leader="none" w:pos="3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the date when due;</w:t>
      </w:r>
    </w:p>
    <w:p>
      <w:pPr>
        <w:spacing w:after="0" w:line="19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failed, within three (3) Business Days after request by an Administrative Agent or any Borrower, to confirm in writing to such Administrative Agent and such Borrower that it will comply with its funding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such Administrative Agent and such Borrower); or</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or has a direct or indirect parent company that has, (i) become the subject of a proceeding under any Insolvency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Lender shall not be a Defaulting Lender solely by virtue of the ownership or acquisition of any equity interest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w:t>
      </w:r>
    </w:p>
    <w:p>
      <w:pPr>
        <w:spacing w:after="0" w:line="3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59" w:name="page60"/>
    <w:bookmarkEnd w:id="59"/>
    <w:p>
      <w:pPr>
        <w:jc w:val="both"/>
        <w:spacing w:after="0" w:line="295" w:lineRule="auto"/>
        <w:rPr>
          <w:sz w:val="20"/>
          <w:szCs w:val="20"/>
          <w:color w:val="auto"/>
        </w:rPr>
      </w:pPr>
      <w:r>
        <w:rPr>
          <w:rFonts w:ascii="Times New Roman" w:cs="Times New Roman" w:eastAsia="Times New Roman" w:hAnsi="Times New Roman"/>
          <w:sz w:val="21"/>
          <w:szCs w:val="21"/>
          <w:color w:val="auto"/>
        </w:rPr>
        <w:t>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Defined Benefit Plan</w:t>
      </w:r>
      <w:r>
        <w:rPr>
          <w:rFonts w:ascii="Times New Roman" w:cs="Times New Roman" w:eastAsia="Times New Roman" w:hAnsi="Times New Roman"/>
          <w:sz w:val="22"/>
          <w:szCs w:val="22"/>
          <w:color w:val="auto"/>
        </w:rPr>
        <w:t>” shall mean each of the pension plans identified as such in Schedule 3.16(b).</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Person</w:t>
      </w:r>
      <w:r>
        <w:rPr>
          <w:rFonts w:ascii="Times New Roman" w:cs="Times New Roman" w:eastAsia="Times New Roman" w:hAnsi="Times New Roman"/>
          <w:sz w:val="22"/>
          <w:szCs w:val="22"/>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Times New Roman" w:cs="Times New Roman" w:eastAsia="Times New Roman" w:hAnsi="Times New Roman"/>
          <w:sz w:val="22"/>
          <w:szCs w:val="22"/>
          <w:i w:val="1"/>
          <w:iCs w:val="1"/>
          <w:color w:val="auto"/>
        </w:rPr>
        <w:t>SDN</w:t>
      </w:r>
      <w:r>
        <w:rPr>
          <w:rFonts w:ascii="Times New Roman" w:cs="Times New Roman" w:eastAsia="Times New Roman" w:hAnsi="Times New Roman"/>
          <w:sz w:val="22"/>
          <w:szCs w:val="22"/>
          <w:color w:val="auto"/>
        </w:rPr>
        <w:t>”) on the most current list published by OFAC at its official website or any replacement website or other replacement official publication of such list (“</w:t>
      </w:r>
      <w:r>
        <w:rPr>
          <w:rFonts w:ascii="Times New Roman" w:cs="Times New Roman" w:eastAsia="Times New Roman" w:hAnsi="Times New Roman"/>
          <w:sz w:val="22"/>
          <w:szCs w:val="22"/>
          <w:i w:val="1"/>
          <w:iCs w:val="1"/>
          <w:color w:val="auto"/>
        </w:rPr>
        <w:t>SDN List</w:t>
      </w:r>
      <w:r>
        <w:rPr>
          <w:rFonts w:ascii="Times New Roman" w:cs="Times New Roman" w:eastAsia="Times New Roman" w:hAnsi="Times New Roman"/>
          <w:sz w:val="22"/>
          <w:szCs w:val="22"/>
          <w:color w:val="auto"/>
        </w:rPr>
        <w:t>”); (c) in which an entity on the SDN List has, to the knowledge of Parent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shall have the meaning assigned to such term in Section 1.03(b).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U.S. 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shall mean lawful money of the United States of America.</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Subsidiaries</w:t>
      </w:r>
      <w:r>
        <w:rPr>
          <w:rFonts w:ascii="Times New Roman" w:cs="Times New Roman" w:eastAsia="Times New Roman" w:hAnsi="Times New Roman"/>
          <w:sz w:val="22"/>
          <w:szCs w:val="22"/>
          <w:color w:val="auto"/>
        </w:rPr>
        <w:t>” shall mean all Subsidiaries (other than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incorporated or organized under the laws of the United States of America, any State thereof or the District of Columbia.</w:t>
      </w:r>
    </w:p>
    <w:p>
      <w:pPr>
        <w:spacing w:after="0" w:line="1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EBITDA</w:t>
      </w:r>
      <w:r>
        <w:rPr>
          <w:rFonts w:ascii="Times New Roman" w:cs="Times New Roman" w:eastAsia="Times New Roman" w:hAnsi="Times New Roman"/>
          <w:sz w:val="21"/>
          <w:szCs w:val="21"/>
          <w:color w:val="auto"/>
        </w:rPr>
        <w:t>”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(v) [reserved], (vi) transaction costs associated with any Permitted Acquisitions in an aggregate amount not to exceed U.S.$</w:t>
      </w:r>
      <w:r>
        <w:rPr>
          <w:rFonts w:ascii="Times New Roman" w:cs="Times New Roman" w:eastAsia="Times New Roman" w:hAnsi="Times New Roman"/>
          <w:sz w:val="21"/>
          <w:szCs w:val="21"/>
          <w:color w:val="FF0000"/>
          <w:strike w:val="1"/>
        </w:rPr>
        <w:t>10,000,000</w:t>
      </w:r>
      <w:r>
        <w:rPr>
          <w:rFonts w:ascii="Times New Roman" w:cs="Times New Roman" w:eastAsia="Times New Roman" w:hAnsi="Times New Roman"/>
          <w:sz w:val="21"/>
          <w:szCs w:val="21"/>
          <w:u w:val="single" w:color="auto"/>
          <w:color w:val="0000FF"/>
          <w:highlight w:val="lightGray"/>
        </w:rPr>
        <w:t>15,000,000</w:t>
      </w:r>
      <w:r>
        <w:rPr>
          <w:rFonts w:ascii="Times New Roman" w:cs="Times New Roman" w:eastAsia="Times New Roman" w:hAnsi="Times New Roman"/>
          <w:sz w:val="21"/>
          <w:szCs w:val="21"/>
          <w:color w:val="auto"/>
        </w:rPr>
        <w:t xml:space="preserve"> during the term of this Agreement and (vii) the amount of cost savings, operating expense reductions and synergies directly attributable and of continuing effect and projected by the Parent Borrower in good faith to be realized within 12 months after consummation of a Permitted Acquisition (calculated on a pro forma basis as though such cost savings, operating expense reductions and synergies had been realized on the first day of such period for which EBITDA is being determined and as if such cost savings, operating expense reductions and synergies were realized during the entirety of such period), net of the amount of actual benefits realized during such period from such actions; provided that (A) such cost savings, operating expense reductions and synergies (1) are reasonably identifiable and factually supportable and (2) have been approved by the Administrative Agent in its reasonable discretion and (B) the aggregate amount of such cost savings, operating expense reductions and synergies included pursuant to this clause (a)(vii), shall not exceed 10% of EBITDA (after giving effect to this clause (a)(vii)), and minus</w:t>
      </w:r>
    </w:p>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0" w:name="page61"/>
    <w:bookmarkEnd w:id="60"/>
    <w:p>
      <w:pPr>
        <w:jc w:val="both"/>
        <w:ind w:firstLine="8"/>
        <w:spacing w:after="0" w:line="250" w:lineRule="auto"/>
        <w:tabs>
          <w:tab w:leader="none" w:pos="3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 For the avoidance of doubt, without duplication of any amounts included in Consolidated Net Income, EBITDA shall include all amounts recognized as income during such period from the Canada Wage Subsidy program (but shall deduct, if applicable, any such amounts that were required to be repaid during such period as a result of program non-compliance).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Member Country</w:t>
      </w:r>
      <w:r>
        <w:rPr>
          <w:rFonts w:ascii="Times New Roman" w:cs="Times New Roman" w:eastAsia="Times New Roman" w:hAnsi="Times New Roman"/>
          <w:sz w:val="21"/>
          <w:szCs w:val="21"/>
          <w:color w:val="auto"/>
        </w:rPr>
        <w:t>” shall mean any of the member states of the European Union, Iceland, Liechtenstein, and Norway.</w:t>
      </w:r>
    </w:p>
    <w:p>
      <w:pPr>
        <w:spacing w:after="0" w:line="23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Assignee</w:t>
      </w:r>
      <w:r>
        <w:rPr>
          <w:rFonts w:ascii="Times New Roman" w:cs="Times New Roman" w:eastAsia="Times New Roman" w:hAnsi="Times New Roman"/>
          <w:sz w:val="22"/>
          <w:szCs w:val="22"/>
          <w:color w:val="auto"/>
        </w:rPr>
        <w:t>” shall mean (a) a Lender, (b) an Affiliate of a Lender, (c) an Approved Fund, and (d) any other person (other than a natural person).</w:t>
      </w:r>
    </w:p>
    <w:p>
      <w:pPr>
        <w:spacing w:after="0" w:line="1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Environmental Laws</w:t>
      </w:r>
      <w:r>
        <w:rPr>
          <w:rFonts w:ascii="Times New Roman" w:cs="Times New Roman" w:eastAsia="Times New Roman" w:hAnsi="Times New Roman"/>
          <w:sz w:val="21"/>
          <w:szCs w:val="21"/>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shall mean shares of capital stock, partnership interests, membership interests in a limited liability company, beneficial interests in a trust or other equity interests in</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71" w:lineRule="auto"/>
        <w:rPr>
          <w:sz w:val="20"/>
          <w:szCs w:val="20"/>
          <w:color w:val="auto"/>
        </w:rPr>
      </w:pPr>
      <w:r>
        <w:rPr>
          <w:rFonts w:ascii="Times New Roman" w:cs="Times New Roman" w:eastAsia="Times New Roman" w:hAnsi="Times New Roman"/>
          <w:sz w:val="22"/>
          <w:szCs w:val="22"/>
          <w:color w:val="auto"/>
        </w:rPr>
        <w:t>any person, or any obligations convertible into or exchangeable for, or giving any person a right, option or warrant to acquire such equity interests or such convertible or exchangeable obligations.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shall mean the Employee Retirement Income Security Act of 1974, as the same may be amended from time to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Event</w:t>
      </w:r>
      <w:r>
        <w:rPr>
          <w:rFonts w:ascii="Times New Roman" w:cs="Times New Roman" w:eastAsia="Times New Roman" w:hAnsi="Times New Roman"/>
          <w:sz w:val="22"/>
          <w:szCs w:val="22"/>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 (d) 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 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within the meaning of Title IV of ERISA; or (g) the occurrence of a “prohibited transaction” with respect to which a Borrower or any of the Subsidiaries is a “disqualified person” (within the meaning of Section 4975 of the Code) or with respect to which a Borrower or any such Subsidiary could otherwise be liable.</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has the meaning assigned to it in Section 8.13(a).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Return Deficiency</w:t>
      </w:r>
      <w:r>
        <w:rPr>
          <w:rFonts w:ascii="Times New Roman" w:cs="Times New Roman" w:eastAsia="Times New Roman" w:hAnsi="Times New Roman"/>
          <w:sz w:val="22"/>
          <w:szCs w:val="22"/>
          <w:color w:val="auto"/>
        </w:rPr>
        <w:t>” has the meaning assigned to it in Section 8.13(d).</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shall mean the EU Bail-In Legislation Schedule published by the Loan Market Association (or any successor person), as in effect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shall have the meaning assigned to such term in Article VII.</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Cash</w:t>
      </w:r>
      <w:r>
        <w:rPr>
          <w:rFonts w:ascii="Times New Roman" w:cs="Times New Roman" w:eastAsia="Times New Roman" w:hAnsi="Times New Roman"/>
          <w:sz w:val="22"/>
          <w:szCs w:val="22"/>
          <w:color w:val="auto"/>
        </w:rPr>
        <w:t>” shall mean, as of any date of determination, the aggregate amount of Unrestricted Cash on hand at the Parent Borrower and its Subsidiaries other than (a) any cash allocated for, reserved or otherwise set aside to pay vendor payments, payroll, payroll taxes, other taxes, and employee wage and benefit payment obligations of the Parent Borrower or any of its Subsidiaries then due and owing and for which the Parent Borrower or such Subsidiary has</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issued checks or has initiated wires or ACH transfers or will issue checks or initiate wires or ACH transfers within five Business Days in order to make such payments, (b) to the extent the payment of such amounts are not prohibited by this Agreement, other amounts in respect of which the Parent Borrower or any of its Subsidiaries has issued checks or has initiated wires or ACH transfers to Persons that are not Affiliates of a </w:t>
      </w:r>
      <w:r>
        <w:rPr>
          <w:rFonts w:ascii="Times New Roman" w:cs="Times New Roman" w:eastAsia="Times New Roman" w:hAnsi="Times New Roman"/>
          <w:sz w:val="22"/>
          <w:szCs w:val="22"/>
          <w:color w:val="FF0000"/>
          <w:strike w:val="1"/>
        </w:rPr>
        <w:t>Credit</w:t>
      </w:r>
      <w:r>
        <w:rPr>
          <w:rFonts w:ascii="Times New Roman" w:cs="Times New Roman" w:eastAsia="Times New Roman" w:hAnsi="Times New Roman"/>
          <w:sz w:val="22"/>
          <w:szCs w:val="22"/>
          <w:u w:val="single" w:color="auto"/>
          <w:color w:val="0000FF"/>
          <w:highlight w:val="lightGray"/>
        </w:rPr>
        <w:t>Loan</w:t>
      </w:r>
      <w:r>
        <w:rPr>
          <w:rFonts w:ascii="Times New Roman" w:cs="Times New Roman" w:eastAsia="Times New Roman" w:hAnsi="Times New Roman"/>
          <w:sz w:val="22"/>
          <w:szCs w:val="22"/>
          <w:color w:val="auto"/>
        </w:rPr>
        <w:t xml:space="preserve"> Party but that have not yet been subtracted from the balance in the relevant account of the Parent Borrower or any Subsidiary, (c) any cash of the Parent Borrower and its Subsidiaries constituting pledges and/or deposits securing any binding and enforceable purchase and sale agreement with any Persons who are not Affiliates of the Parent Borrower and its Subsidiaries, in each case to the extent permitted by this Agreement and (d) cash of a Borrower or any Subsidiary to be used by a Borrower or any Subsidiary within five Business Days to pay the purchase price for any acquisition of any assets or property by such Loan Party pursuant to an executed and binding agreement between such Loan Party and a third-party seller that is not an Affiliate of such Borrower or Subsidiary, in each case to the extent permitted by this Agreement.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Rate</w:t>
      </w:r>
      <w:r>
        <w:rPr>
          <w:rFonts w:ascii="Times New Roman" w:cs="Times New Roman" w:eastAsia="Times New Roman" w:hAnsi="Times New Roman"/>
          <w:sz w:val="21"/>
          <w:szCs w:val="21"/>
          <w:color w:val="auto"/>
        </w:rPr>
        <w:t>” shall mean, on any day, (a) with respect to the Canadian Revolving Credit Facilities only, for purposes of determining the U.S. Dollar Equivalent of Canadian dollars and the Canadian Dollar Equivalent, the rate of exchange for Canadian interbank transactions at which Canadian dollars may be exchanged into U.S. dollars or at which U.S. dollars may be exchanged into Canadian dollars, respectively, established by the Bank of Canada and quoted at approximately the end of business (Standard Time) for the day in question or, if such determination is required to made prior to such time, as quoted at approximately the end of business (Standard Time) on the Business Day immediately preceding the date of determination,</w:t>
      </w:r>
    </w:p>
    <w:p>
      <w:pPr>
        <w:spacing w:after="0" w:line="5" w:lineRule="exact"/>
        <w:rPr>
          <w:sz w:val="20"/>
          <w:szCs w:val="20"/>
          <w:color w:val="auto"/>
        </w:rPr>
      </w:pPr>
    </w:p>
    <w:p>
      <w:pPr>
        <w:jc w:val="both"/>
        <w:ind w:firstLine="8"/>
        <w:spacing w:after="0" w:line="257" w:lineRule="auto"/>
        <w:tabs>
          <w:tab w:leader="none" w:pos="33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dollars may be exchanged into Australian dollars, respectively, as at 12:00 p.m. (London time) on such day, and (c)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w:t>
      </w:r>
    </w:p>
    <w:p>
      <w:pPr>
        <w:jc w:val="both"/>
        <w:ind w:firstLine="8"/>
        <w:spacing w:after="0" w:line="246" w:lineRule="auto"/>
        <w:tabs>
          <w:tab w:leader="none" w:pos="38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Parent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may</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22"/>
          <w:szCs w:val="22"/>
          <w:color w:val="auto"/>
        </w:rPr>
        <w:t>use any method it deems commercially reasonable and appropriate to determine such rate, and such determination shall be presumed correct absent manifest error.</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Collateral</w:t>
      </w:r>
      <w:r>
        <w:rPr>
          <w:rFonts w:ascii="Times New Roman" w:cs="Times New Roman" w:eastAsia="Times New Roman" w:hAnsi="Times New Roman"/>
          <w:sz w:val="21"/>
          <w:szCs w:val="21"/>
          <w:color w:val="auto"/>
        </w:rPr>
        <w:t xml:space="preserve">” shall mean (a) any lease, license, contract, property rights or agreement to which any Guarantor is a party or any of its rights or interests thereunder if and for so long as the grant of such security interest shall constitute or result in (i) the abandonment, invalidation or unenforceability of any right, title or interest of any Guarantor therein or (ii) a breach or termination pursuant to the terms of, or a default under, any such lease, license, contract property rights or agreement (other than to the extent that any such term would be rendered ineffective pursuant to Sections 9-406, 9-407, 9-408 or 9-409 of the UCC (or any successor provision or provisions) of any relevant jurisdiction or any other applicable law (including any Insolvency Law) or principles of equity),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Collateral shall include and such security interest shall attach immediately at such time as the condition causing such abandonment, invalidation or unenforceability shall be remedied and to the extent severable, shall attach immediately to any portion of such lease, license, contract, property rights or agreement that does not result in any of the consequences specified in (i) or (ii) above; (b) those assets of a Guarantor with respect to which, in the sole discretion of (i) the U.S. Collateral Agent with respect to U.S. Collateral, (ii) the Canadian Collateral Agent with respect to Canadian Collateral or</w:t>
      </w:r>
    </w:p>
    <w:p>
      <w:pPr>
        <w:spacing w:after="0" w:line="10" w:lineRule="exact"/>
        <w:rPr>
          <w:sz w:val="20"/>
          <w:szCs w:val="20"/>
          <w:color w:val="auto"/>
        </w:rPr>
      </w:pPr>
    </w:p>
    <w:p>
      <w:pPr>
        <w:jc w:val="both"/>
        <w:ind w:firstLine="8"/>
        <w:spacing w:after="0" w:line="258" w:lineRule="auto"/>
        <w:tabs>
          <w:tab w:leader="none" w:pos="38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Australian Collateral Agent with respect to Australian Collateral, the burdens, costs or consequences of obtaining a Lien on such assets are excessive in view of the benefits to be obtained by the Secured Parties (including, for the avoidance of doubt, adverse tax consequences to the Parent Borrower and its Subsidiaries); (c) with respect to any U.S. Collateral, any “intent to use” Trademark (as defined in the U.S. Security Agreement) applications prior to the filing and acceptance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(d) any Equipment that is covered by a certificate of title under a statute of any jurisdiction under the law of which an indication of a security interest on such certificate is required as a condition of perfection of a security interest in such Equipment, (e) “consumer goods” as that term is defined in the PPSA (Alberta) (f) any real property (including all buildings, fixtures or other improvements located thereon) now, hereafter or heretofore owned, leased, operated or used by a Borrower of any of the Subsidiaries or (g) any asset over which the granting of a security interest in such asset would be prohibited by contract (including Permitted Liens, leases and licenses), applicable law or regulation (in each case, except to the extent such prohibition is unenforceable after giving effect to applicable provisions of the UCC, other than proceeds thereof, the assignment of which is expressly deemed effective under the UCC notwithstanding such prohibitions) or to the extent that such security interest would require obtaining the consent of any governmental or regulatory authority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the Collateral shall include and such security interest shall attach immediately at such time as such prohibition no longer exists or such consent is no longer required;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however, the foregoing clauses (a) - (g) shall not exclude from the Collateral or the security interest granted under the Security Documents any right to receive Proceeds from a disposition, conveyance, transfer, exchange, lease or similar transaction in respect of the foregoing or any other Proceeds, products, accessions, substitutions or replacements of the foregoing unless they independently are covered by such </w:t>
      </w:r>
      <w:r>
        <w:rPr>
          <w:rFonts w:ascii="Times New Roman" w:cs="Times New Roman" w:eastAsia="Times New Roman" w:hAnsi="Times New Roman"/>
          <w:sz w:val="21"/>
          <w:szCs w:val="21"/>
          <w:u w:val="single" w:color="auto"/>
          <w:color w:val="auto"/>
        </w:rPr>
        <w:t>clauses (a) - (g)</w:t>
      </w:r>
      <w:r>
        <w:rPr>
          <w:rFonts w:ascii="Times New Roman" w:cs="Times New Roman" w:eastAsia="Times New Roman" w:hAnsi="Times New Roman"/>
          <w:sz w:val="21"/>
          <w:szCs w:val="21"/>
          <w:color w:val="auto"/>
        </w:rPr>
        <w:t>. Capitalized terms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used but not defined in this paragraph shall have the meanings assigned to such terms in the UCC.</w:t>
      </w:r>
    </w:p>
    <w:p>
      <w:pPr>
        <w:spacing w:after="0" w:line="21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Subsidiary</w:t>
      </w:r>
      <w:r>
        <w:rPr>
          <w:rFonts w:ascii="Times New Roman" w:cs="Times New Roman" w:eastAsia="Times New Roman" w:hAnsi="Times New Roman"/>
          <w:sz w:val="22"/>
          <w:szCs w:val="22"/>
          <w:color w:val="auto"/>
        </w:rPr>
        <w:t>” shall mean each of (i) Ft. McMurray Lodge Services GP Ltd. and (ii) any Subsidiary having no material assets other than Equity Interests of a Special Purpose Business Entity.</w:t>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Swap Obligation</w:t>
      </w:r>
      <w:r>
        <w:rPr>
          <w:rFonts w:ascii="Times New Roman" w:cs="Times New Roman" w:eastAsia="Times New Roman" w:hAnsi="Times New Roman"/>
          <w:sz w:val="22"/>
          <w:szCs w:val="22"/>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 to a Lender that is an Offshore Associate of the Australian Borrower, or as a result of there being less than two Lenders under this Agreement, (g) in respect of any Australian Revolving Borrowing, Taxes which arise from the failure of (1) a Lender whose lending office is located in Australia, or (2) a</w:t>
      </w: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63" w:lineRule="auto"/>
        <w:rPr>
          <w:sz w:val="20"/>
          <w:szCs w:val="20"/>
          <w:color w:val="auto"/>
        </w:rPr>
      </w:pPr>
      <w:r>
        <w:rPr>
          <w:rFonts w:ascii="Times New Roman" w:cs="Times New Roman" w:eastAsia="Times New Roman" w:hAnsi="Times New Roman"/>
          <w:sz w:val="21"/>
          <w:szCs w:val="21"/>
          <w:color w:val="auto"/>
        </w:rPr>
        <w:t>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w:t>
      </w:r>
    </w:p>
    <w:p>
      <w:pPr>
        <w:spacing w:after="0" w:line="2" w:lineRule="exact"/>
        <w:rPr>
          <w:sz w:val="20"/>
          <w:szCs w:val="20"/>
          <w:color w:val="auto"/>
        </w:rPr>
      </w:pPr>
    </w:p>
    <w:p>
      <w:pPr>
        <w:jc w:val="both"/>
        <w:ind w:firstLine="8"/>
        <w:spacing w:after="0" w:line="251" w:lineRule="auto"/>
        <w:tabs>
          <w:tab w:leader="none" w:pos="31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17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xml:space="preserve">” shall mean the U.S. Revolving Credit </w:t>
      </w:r>
      <w:r>
        <w:rPr>
          <w:rFonts w:ascii="Times New Roman" w:cs="Times New Roman" w:eastAsia="Times New Roman" w:hAnsi="Times New Roman"/>
          <w:sz w:val="22"/>
          <w:szCs w:val="22"/>
          <w:color w:val="FF0000"/>
          <w:strike w:val="1"/>
        </w:rPr>
        <w:t>Facility, the Canadian Term Loan</w:t>
      </w:r>
      <w:r>
        <w:rPr>
          <w:rFonts w:ascii="Times New Roman" w:cs="Times New Roman" w:eastAsia="Times New Roman" w:hAnsi="Times New Roman"/>
          <w:sz w:val="22"/>
          <w:szCs w:val="22"/>
          <w:color w:val="auto"/>
        </w:rPr>
        <w:t xml:space="preserve"> Facility, the Canadian Revolving Credit Facility or the Australian Revolving Credit Facility, in each case as the context may require.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 Letter</w:t>
      </w:r>
      <w:r>
        <w:rPr>
          <w:rFonts w:ascii="Times New Roman" w:cs="Times New Roman" w:eastAsia="Times New Roman" w:hAnsi="Times New Roman"/>
          <w:sz w:val="22"/>
          <w:szCs w:val="22"/>
          <w:color w:val="auto"/>
        </w:rPr>
        <w:t>” shall have the meaning assigned to such term in the definition of Bilateral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FCPA</w:t>
      </w:r>
      <w:r>
        <w:rPr>
          <w:rFonts w:ascii="Times New Roman" w:cs="Times New Roman" w:eastAsia="Times New Roman" w:hAnsi="Times New Roman"/>
          <w:sz w:val="22"/>
          <w:szCs w:val="22"/>
          <w:color w:val="auto"/>
        </w:rPr>
        <w:t>” shall mean the United States Foreign Corrupt Practices Act of 1977.</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Funds Effective Rate</w:t>
      </w:r>
      <w:r>
        <w:rPr>
          <w:rFonts w:ascii="Times New Roman" w:cs="Times New Roman" w:eastAsia="Times New Roman" w:hAnsi="Times New Roman"/>
          <w:sz w:val="22"/>
          <w:szCs w:val="22"/>
          <w:color w:val="auto"/>
        </w:rPr>
        <w:t xml:space="preserve">” shall mean, for any day, the </w:t>
      </w:r>
      <w:r>
        <w:rPr>
          <w:rFonts w:ascii="Times New Roman" w:cs="Times New Roman" w:eastAsia="Times New Roman" w:hAnsi="Times New Roman"/>
          <w:sz w:val="22"/>
          <w:szCs w:val="22"/>
          <w:color w:val="FF0000"/>
          <w:strike w:val="1"/>
        </w:rPr>
        <w:t>weighted average (rounded upwards, if necessary, to the next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1/100 of 1%) of the rates on overnight</w:t>
      </w:r>
      <w:r>
        <w:rPr>
          <w:rFonts w:ascii="Times New Roman" w:cs="Times New Roman" w:eastAsia="Times New Roman" w:hAnsi="Times New Roman"/>
          <w:sz w:val="22"/>
          <w:szCs w:val="22"/>
          <w:u w:val="single" w:color="auto"/>
          <w:color w:val="0000FF"/>
          <w:highlight w:val="lightGray"/>
          <w:strike w:val="1"/>
        </w:rPr>
        <w:t>greater of (a) the rate calculated by the Federal Reserve Bank of New York based on such</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highlight w:val="lightGray"/>
          <w:strike w:val="1"/>
        </w:rPr>
        <w:t>day’s</w:t>
      </w:r>
      <w:r>
        <w:rPr>
          <w:rFonts w:ascii="Times New Roman" w:cs="Times New Roman" w:eastAsia="Times New Roman" w:hAnsi="Times New Roman"/>
          <w:sz w:val="22"/>
          <w:szCs w:val="22"/>
          <w:color w:val="0000FF"/>
          <w:highlight w:val="lightGray"/>
          <w:strike w:val="1"/>
        </w:rPr>
        <w:t xml:space="preserve"> </w:t>
      </w:r>
      <w:r>
        <w:rPr>
          <w:rFonts w:ascii="Times New Roman" w:cs="Times New Roman" w:eastAsia="Times New Roman" w:hAnsi="Times New Roman"/>
          <w:sz w:val="22"/>
          <w:szCs w:val="22"/>
          <w:color w:val="000000"/>
          <w:strike w:val="1"/>
        </w:rPr>
        <w:t>Federal funds transactions</w:t>
      </w:r>
      <w:r>
        <w:rPr>
          <w:rFonts w:ascii="Times New Roman" w:cs="Times New Roman" w:eastAsia="Times New Roman" w:hAnsi="Times New Roman"/>
          <w:sz w:val="22"/>
          <w:szCs w:val="22"/>
          <w:color w:val="0000FF"/>
          <w:highlight w:val="lightGray"/>
          <w:strike w:val="1"/>
        </w:rPr>
        <w:t xml:space="preserve"> </w:t>
      </w:r>
      <w:r>
        <w:rPr>
          <w:rFonts w:ascii="Times New Roman" w:cs="Times New Roman" w:eastAsia="Times New Roman" w:hAnsi="Times New Roman"/>
          <w:sz w:val="22"/>
          <w:szCs w:val="22"/>
          <w:color w:val="FF0000"/>
          <w:strike w:val="1"/>
        </w:rPr>
        <w:t>with members of</w:t>
      </w:r>
      <w:r>
        <w:rPr>
          <w:rFonts w:ascii="Times New Roman" w:cs="Times New Roman" w:eastAsia="Times New Roman" w:hAnsi="Times New Roman"/>
          <w:sz w:val="22"/>
          <w:szCs w:val="22"/>
          <w:u w:val="single" w:color="auto"/>
          <w:color w:val="0000FF"/>
          <w:highlight w:val="lightGray"/>
          <w:strike w:val="1"/>
        </w:rPr>
        <w:t>by depositary institutions (as determined in such manner as</w:t>
      </w:r>
      <w:r>
        <w:rPr>
          <w:rFonts w:ascii="Times New Roman" w:cs="Times New Roman" w:eastAsia="Times New Roman" w:hAnsi="Times New Roman"/>
          <w:sz w:val="22"/>
          <w:szCs w:val="22"/>
          <w:color w:val="0000FF"/>
          <w:highlight w:val="lightGray"/>
          <w:strike w:val="1"/>
        </w:rPr>
        <w:t xml:space="preserve"> </w:t>
      </w:r>
      <w:r>
        <w:rPr>
          <w:rFonts w:ascii="Times New Roman" w:cs="Times New Roman" w:eastAsia="Times New Roman" w:hAnsi="Times New Roman"/>
          <w:sz w:val="22"/>
          <w:szCs w:val="22"/>
          <w:color w:val="000000"/>
          <w:strike w:val="1"/>
        </w:rPr>
        <w:t>the Federal Reserve</w:t>
      </w:r>
      <w:r>
        <w:rPr>
          <w:rFonts w:ascii="Times New Roman" w:cs="Times New Roman" w:eastAsia="Times New Roman" w:hAnsi="Times New Roman"/>
          <w:sz w:val="22"/>
          <w:szCs w:val="22"/>
          <w:color w:val="0000FF"/>
          <w:highlight w:val="lightGray"/>
          <w:strike w:val="1"/>
        </w:rPr>
        <w:t xml:space="preserve"> </w:t>
      </w:r>
      <w:r>
        <w:rPr>
          <w:rFonts w:ascii="Times New Roman" w:cs="Times New Roman" w:eastAsia="Times New Roman" w:hAnsi="Times New Roman"/>
          <w:sz w:val="22"/>
          <w:szCs w:val="22"/>
          <w:color w:val="FF0000"/>
          <w:strike w:val="1"/>
        </w:rPr>
        <w:t>System arranged by Federal funds brokers, as</w:t>
      </w:r>
      <w:r>
        <w:rPr>
          <w:rFonts w:ascii="Times New Roman" w:cs="Times New Roman" w:eastAsia="Times New Roman" w:hAnsi="Times New Roman"/>
          <w:sz w:val="22"/>
          <w:szCs w:val="22"/>
          <w:u w:val="single" w:color="auto"/>
          <w:color w:val="0000FF"/>
          <w:highlight w:val="lightGray"/>
          <w:strike w:val="1"/>
        </w:rPr>
        <w:t>Bank of New York shall set forth on its public website from time to time) and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published on the next succeeding Business Day by the Federal Reserve Bank of New York</w:t>
      </w:r>
      <w:r>
        <w:rPr>
          <w:rFonts w:ascii="Times New Roman" w:cs="Times New Roman" w:eastAsia="Times New Roman" w:hAnsi="Times New Roman"/>
          <w:sz w:val="22"/>
          <w:szCs w:val="22"/>
          <w:color w:val="FF0000"/>
          <w:strike w:val="1"/>
        </w:rPr>
        <w:t>, or, if such rate is not so published for</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 xml:space="preserve">any day that is a Business Day, the rate (rounded upwards, if necessary, to the next 1/100 of 1%) for such transactions as determined by the Administrative Agent. </w:t>
      </w:r>
      <w:r>
        <w:rPr>
          <w:rFonts w:ascii="Times New Roman" w:cs="Times New Roman" w:eastAsia="Times New Roman" w:hAnsi="Times New Roman"/>
          <w:sz w:val="22"/>
          <w:szCs w:val="22"/>
          <w:u w:val="single" w:color="auto"/>
          <w:color w:val="0000FF"/>
          <w:highlight w:val="lightGray"/>
          <w:strike w:val="1"/>
        </w:rPr>
        <w:t>as the Federal funds effective rate and (b) 0%.</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22"/>
          <w:szCs w:val="22"/>
          <w:u w:val="single" w:color="auto"/>
          <w:color w:val="0000FF"/>
          <w:highlight w:val="lightGray"/>
        </w:rPr>
        <w:t>(i)</w:t>
      </w:r>
      <w:r>
        <w:rPr>
          <w:rFonts w:ascii="Times New Roman" w:cs="Times New Roman" w:eastAsia="Times New Roman" w:hAnsi="Times New Roman"/>
          <w:sz w:val="22"/>
          <w:szCs w:val="22"/>
          <w:color w:val="auto"/>
        </w:rPr>
        <w:t xml:space="preserve"> the letter agreement dated as of the Closing Date between the Parent Borrower and RBC </w:t>
      </w:r>
      <w:r>
        <w:rPr>
          <w:rFonts w:ascii="Times New Roman" w:cs="Times New Roman" w:eastAsia="Times New Roman" w:hAnsi="Times New Roman"/>
          <w:sz w:val="22"/>
          <w:szCs w:val="22"/>
          <w:color w:val="0000FF"/>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(ii) the Third Amendment Fee Letter</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-347345</wp:posOffset>
            </wp:positionV>
            <wp:extent cx="24384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3840" cy="146050"/>
                    </a:xfrm>
                    <a:prstGeom prst="rect">
                      <a:avLst/>
                    </a:prstGeom>
                    <a:noFill/>
                  </pic:spPr>
                </pic:pic>
              </a:graphicData>
            </a:graphic>
          </wp:anchor>
        </w:drawing>
      </w:r>
    </w:p>
    <w:p>
      <w:pPr>
        <w:spacing w:after="0" w:line="12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 shall mean, collectively, the Commitment Fees, the L/C Participation Fees, the Issuing Bank Fees and all fees set forth in the Fee Letter.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Covenants</w:t>
      </w:r>
      <w:r>
        <w:rPr>
          <w:rFonts w:ascii="Times New Roman" w:cs="Times New Roman" w:eastAsia="Times New Roman" w:hAnsi="Times New Roman"/>
          <w:sz w:val="22"/>
          <w:szCs w:val="22"/>
          <w:color w:val="auto"/>
        </w:rPr>
        <w:t>” shall mean the financial covenants set forth in Sections 6.10 and 6.11.</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6" w:name="page67"/>
    <w:bookmarkEnd w:id="66"/>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Officer</w:t>
      </w:r>
      <w:r>
        <w:rPr>
          <w:rFonts w:ascii="Times New Roman" w:cs="Times New Roman" w:eastAsia="Times New Roman" w:hAnsi="Times New Roman"/>
          <w:sz w:val="22"/>
          <w:szCs w:val="22"/>
          <w:color w:val="auto"/>
        </w:rPr>
        <w:t>” of any person shall mean the chief financial officer, principal accounting officer, treasurer or controller of such person.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a rate of interest equal to 0.00%.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Government Scheme or Arrangement</w:t>
      </w:r>
      <w:r>
        <w:rPr>
          <w:rFonts w:ascii="Times New Roman" w:cs="Times New Roman" w:eastAsia="Times New Roman" w:hAnsi="Times New Roman"/>
          <w:sz w:val="22"/>
          <w:szCs w:val="22"/>
          <w:color w:val="auto"/>
        </w:rPr>
        <w:t>” shall have the meaning assigned to such term in Section 3.16(c).</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Lender</w:t>
      </w:r>
      <w:r>
        <w:rPr>
          <w:rFonts w:ascii="Times New Roman" w:cs="Times New Roman" w:eastAsia="Times New Roman" w:hAnsi="Times New Roman"/>
          <w:sz w:val="22"/>
          <w:szCs w:val="22"/>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“Foreign Plan</w:t>
      </w:r>
      <w:r>
        <w:rPr>
          <w:rFonts w:ascii="Times New Roman" w:cs="Times New Roman" w:eastAsia="Times New Roman" w:hAnsi="Times New Roman"/>
          <w:sz w:val="22"/>
          <w:szCs w:val="22"/>
          <w:color w:val="auto"/>
        </w:rPr>
        <w:t>” shall have the meaning assigned to such term in Section 3.16(c).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shall mean any Subsidiary that is not (a) a Domestic Subsidiary or (b) a U.S. Borrower.</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Fronting Exposure</w:t>
      </w:r>
      <w:r>
        <w:rPr>
          <w:rFonts w:ascii="Times New Roman" w:cs="Times New Roman" w:eastAsia="Times New Roman" w:hAnsi="Times New Roman"/>
          <w:sz w:val="22"/>
          <w:szCs w:val="22"/>
          <w:color w:val="auto"/>
        </w:rPr>
        <w:t>” shall mean, at any time there is a Defaulting Lender, with respect to an Issuing Bank, (a) such Defaulting Lender’s U.S. Revolving Pro Rata Percentage, Canadian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FSHCO</w:t>
      </w:r>
      <w:r>
        <w:rPr>
          <w:rFonts w:ascii="Times New Roman" w:cs="Times New Roman" w:eastAsia="Times New Roman" w:hAnsi="Times New Roman"/>
          <w:sz w:val="22"/>
          <w:szCs w:val="22"/>
          <w:color w:val="auto"/>
        </w:rPr>
        <w:t>” shall mean any Domestic Subsidiary that is a disregarded entity for U.S. federal income tax purposes substantially all of the assets of which consist of, directly or indirectly, Equity Interests in or Indebtedness of Foreign Subsidiaries that are U.S. Owned Subsidiaries.</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w:t>
      </w:r>
      <w:r>
        <w:rPr>
          <w:rFonts w:ascii="Times New Roman" w:cs="Times New Roman" w:eastAsia="Times New Roman" w:hAnsi="Times New Roman"/>
          <w:sz w:val="22"/>
          <w:szCs w:val="22"/>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shall mean United States generally accepted accounting principles applied on a consistent basis.</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Governmental Authority</w:t>
      </w:r>
      <w:r>
        <w:rPr>
          <w:rFonts w:ascii="Times New Roman" w:cs="Times New Roman" w:eastAsia="Times New Roman" w:hAnsi="Times New Roman"/>
          <w:sz w:val="21"/>
          <w:szCs w:val="21"/>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pertaining to government (including any supra-national bodies such as the European Union or the European Central Bank).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Granting Lender</w:t>
      </w:r>
      <w:r>
        <w:rPr>
          <w:rFonts w:ascii="Times New Roman" w:cs="Times New Roman" w:eastAsia="Times New Roman" w:hAnsi="Times New Roman"/>
          <w:sz w:val="22"/>
          <w:szCs w:val="22"/>
          <w:color w:val="auto"/>
        </w:rPr>
        <w:t>” shall have the meaning assigned to such term in Section 9.04(g).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GST Act</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22"/>
          <w:szCs w:val="22"/>
          <w:i w:val="1"/>
          <w:iCs w:val="1"/>
          <w:color w:val="auto"/>
        </w:rPr>
        <w:t>A New Tax System (Goods and Services Tax) Act 1999 (Cth)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GST Law</w:t>
      </w:r>
      <w:r>
        <w:rPr>
          <w:rFonts w:ascii="Times New Roman" w:cs="Times New Roman" w:eastAsia="Times New Roman" w:hAnsi="Times New Roman"/>
          <w:sz w:val="22"/>
          <w:szCs w:val="22"/>
          <w:color w:val="auto"/>
        </w:rPr>
        <w:t>” shall have the meaning it has in the GST Act.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of or by any person shall mean (a) any obligation, contingent or otherwise, of such person guaranteeing or having the economic effect of guaranteeing any Indebtedness of any other person (the “</w:t>
      </w:r>
      <w:r>
        <w:rPr>
          <w:rFonts w:ascii="Times New Roman" w:cs="Times New Roman" w:eastAsia="Times New Roman" w:hAnsi="Times New Roman"/>
          <w:sz w:val="22"/>
          <w:szCs w:val="22"/>
          <w:i w:val="1"/>
          <w:iCs w:val="1"/>
          <w:color w:val="auto"/>
        </w:rPr>
        <w:t>primary obligor</w:t>
      </w:r>
      <w:r>
        <w:rPr>
          <w:rFonts w:ascii="Times New Roman" w:cs="Times New Roman" w:eastAsia="Times New Roman" w:hAnsi="Times New Roman"/>
          <w:sz w:val="22"/>
          <w:szCs w:val="22"/>
          <w:color w:val="auto"/>
        </w:rPr>
        <w:t xml:space="preserve">”)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term “Guarantee” shall not include endorsements for collection or deposit in the ordinary course of business.</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 Agreements</w:t>
      </w:r>
      <w:r>
        <w:rPr>
          <w:rFonts w:ascii="Times New Roman" w:cs="Times New Roman" w:eastAsia="Times New Roman" w:hAnsi="Times New Roman"/>
          <w:sz w:val="22"/>
          <w:szCs w:val="22"/>
          <w:color w:val="auto"/>
        </w:rPr>
        <w:t>” shall mean, collectively, the U.S. Guarantee Agreement, the Australian Guarantee Agreement and the Canadian Guarantee Agreement.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shall mean, collectively, the Borrowers and the Subsidiary Guarantors.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Agreement</w:t>
      </w:r>
      <w:r>
        <w:rPr>
          <w:rFonts w:ascii="Times New Roman" w:cs="Times New Roman" w:eastAsia="Times New Roman" w:hAnsi="Times New Roman"/>
          <w:sz w:val="22"/>
          <w:szCs w:val="22"/>
          <w:color w:val="auto"/>
        </w:rPr>
        <w:t>” shall mean any interest rate protection agreement, foreign currency exchange agreement, commodity price protection agreement or other interest or currency exchange rate or commodity price hedging arrangement.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Illegality Notice</w:t>
      </w:r>
      <w:r>
        <w:rPr>
          <w:rFonts w:ascii="Times New Roman" w:cs="Times New Roman" w:eastAsia="Times New Roman" w:hAnsi="Times New Roman"/>
          <w:sz w:val="22"/>
          <w:szCs w:val="22"/>
          <w:color w:val="auto"/>
        </w:rPr>
        <w:t>” shall have the meaning set forth in Section 2.14.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Increased Amount Date</w:t>
      </w:r>
      <w:r>
        <w:rPr>
          <w:rFonts w:ascii="Times New Roman" w:cs="Times New Roman" w:eastAsia="Times New Roman" w:hAnsi="Times New Roman"/>
          <w:sz w:val="22"/>
          <w:szCs w:val="22"/>
          <w:color w:val="auto"/>
        </w:rPr>
        <w:t>” shall have the meaning assigned to such term in Section 2.25.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Lender</w:t>
      </w:r>
      <w:r>
        <w:rPr>
          <w:rFonts w:ascii="Times New Roman" w:cs="Times New Roman" w:eastAsia="Times New Roman" w:hAnsi="Times New Roman"/>
          <w:sz w:val="22"/>
          <w:szCs w:val="22"/>
          <w:color w:val="auto"/>
        </w:rPr>
        <w:t>” shall have the meaning assigned to such term in Section 2.25.</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shall have the meaning assigned to such term in Section 2.25.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Credit Increase</w:t>
      </w:r>
      <w:r>
        <w:rPr>
          <w:rFonts w:ascii="Times New Roman" w:cs="Times New Roman" w:eastAsia="Times New Roman" w:hAnsi="Times New Roman"/>
          <w:sz w:val="22"/>
          <w:szCs w:val="22"/>
          <w:color w:val="auto"/>
        </w:rPr>
        <w:t>” shall have the meaning assigned to such term in Section 2.25.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of any person shall mean, without duplication, (a) all obligations of such person for borrowed money,</w:t>
      </w:r>
    </w:p>
    <w:p>
      <w:pPr>
        <w:spacing w:after="0" w:line="33" w:lineRule="exact"/>
        <w:rPr>
          <w:sz w:val="20"/>
          <w:szCs w:val="20"/>
          <w:color w:val="auto"/>
        </w:rPr>
      </w:pPr>
    </w:p>
    <w:p>
      <w:pPr>
        <w:jc w:val="both"/>
        <w:ind w:firstLine="8"/>
        <w:spacing w:after="0" w:line="257" w:lineRule="auto"/>
        <w:tabs>
          <w:tab w:leader="none" w:pos="31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w:t>
      </w:r>
    </w:p>
    <w:p>
      <w:pPr>
        <w:spacing w:after="0" w:line="3" w:lineRule="exact"/>
        <w:rPr>
          <w:rFonts w:ascii="Times New Roman" w:cs="Times New Roman" w:eastAsia="Times New Roman" w:hAnsi="Times New Roman"/>
          <w:sz w:val="21"/>
          <w:szCs w:val="21"/>
          <w:color w:val="auto"/>
        </w:rPr>
      </w:pPr>
    </w:p>
    <w:p>
      <w:pPr>
        <w:jc w:val="both"/>
        <w:ind w:firstLine="8"/>
        <w:spacing w:after="0" w:line="257" w:lineRule="auto"/>
        <w:tabs>
          <w:tab w:leader="none" w:pos="30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Indebtedness of others secured by (or for which the holder of such Indebtedness has an existing right, contingent or otherwise, to be secured by) any Lien on property owned or acquired by such person, whether or not the obligations secured thereby have been assumed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hereof, the amount thereof shall be limited to the lesser of (i) the amount of such Indebtedness and (ii) the fair market value of such property), (g) all Guarantees by such person of Indebtedness of others,</w:t>
      </w:r>
    </w:p>
    <w:p>
      <w:pPr>
        <w:spacing w:after="0" w:line="3" w:lineRule="exact"/>
        <w:rPr>
          <w:rFonts w:ascii="Times New Roman" w:cs="Times New Roman" w:eastAsia="Times New Roman" w:hAnsi="Times New Roman"/>
          <w:sz w:val="21"/>
          <w:szCs w:val="21"/>
          <w:color w:val="auto"/>
        </w:rPr>
      </w:pPr>
    </w:p>
    <w:p>
      <w:pPr>
        <w:jc w:val="both"/>
        <w:ind w:firstLine="8"/>
        <w:spacing w:after="0" w:line="249" w:lineRule="auto"/>
        <w:tabs>
          <w:tab w:leader="none" w:pos="33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Liabilities</w:t>
      </w:r>
      <w:r>
        <w:rPr>
          <w:rFonts w:ascii="Times New Roman" w:cs="Times New Roman" w:eastAsia="Times New Roman" w:hAnsi="Times New Roman"/>
          <w:sz w:val="22"/>
          <w:szCs w:val="22"/>
          <w:color w:val="auto"/>
        </w:rPr>
        <w:t>” shall have the meaning assigned to such term in Section 9.05(b).</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shall have the meaning assigned to such term in Section 9.05(b).</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Insolvency Law</w:t>
      </w:r>
      <w:r>
        <w:rPr>
          <w:rFonts w:ascii="Times New Roman" w:cs="Times New Roman" w:eastAsia="Times New Roman" w:hAnsi="Times New Roman"/>
          <w:sz w:val="22"/>
          <w:szCs w:val="22"/>
          <w:color w:val="auto"/>
        </w:rPr>
        <w:t xml:space="preserve">” shall mean, to the extent applicable, (a) Title 11 of the United States Code, (b) the </w:t>
      </w:r>
      <w:r>
        <w:rPr>
          <w:rFonts w:ascii="Times New Roman" w:cs="Times New Roman" w:eastAsia="Times New Roman" w:hAnsi="Times New Roman"/>
          <w:sz w:val="22"/>
          <w:szCs w:val="22"/>
          <w:i w:val="1"/>
          <w:iCs w:val="1"/>
          <w:color w:val="auto"/>
        </w:rPr>
        <w:t>Bankruptcy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Insolvency Act </w:t>
      </w:r>
      <w:r>
        <w:rPr>
          <w:rFonts w:ascii="Times New Roman" w:cs="Times New Roman" w:eastAsia="Times New Roman" w:hAnsi="Times New Roman"/>
          <w:sz w:val="22"/>
          <w:szCs w:val="22"/>
          <w:color w:val="auto"/>
        </w:rPr>
        <w:t>(Canada), (c) the</w:t>
      </w:r>
      <w:r>
        <w:rPr>
          <w:rFonts w:ascii="Times New Roman" w:cs="Times New Roman" w:eastAsia="Times New Roman" w:hAnsi="Times New Roman"/>
          <w:sz w:val="22"/>
          <w:szCs w:val="22"/>
          <w:i w:val="1"/>
          <w:iCs w:val="1"/>
          <w:color w:val="auto"/>
        </w:rPr>
        <w:t xml:space="preserve"> Companies’ Creditors Arrangement Act </w:t>
      </w:r>
      <w:r>
        <w:rPr>
          <w:rFonts w:ascii="Times New Roman" w:cs="Times New Roman" w:eastAsia="Times New Roman" w:hAnsi="Times New Roman"/>
          <w:sz w:val="22"/>
          <w:szCs w:val="22"/>
          <w:color w:val="auto"/>
        </w:rPr>
        <w:t>(Canada), (d) Chapter 5 of the Australian Corporations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(e) any similar federal, provincial, state, local or foreign bankruptcy or insolvency law applicable to the Parent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18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Coverage Ratio</w:t>
      </w:r>
      <w:r>
        <w:rPr>
          <w:rFonts w:ascii="Times New Roman" w:cs="Times New Roman" w:eastAsia="Times New Roman" w:hAnsi="Times New Roman"/>
          <w:sz w:val="22"/>
          <w:szCs w:val="22"/>
          <w:color w:val="auto"/>
        </w:rPr>
        <w:t>” for any period shall mean the ratio of (a) Consolidated EBITDA for such period to (b) Consolidated Interest Expense for the Parent Borrower and the Subsidiaries for such period. Solely for purposes of this definition, if, at any time the Interest</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2"/>
          <w:szCs w:val="22"/>
          <w:color w:val="auto"/>
        </w:rPr>
        <w:t>Coverage Ratio is being determined, the Parent Borrower or any Subsidiary shall have completed a Permitted Acquisition or Asset Sale the consideration of which is greater than $</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highlight w:val="lightGray"/>
        </w:rPr>
        <w:t>15,000,000</w:t>
      </w:r>
      <w:r>
        <w:rPr>
          <w:rFonts w:ascii="Times New Roman" w:cs="Times New Roman" w:eastAsia="Times New Roman" w:hAnsi="Times New Roman"/>
          <w:sz w:val="22"/>
          <w:szCs w:val="22"/>
          <w:color w:val="auto"/>
        </w:rPr>
        <w:t xml:space="preserve"> since the beginning of the relevant four fiscal quarter period, the Interest Coverage Ratio shall be determined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Payment Date</w:t>
      </w:r>
      <w:r>
        <w:rPr>
          <w:rFonts w:ascii="Times New Roman" w:cs="Times New Roman" w:eastAsia="Times New Roman" w:hAnsi="Times New Roman"/>
          <w:sz w:val="22"/>
          <w:szCs w:val="22"/>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SOFR Loan, Term CORRA Loan or BBSY Rate Loan, the last day of the Interest Period applicable to the Borrowing of which such Loan is a part and the earlier of the Maturity Date and the date on which the applicable Commitment shall expire or be terminated as provided herein, and in the case of a SOFR Borrowing, Term CORRA Borrowing or BBSY Rate Borrowing with an Interest Period of more than three months’ duration, each day that would have been an Interest Payment Date had successive Interest Periods of three months’ duration been applicable to such Borrowing.</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shall mean, (i) with respect to any SOFR Loan or BBSY Rate Borrowing, the period commencing on the date of such Borrowing and ending on the numerically corresponding day (or, if there is no numerically corresponding day, on the last day) in the calendar month that is 1, 3 or 6 months thereafter (or a shorter period, in each case if requested by the Applicable Borrower and consented to by all Applicable Lenders (including consent by verbal or electronic communication (e-mail)),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Lender that has not responded to such request within three Business Days shall be deemed to have consented), as a Borrower may elect and (ii) with respect to each Term CORRA Loan, the initial period (subject to availability) of one (1) month, three (3) months or such other period as the Canadian Administrative Agent and the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Lenders permit commencing on and including the date specified in the Borrowing Request or Conversion/Continuation Notice is made, as the case may be, applicable to such Term CORRA Loan and ending on the last day of such initial period, and thereafter, each successive period (subject to availability) of approximately one (1) month or three (3) months or such other permitted period as selected by the Applicable Borrower and notified to the Canadian Administrative Agent in writing commencing on and including the last day of the prior Interest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and no tenor that has been removed from this definition pursuant to Section 2.26 shall be available for specification in a Borrowing Request or interest election.</w:t>
      </w: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70" w:name="page71"/>
    <w:bookmarkEnd w:id="70"/>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Interpolated Term SOFR</w:t>
      </w:r>
      <w:r>
        <w:rPr>
          <w:rFonts w:ascii="Times New Roman" w:cs="Times New Roman" w:eastAsia="Times New Roman" w:hAnsi="Times New Roman"/>
          <w:sz w:val="22"/>
          <w:szCs w:val="22"/>
          <w:color w:val="auto"/>
        </w:rPr>
        <w:t>” means, for purposes of any calculation of Term SOFR for a SOFR Loan, the rate which results from interpolating on a linear basis between:</w:t>
      </w:r>
    </w:p>
    <w:p>
      <w:pPr>
        <w:spacing w:after="0" w:line="153" w:lineRule="exact"/>
        <w:rPr>
          <w:sz w:val="20"/>
          <w:szCs w:val="20"/>
          <w:color w:val="auto"/>
        </w:rPr>
      </w:pPr>
    </w:p>
    <w:p>
      <w:pPr>
        <w:jc w:val="both"/>
        <w:ind w:firstLine="656"/>
        <w:spacing w:after="0" w:line="256" w:lineRule="auto"/>
        <w:tabs>
          <w:tab w:leader="none" w:pos="97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for any Interest Period for a duration longer than one-month (other than three-months, sixth-months or twelve-months), the most recent applicable Term SOFR (determined pursuant to clause (a) of the definition thereof) for the longest period (for which Term SOFR is available) which is less than the Interest Period of that Loan and (ii) for any Interest Period of for a duration of less than one-month, SOFR as of such date of determination; and</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97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most recent applicable Term SOFR (determined pursuant to clause (a) of the definition thereof) for the shortest period (for which Term SOFR is available) which is greater than the Interest Period of that Loan.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w:t>
      </w:r>
      <w:r>
        <w:rPr>
          <w:rFonts w:ascii="Times New Roman" w:cs="Times New Roman" w:eastAsia="Times New Roman" w:hAnsi="Times New Roman"/>
          <w:sz w:val="22"/>
          <w:szCs w:val="22"/>
          <w:color w:val="auto"/>
        </w:rPr>
        <w:t>” shall have the meaning assigned to such term in Section 6.04.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shall mean the United States Internal Revenue Service.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Bank</w:t>
      </w:r>
      <w:r>
        <w:rPr>
          <w:rFonts w:ascii="Times New Roman" w:cs="Times New Roman" w:eastAsia="Times New Roman" w:hAnsi="Times New Roman"/>
          <w:sz w:val="22"/>
          <w:szCs w:val="22"/>
          <w:color w:val="auto"/>
        </w:rPr>
        <w:t xml:space="preserve">” shall mean, as the context may require, (a) RBC, with respect to Letters of Credit issued by it, (b) </w:t>
      </w:r>
      <w:r>
        <w:rPr>
          <w:rFonts w:ascii="Times New Roman" w:cs="Times New Roman" w:eastAsia="Times New Roman" w:hAnsi="Times New Roman"/>
          <w:sz w:val="22"/>
          <w:szCs w:val="22"/>
          <w:color w:val="FF0000"/>
          <w:strike w:val="1"/>
        </w:rPr>
        <w:t>RBC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Europe, with respect to Letters of Credit issued by it, (c) The Toronto Dominion Bank, with respect to Letters of Credit issued by it, (d)</w:t>
      </w:r>
      <w:r>
        <w:rPr>
          <w:rFonts w:ascii="Times New Roman" w:cs="Times New Roman" w:eastAsia="Times New Roman" w:hAnsi="Times New Roman"/>
          <w:sz w:val="22"/>
          <w:szCs w:val="22"/>
          <w:u w:val="single" w:color="auto"/>
          <w:color w:val="0000FF"/>
          <w:highlight w:val="lightGray"/>
          <w:strike w:val="1"/>
        </w:rPr>
        <w:t>[reserved], (c)</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with respect to each Rolled Letter of Credit, the Lender that issued such Rolled Letter of Credit and (</w:t>
      </w:r>
      <w:r>
        <w:rPr>
          <w:rFonts w:ascii="Times New Roman" w:cs="Times New Roman" w:eastAsia="Times New Roman" w:hAnsi="Times New Roman"/>
          <w:sz w:val="22"/>
          <w:szCs w:val="22"/>
          <w:color w:val="FF0000"/>
          <w:strike w:val="1"/>
        </w:rPr>
        <w:t>e</w:t>
      </w:r>
      <w:r>
        <w:rPr>
          <w:rFonts w:ascii="Times New Roman" w:cs="Times New Roman" w:eastAsia="Times New Roman" w:hAnsi="Times New Roman"/>
          <w:sz w:val="22"/>
          <w:szCs w:val="22"/>
          <w:u w:val="single" w:color="auto"/>
          <w:color w:val="0000FF"/>
          <w:highlight w:val="lightGray"/>
          <w:strike w:val="1"/>
        </w:rPr>
        <w:t>d</w:t>
      </w:r>
      <w:r>
        <w:rPr>
          <w:rFonts w:ascii="Times New Roman" w:cs="Times New Roman" w:eastAsia="Times New Roman" w:hAnsi="Times New Roman"/>
          <w:sz w:val="22"/>
          <w:szCs w:val="22"/>
          <w:color w:val="000000"/>
          <w:strike w:val="1"/>
        </w:rPr>
        <w:t>) any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other Lender that may become an Issuing Bank pursuant to Section 2.21(j) or (l) with respect to Letters of Credit issued by such Lender, or (</w:t>
      </w:r>
      <w:r>
        <w:rPr>
          <w:rFonts w:ascii="Times New Roman" w:cs="Times New Roman" w:eastAsia="Times New Roman" w:hAnsi="Times New Roman"/>
          <w:sz w:val="22"/>
          <w:szCs w:val="22"/>
          <w:color w:val="FF0000"/>
          <w:strike w:val="1"/>
        </w:rPr>
        <w:t>f</w:t>
      </w:r>
      <w:r>
        <w:rPr>
          <w:rFonts w:ascii="Times New Roman" w:cs="Times New Roman" w:eastAsia="Times New Roman" w:hAnsi="Times New Roman"/>
          <w:sz w:val="22"/>
          <w:szCs w:val="22"/>
          <w:u w:val="single" w:color="auto"/>
          <w:color w:val="0000FF"/>
          <w:highlight w:val="lightGray"/>
          <w:strike w:val="1"/>
        </w:rPr>
        <w:t>e</w:t>
      </w:r>
      <w:r>
        <w:rPr>
          <w:rFonts w:ascii="Times New Roman" w:cs="Times New Roman" w:eastAsia="Times New Roman" w:hAnsi="Times New Roman"/>
          <w:sz w:val="22"/>
          <w:szCs w:val="22"/>
          <w:color w:val="000000"/>
          <w:strike w:val="1"/>
        </w:rPr>
        <w:t>)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Bank Fees</w:t>
      </w:r>
      <w:r>
        <w:rPr>
          <w:rFonts w:ascii="Times New Roman" w:cs="Times New Roman" w:eastAsia="Times New Roman" w:hAnsi="Times New Roman"/>
          <w:sz w:val="22"/>
          <w:szCs w:val="22"/>
          <w:color w:val="auto"/>
        </w:rPr>
        <w:t>” shall have the meaning assigned to such term in Section 2.05(c).</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ITA</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as amended, and any successor thereto, and any regulations promulgated thereunder.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Judgment Currency</w:t>
      </w:r>
      <w:r>
        <w:rPr>
          <w:rFonts w:ascii="Times New Roman" w:cs="Times New Roman" w:eastAsia="Times New Roman" w:hAnsi="Times New Roman"/>
          <w:sz w:val="22"/>
          <w:szCs w:val="22"/>
          <w:color w:val="auto"/>
        </w:rPr>
        <w:t>” shall have the meaning assigned to such term in Section 9.17.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Judgment Currency Conversion Date</w:t>
      </w:r>
      <w:r>
        <w:rPr>
          <w:rFonts w:ascii="Times New Roman" w:cs="Times New Roman" w:eastAsia="Times New Roman" w:hAnsi="Times New Roman"/>
          <w:sz w:val="22"/>
          <w:szCs w:val="22"/>
          <w:color w:val="auto"/>
        </w:rPr>
        <w:t>” shall have the meaning assigned to such term in Section 9.17.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Cash Collateral Account</w:t>
      </w:r>
      <w:r>
        <w:rPr>
          <w:rFonts w:ascii="Times New Roman" w:cs="Times New Roman" w:eastAsia="Times New Roman" w:hAnsi="Times New Roman"/>
          <w:sz w:val="22"/>
          <w:szCs w:val="22"/>
          <w:color w:val="auto"/>
        </w:rPr>
        <w:t>” shall have the meaning assigned to such term in Section 2.21(k).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Commitment</w:t>
      </w:r>
      <w:r>
        <w:rPr>
          <w:rFonts w:ascii="Times New Roman" w:cs="Times New Roman" w:eastAsia="Times New Roman" w:hAnsi="Times New Roman"/>
          <w:sz w:val="21"/>
          <w:szCs w:val="21"/>
          <w:color w:val="auto"/>
        </w:rPr>
        <w:t>” shall mean the commitment of each Issuing Bank to issue Letters of Credit pursuant to Section 2.21.</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shall mean a payment or disbursement made by an Issuing Bank pursuant to a Letter of Credit.</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shall mean Australian L/C Exposure, Canadian L/C Exposure or U.S. L/C Exposure, as applicable.</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Issuance Limit</w:t>
      </w:r>
      <w:r>
        <w:rPr>
          <w:rFonts w:ascii="Times New Roman" w:cs="Times New Roman" w:eastAsia="Times New Roman" w:hAnsi="Times New Roman"/>
          <w:sz w:val="22"/>
          <w:szCs w:val="22"/>
          <w:color w:val="auto"/>
        </w:rPr>
        <w:t>” shall mean, with respect to each Applicable Issuing Bank, the amount set forth on Schedule 2.21 opposite such Applicable Issuing Bank’s name, or in the case of any Lender that becomes an Applicable Issuing Bank after the Closing Date the amount set forth in the agreement executed by such Lender as contemplated by Section 2.21(l).</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Participation Fee</w:t>
      </w:r>
      <w:r>
        <w:rPr>
          <w:rFonts w:ascii="Times New Roman" w:cs="Times New Roman" w:eastAsia="Times New Roman" w:hAnsi="Times New Roman"/>
          <w:sz w:val="22"/>
          <w:szCs w:val="22"/>
          <w:color w:val="auto"/>
        </w:rPr>
        <w:t>” shall have the meaning assigned to such term in Section 2.05(c).</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Lead Arranger</w:t>
      </w:r>
      <w:r>
        <w:rPr>
          <w:rFonts w:ascii="Times New Roman" w:cs="Times New Roman" w:eastAsia="Times New Roman" w:hAnsi="Times New Roman"/>
          <w:sz w:val="22"/>
          <w:szCs w:val="22"/>
          <w:color w:val="auto"/>
        </w:rPr>
        <w:t xml:space="preserve">” shall, collectively, mean RBC Capital Markets, </w:t>
      </w:r>
      <w:r>
        <w:rPr>
          <w:rFonts w:ascii="Times New Roman" w:cs="Times New Roman" w:eastAsia="Times New Roman" w:hAnsi="Times New Roman"/>
          <w:sz w:val="22"/>
          <w:szCs w:val="22"/>
          <w:color w:val="FF0000"/>
          <w:strike w:val="1"/>
        </w:rPr>
        <w:t>HSBC</w:t>
      </w:r>
      <w:r>
        <w:rPr>
          <w:rFonts w:ascii="Times New Roman" w:cs="Times New Roman" w:eastAsia="Times New Roman" w:hAnsi="Times New Roman"/>
          <w:sz w:val="22"/>
          <w:szCs w:val="22"/>
          <w:u w:val="single" w:color="auto"/>
          <w:color w:val="0000FF"/>
          <w:highlight w:val="lightGray"/>
        </w:rPr>
        <w:t>The Toronto-Dominion</w:t>
      </w:r>
      <w:r>
        <w:rPr>
          <w:rFonts w:ascii="Times New Roman" w:cs="Times New Roman" w:eastAsia="Times New Roman" w:hAnsi="Times New Roman"/>
          <w:sz w:val="22"/>
          <w:szCs w:val="22"/>
          <w:color w:val="auto"/>
        </w:rPr>
        <w:t xml:space="preserve"> Bank </w:t>
      </w:r>
      <w:r>
        <w:rPr>
          <w:rFonts w:ascii="Times New Roman" w:cs="Times New Roman" w:eastAsia="Times New Roman" w:hAnsi="Times New Roman"/>
          <w:sz w:val="22"/>
          <w:szCs w:val="22"/>
          <w:color w:val="FF0000"/>
          <w:strike w:val="1"/>
        </w:rPr>
        <w:t>Canada</w:t>
      </w:r>
      <w:r>
        <w:rPr>
          <w:rFonts w:ascii="Times New Roman" w:cs="Times New Roman" w:eastAsia="Times New Roman" w:hAnsi="Times New Roman"/>
          <w:sz w:val="22"/>
          <w:szCs w:val="22"/>
          <w:color w:val="auto"/>
        </w:rPr>
        <w:t xml:space="preserve"> and Bank of Montreal.</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 Joinder Agreement</w:t>
      </w:r>
      <w:r>
        <w:rPr>
          <w:rFonts w:ascii="Times New Roman" w:cs="Times New Roman" w:eastAsia="Times New Roman" w:hAnsi="Times New Roman"/>
          <w:sz w:val="22"/>
          <w:szCs w:val="22"/>
          <w:color w:val="auto"/>
        </w:rPr>
        <w:t>” shall mean a joinder agreement in form and substance reasonably satisfactory to the Applicable Administrative Agent delivered in connection with Section 2.25.</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w:t>
      </w:r>
      <w:r>
        <w:rPr>
          <w:rFonts w:ascii="Times New Roman" w:cs="Times New Roman" w:eastAsia="Times New Roman" w:hAnsi="Times New Roman"/>
          <w:sz w:val="22"/>
          <w:szCs w:val="22"/>
          <w:color w:val="auto"/>
        </w:rPr>
        <w:t>” shall mean any standby or commercial letter of credit issued (or, in the case of a Rolled Letter of Credit, deemed issued) pursuant to Section 2.21. A Letter of Credit shall be a “U.S. Letter of Credit” if issued under the U.S. Revolving Credit Facility, a “Canadian Letter of Credit” if issued under the Canadian Revolving Credit Facility and an “Australian Letter of Credit” issued under the Australian Revolving Credit Facility; provided that no commercial letter of credit shall be issued under the Australian Revolving Credit Facility.</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Application</w:t>
      </w:r>
      <w:r>
        <w:rPr>
          <w:rFonts w:ascii="Times New Roman" w:cs="Times New Roman" w:eastAsia="Times New Roman" w:hAnsi="Times New Roman"/>
          <w:sz w:val="22"/>
          <w:szCs w:val="22"/>
          <w:color w:val="auto"/>
        </w:rPr>
        <w:t>” shall mean an application and agreement for the issuance, amendment or extension of a Letter of Credit in the form from time to time in use by an Issuing Bank.</w:t>
      </w:r>
    </w:p>
    <w:p>
      <w:pPr>
        <w:spacing w:after="0" w:line="163"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Documents</w:t>
      </w:r>
      <w:r>
        <w:rPr>
          <w:rFonts w:ascii="Times New Roman" w:cs="Times New Roman" w:eastAsia="Times New Roman" w:hAnsi="Times New Roman"/>
          <w:sz w:val="22"/>
          <w:szCs w:val="22"/>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72" w:name="page73"/>
    <w:bookmarkEnd w:id="72"/>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xml:space="preserve">” shall mean, collectively, this Agreement, any Notes, if any, issued pursuant to Section 2.04(h), the Guarantee Agreements, the Security Documents, the Letter of Credit Documents, the Fee Letter, a Customary Junior Lien Intercreditor Agreement, if any, and each other certificate, agreement, instrument or other document executed and delivered, in each case, by or on behalf of any Loan Party pursuant to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Section 9.08, “Loan Documents” shall mean this Agreement, the Guarantee Agreements, the Security Documents and a Customary Junior Lien Intercreditor Agreement, if 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shall mean the Borrowers and the Guarantors.</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xml:space="preserve">” shall mean, collectively, the U.S. Loans, the Canadian Revolving Credit Loans, the </w:t>
      </w:r>
      <w:r>
        <w:rPr>
          <w:rFonts w:ascii="Times New Roman" w:cs="Times New Roman" w:eastAsia="Times New Roman" w:hAnsi="Times New Roman"/>
          <w:sz w:val="22"/>
          <w:szCs w:val="22"/>
          <w:color w:val="FF0000"/>
          <w:strike w:val="1"/>
        </w:rPr>
        <w:t>Canadian Term Loans, the</w:t>
      </w:r>
      <w:r>
        <w:rPr>
          <w:rFonts w:ascii="Times New Roman" w:cs="Times New Roman" w:eastAsia="Times New Roman" w:hAnsi="Times New Roman"/>
          <w:sz w:val="22"/>
          <w:szCs w:val="22"/>
          <w:color w:val="auto"/>
        </w:rPr>
        <w:t xml:space="preserve"> Australian Revolving Credit Loans and the Swing Line Loans.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shall have the meaning assigned to such term in Regulation U.</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shall mean (a) a materially adverse effect on the business, assets, operations or condition (financial or otherwise) of the Parent Borrower and its subsidiaries, taken as a whole, (b) material impairment of the ability of any Borrower or any other Loan Party to perform any of its obligations under any Loan Document to which it is or will be a party or (c) material impairment of the rights of or benefits available to the Lenders and the Agents under any Loan Document.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Subsidiary</w:t>
      </w:r>
      <w:r>
        <w:rPr>
          <w:rFonts w:ascii="Times New Roman" w:cs="Times New Roman" w:eastAsia="Times New Roman" w:hAnsi="Times New Roman"/>
          <w:sz w:val="22"/>
          <w:szCs w:val="22"/>
          <w:color w:val="auto"/>
        </w:rPr>
        <w:t xml:space="preserve">” shall mean any Subsidiary (other than an Excluded Subsidiary) of the Parent Borrower that, as of the most recent date for which financial statements required to be delivered pursuant to Sections 5.04(a) or (b) are available, has either (a) net tangible assets (excluding assets that are eliminated in the calculation of consolidated net tangible assets of the Parent Borrower and its subsidiaries) that constitute more than 5% of the consolidated net tangible assets of the Parent Borrower and its subsidiaries or (b) EBITDA greater than 5% of the total EBITDA of the Parent Borrower and its subsidiaries on consolidated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(i) the combined net tangible assets of the Subsidiaries that are not considered to be Material Subsidiaries (referred to herein as the “</w:t>
      </w:r>
      <w:r>
        <w:rPr>
          <w:rFonts w:ascii="Times New Roman" w:cs="Times New Roman" w:eastAsia="Times New Roman" w:hAnsi="Times New Roman"/>
          <w:sz w:val="22"/>
          <w:szCs w:val="22"/>
          <w:i w:val="1"/>
          <w:iCs w:val="1"/>
          <w:color w:val="auto"/>
        </w:rPr>
        <w:t>Immaterial Subsidiaries</w:t>
      </w:r>
      <w:r>
        <w:rPr>
          <w:rFonts w:ascii="Times New Roman" w:cs="Times New Roman" w:eastAsia="Times New Roman" w:hAnsi="Times New Roman"/>
          <w:sz w:val="22"/>
          <w:szCs w:val="22"/>
          <w:color w:val="auto"/>
        </w:rPr>
        <w:t>”) exceeds 15% of consolidated net tangible assets of the Parent Borrower and its subsidiaries, or (ii) the combined EBITDA of the Immaterial Subsidiaries exceeds 15% of the total EBITDA of the Parent Borrower and its subsidiaries on consolidated basis, then one or more of such Immaterial Subsidiaries shall be deemed to be Material Subsidiaries in descending order based on the respective percentage of consolidated net tangible assets or percentage of the total EBITDA of the Parent Borrower and</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73" w:name="page74"/>
    <w:bookmarkEnd w:id="73"/>
    <w:p>
      <w:pPr>
        <w:jc w:val="both"/>
        <w:spacing w:after="0" w:line="271" w:lineRule="auto"/>
        <w:rPr>
          <w:sz w:val="20"/>
          <w:szCs w:val="20"/>
          <w:color w:val="auto"/>
        </w:rPr>
      </w:pPr>
      <w:r>
        <w:rPr>
          <w:rFonts w:ascii="Times New Roman" w:cs="Times New Roman" w:eastAsia="Times New Roman" w:hAnsi="Times New Roman"/>
          <w:sz w:val="22"/>
          <w:szCs w:val="22"/>
          <w:color w:val="auto"/>
        </w:rPr>
        <w:t>its subsidiaries on consolidated basis until such excess shall have been eliminated. Each Material Subsidiary listed on Schedules 1.01(b), 1.01(c) and 1.01(d) is a Guarantor as of the Closing Date.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Maturity Date</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22"/>
          <w:szCs w:val="22"/>
          <w:color w:val="FF0000"/>
          <w:strike w:val="1"/>
        </w:rPr>
        <w:t>September</w:t>
      </w:r>
      <w:r>
        <w:rPr>
          <w:rFonts w:ascii="Times New Roman" w:cs="Times New Roman" w:eastAsia="Times New Roman" w:hAnsi="Times New Roman"/>
          <w:sz w:val="22"/>
          <w:szCs w:val="22"/>
          <w:u w:val="single" w:color="auto"/>
          <w:color w:val="0000FF"/>
          <w:highlight w:val="lightGray"/>
        </w:rPr>
        <w:t>August</w:t>
      </w:r>
      <w:r>
        <w:rPr>
          <w:rFonts w:ascii="Times New Roman" w:cs="Times New Roman" w:eastAsia="Times New Roman" w:hAnsi="Times New Roman"/>
          <w:sz w:val="22"/>
          <w:szCs w:val="22"/>
          <w:color w:val="auto"/>
        </w:rPr>
        <w:t xml:space="preserve"> 8, </w:t>
      </w:r>
      <w:r>
        <w:rPr>
          <w:rFonts w:ascii="Times New Roman" w:cs="Times New Roman" w:eastAsia="Times New Roman" w:hAnsi="Times New Roman"/>
          <w:sz w:val="22"/>
          <w:szCs w:val="22"/>
          <w:color w:val="FF0000"/>
          <w:strike w:val="1"/>
        </w:rPr>
        <w:t>2025</w:t>
      </w:r>
      <w:r>
        <w:rPr>
          <w:rFonts w:ascii="Times New Roman" w:cs="Times New Roman" w:eastAsia="Times New Roman" w:hAnsi="Times New Roman"/>
          <w:sz w:val="22"/>
          <w:szCs w:val="22"/>
          <w:u w:val="single" w:color="auto"/>
          <w:color w:val="0000FF"/>
          <w:highlight w:val="lightGray"/>
        </w:rPr>
        <w:t>2028</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Maximum Rate</w:t>
      </w:r>
      <w:r>
        <w:rPr>
          <w:rFonts w:ascii="Times New Roman" w:cs="Times New Roman" w:eastAsia="Times New Roman" w:hAnsi="Times New Roman"/>
          <w:sz w:val="22"/>
          <w:szCs w:val="22"/>
          <w:color w:val="auto"/>
        </w:rPr>
        <w:t>” shall have the meaning assigned to such term in Section 9.09.</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shall mean Moody’s Investors Service, Inc. and any successor thereto which is a nationally recognized statistical rating organization.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Multiemployer Plan</w:t>
      </w:r>
      <w:r>
        <w:rPr>
          <w:rFonts w:ascii="Times New Roman" w:cs="Times New Roman" w:eastAsia="Times New Roman" w:hAnsi="Times New Roman"/>
          <w:sz w:val="22"/>
          <w:szCs w:val="22"/>
          <w:color w:val="auto"/>
        </w:rPr>
        <w:t>” shall mean a multiemployer plan as defined in Section 4001(a)(3) of ERISA.</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Net Cash Proceeds</w:t>
      </w:r>
      <w:r>
        <w:rPr>
          <w:rFonts w:ascii="Times New Roman" w:cs="Times New Roman" w:eastAsia="Times New Roman" w:hAnsi="Times New Roman"/>
          <w:sz w:val="22"/>
          <w:szCs w:val="22"/>
          <w:color w:val="FF0000"/>
          <w:strike w:val="1"/>
        </w:rPr>
        <w:t xml:space="preserve">” shall mean, as applicable, (a) with respect to any Asset Sale, the cash (which term, for purposes of this definition, shall include any Permitted Investments, deferred payment pursuant to, or by monetization of, a note receivable or otherwise, but only as and when received) proceeds received by the Parent Borrower or any of its Subsidiaries therefrom, less the sum of (i) all income taxes and other taxes payable (or reasonably estimated to be payable) to a Governmental Authority as a result of such transaction, (ii) all reasonable and customary out-of-pocket fees (including, without limitation, legal, accounting and advisory fees, and sales commissions) and expenses incurred in connection with such transaction or event, (iii) the principal amount of, premium or penalty, if any, and interest on any Indebtedness secured by a Lien on the asset (or a portion thereof) disposed of, which Indebtedness is required to be repaid in connection with such transaction or event (other than pursuant to Section 2.12), (iv) any amounts paid in respect of Hedging Agreement terminated as a result of the payment of Indebtedness under clause (iii), (v) all distributions and other payments required to be made to minority interest holders in Subsidiaries or joint ventures or to holders of royalty or similar interests as a result of such Asset Sale and (vi) the amount of any reserves established by the Parent Borrower or any of its subsidiaries in accordance with GAAP or other applicable accounting principles,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that to the extent any such Net Cash Proceeds received by any Foreign Subsidiary may not be distributed as a cash dividend or a similar cash distribution to a Loan Party without the Parent Borrower and its Subsidiaries incurring adverse tax consequences, as reasonably determined by the Parent Borrower, such proceeds shall, so long as no Event of Default shall have occurred and be continuing at the time of the receipt thereof, not constitute “Net Cash Proceeds” and (b) with respect to any issuance or incurrence of Indebtedness, the cash proceeds thereof, net of all customary fees, commissions, costs and other expenses incurred in connection therewith and, in respect of any Indebtedness that is incurred to refinance or replace any existing Indebtedness, the amount thereof that is used to effect such refinancing or replacement.</w:t>
      </w:r>
    </w:p>
    <w:p>
      <w:pPr>
        <w:spacing w:after="0" w:line="1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Non-Consenting Lender</w:t>
      </w:r>
      <w:r>
        <w:rPr>
          <w:rFonts w:ascii="Times New Roman" w:cs="Times New Roman" w:eastAsia="Times New Roman" w:hAnsi="Times New Roman"/>
          <w:sz w:val="22"/>
          <w:szCs w:val="22"/>
          <w:color w:val="auto"/>
        </w:rPr>
        <w:t>” shall mean any Lender that does not approve any proposed consent, waiver, amendment, modification or termination with respect to any provision hereof or any other Loan Document that (i) requires the approval of all Lenders or all affected Lenders in</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accordance with the terms of Section 9.08 and (ii) has been approved by the Applicable Required Lenders.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each Lender that is not a Defaulting Lender at such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shall have the meaning assigned to such term in Section 2.04(h).</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Obligations</w:t>
      </w:r>
      <w:r>
        <w:rPr>
          <w:rFonts w:ascii="Times New Roman" w:cs="Times New Roman" w:eastAsia="Times New Roman" w:hAnsi="Times New Roman"/>
          <w:sz w:val="21"/>
          <w:szCs w:val="21"/>
          <w:color w:val="auto"/>
        </w:rPr>
        <w:t>” shall mean (a) the due and punctual payment by each of the Loan Parties of (i)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Loan Parties under this Agreement or any other Loan Document in respect of any Letter of Credit, when and as due, including payments in respect of reimbursement of disbursements, interest thereon and obligations to provide cash collateral and (iii)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Secured Parties under this Agreement and the other Loan Documents, (b) the due and punctual performance of all covenants, agreements, obligations and liabilities of the Loan Parties under or pursuant to this Agreement and the other Loan Documents, (c) the due and punctual payment and performance of all obligations of the Loan Parties, monetary or otherwise, under each Hedging Agreement entered into with a counterparty that was a Lender (or an affiliate of a Lender) at the time such Hedging Agreement was entered into, (d) the due and punctual performance of all Banking Services Obligations provided to the Borrowers or any Subsidiary by any Lender or any Affiliate of a Lender and (e) the due and punctual payment and performance of all Bilateral Obligations. Notwithstanding anything to the contrary contained herein, “Obligations” shall not include the Excluded Swap Obligations.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shall mean the Office of Foreign Assets Control of the U.S. Department of the Treasury.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Offshore Associate</w:t>
      </w:r>
      <w:r>
        <w:rPr>
          <w:rFonts w:ascii="Times New Roman" w:cs="Times New Roman" w:eastAsia="Times New Roman" w:hAnsi="Times New Roman"/>
          <w:sz w:val="22"/>
          <w:szCs w:val="22"/>
          <w:color w:val="auto"/>
        </w:rPr>
        <w:t>” shall mean an Associate:</w:t>
      </w:r>
    </w:p>
    <w:p>
      <w:pPr>
        <w:spacing w:after="0" w:line="224" w:lineRule="exact"/>
        <w:rPr>
          <w:sz w:val="20"/>
          <w:szCs w:val="20"/>
          <w:color w:val="auto"/>
        </w:rPr>
      </w:pPr>
    </w:p>
    <w:p>
      <w:pPr>
        <w:ind w:right="20" w:firstLine="1304"/>
        <w:spacing w:after="0" w:line="271" w:lineRule="auto"/>
        <w:tabs>
          <w:tab w:leader="none" w:pos="18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 non-resident of Australia and does not become a Lender or receive a payment in carrying on a business in Australia at or through a permanent establishment of the Associate in Australia; or</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77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 resident of Australia and which becomes a Lender or receives a payment in carrying on a business in a country outside Australia at or through a permanent establishment of the Associate in that country,</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and, in either case, which does not become a Lender and receive payment in the capacity of a clearing house, custodian, funds manager or responsible entity of a registered scheme (with</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each such term having the meaning given for the purposes of section 128F of the Australian Tax Act).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Indebtedness</w:t>
      </w:r>
      <w:r>
        <w:rPr>
          <w:rFonts w:ascii="Times New Roman" w:cs="Times New Roman" w:eastAsia="Times New Roman" w:hAnsi="Times New Roman"/>
          <w:sz w:val="22"/>
          <w:szCs w:val="22"/>
          <w:color w:val="auto"/>
        </w:rPr>
        <w:t>” shall have the meaning set forth in the definition of Permitted Refinancing Indebtedness.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Connection Taxes</w:t>
      </w:r>
      <w:r>
        <w:rPr>
          <w:rFonts w:ascii="Times New Roman" w:cs="Times New Roman" w:eastAsia="Times New Roman" w:hAnsi="Times New Roman"/>
          <w:sz w:val="22"/>
          <w:szCs w:val="22"/>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Taxes</w:t>
      </w:r>
      <w:r>
        <w:rPr>
          <w:rFonts w:ascii="Times New Roman" w:cs="Times New Roman" w:eastAsia="Times New Roman" w:hAnsi="Times New Roman"/>
          <w:sz w:val="22"/>
          <w:szCs w:val="22"/>
          <w:color w:val="auto"/>
        </w:rPr>
        <w:t>”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Borrower</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shall have the meaning assigned to such term in Section 9.04(d).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shall have the meaning assigned to such term in Section 9.04(d).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shall have the meaning assigned to such term in Section 9.21.</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Notice</w:t>
      </w:r>
      <w:r>
        <w:rPr>
          <w:rFonts w:ascii="Times New Roman" w:cs="Times New Roman" w:eastAsia="Times New Roman" w:hAnsi="Times New Roman"/>
          <w:sz w:val="22"/>
          <w:szCs w:val="22"/>
          <w:color w:val="auto"/>
        </w:rPr>
        <w:t>” has the meaning assigned to it in Section 8.13(a).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has the meaning assigned to it in Section 8.13(a).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PBGC</w:t>
      </w:r>
      <w:r>
        <w:rPr>
          <w:rFonts w:ascii="Times New Roman" w:cs="Times New Roman" w:eastAsia="Times New Roman" w:hAnsi="Times New Roman"/>
          <w:sz w:val="22"/>
          <w:szCs w:val="22"/>
          <w:color w:val="auto"/>
        </w:rPr>
        <w:t>” shall mean the Pension Benefit Guaranty Corporation referred to and defined in ERISA.</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Pension Funding Rules</w:t>
      </w:r>
      <w:r>
        <w:rPr>
          <w:rFonts w:ascii="Times New Roman" w:cs="Times New Roman" w:eastAsia="Times New Roman" w:hAnsi="Times New Roman"/>
          <w:sz w:val="22"/>
          <w:szCs w:val="22"/>
          <w:color w:val="auto"/>
        </w:rPr>
        <w:t>” shall mean the rules of the Code and ERISA regarding minimum required contributions (including any installment payment thereof) to Plans and set forth in Section 412, 430, 431, 432 and 436 of the Code and Sections 302, 303, 304 and 305 of ERISA.</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Term CORRA Determination Day</w:t>
      </w:r>
      <w:r>
        <w:rPr>
          <w:rFonts w:ascii="Times New Roman" w:cs="Times New Roman" w:eastAsia="Times New Roman" w:hAnsi="Times New Roman"/>
          <w:sz w:val="22"/>
          <w:szCs w:val="22"/>
          <w:color w:val="auto"/>
        </w:rPr>
        <w:t>” shall have the meaning assigned to it under the definition of “</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CORRA</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Acquisition</w:t>
      </w:r>
      <w:r>
        <w:rPr>
          <w:rFonts w:ascii="Times New Roman" w:cs="Times New Roman" w:eastAsia="Times New Roman" w:hAnsi="Times New Roman"/>
          <w:sz w:val="22"/>
          <w:szCs w:val="22"/>
          <w:color w:val="auto"/>
        </w:rPr>
        <w:t>” shall mean any acquisition meeting all the criteria of either Section 6.04(i) or Section 6.04(m).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Investments</w:t>
      </w:r>
      <w:r>
        <w:rPr>
          <w:rFonts w:ascii="Times New Roman" w:cs="Times New Roman" w:eastAsia="Times New Roman" w:hAnsi="Times New Roman"/>
          <w:sz w:val="22"/>
          <w:szCs w:val="22"/>
          <w:color w:val="auto"/>
        </w:rPr>
        <w:t>” shall mean:</w:t>
      </w:r>
    </w:p>
    <w:p>
      <w:pPr>
        <w:spacing w:after="0" w:line="3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76" w:name="page77"/>
    <w:bookmarkEnd w:id="76"/>
    <w:p>
      <w:pPr>
        <w:jc w:val="both"/>
        <w:ind w:firstLine="1304"/>
        <w:spacing w:after="0" w:line="253" w:lineRule="auto"/>
        <w:tabs>
          <w:tab w:leader="none" w:pos="177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18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7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65" w:lineRule="exact"/>
        <w:rPr>
          <w:rFonts w:ascii="Times New Roman" w:cs="Times New Roman" w:eastAsia="Times New Roman" w:hAnsi="Times New Roman"/>
          <w:sz w:val="21"/>
          <w:szCs w:val="21"/>
          <w:color w:val="auto"/>
        </w:rPr>
      </w:pPr>
    </w:p>
    <w:p>
      <w:pPr>
        <w:ind w:firstLine="1304"/>
        <w:spacing w:after="0" w:line="284" w:lineRule="auto"/>
        <w:tabs>
          <w:tab w:leader="none" w:pos="18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of clause (c) above; and</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75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short-term investments utilized by Foreign Subsidiaries in accordance with normal investment practices for cash management in investments of a type analogous to the foregoing.</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shall mean Liens permitted by Section 6.02.</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Refinancing Indebtedness</w:t>
      </w:r>
      <w:r>
        <w:rPr>
          <w:rFonts w:ascii="Times New Roman" w:cs="Times New Roman" w:eastAsia="Times New Roman" w:hAnsi="Times New Roman"/>
          <w:sz w:val="21"/>
          <w:szCs w:val="21"/>
          <w:color w:val="auto"/>
        </w:rPr>
        <w:t>” shall mean with respect to any Indebtedness of any Person (the “</w:t>
      </w:r>
      <w:r>
        <w:rPr>
          <w:rFonts w:ascii="Times New Roman" w:cs="Times New Roman" w:eastAsia="Times New Roman" w:hAnsi="Times New Roman"/>
          <w:sz w:val="21"/>
          <w:szCs w:val="21"/>
          <w:i w:val="1"/>
          <w:iCs w:val="1"/>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any modification, refinancing, refunding, replacement, renewal or extension of such Original Indebtedness,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whole or in part;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no Person that is not an obligor or guarantor with respect to the Original Indebtedness shall be an obligor or guarantor with respect to such Permitted Refinancing Indebtedness, (ii) the final maturity and Weighted Average Life to Maturity of such Permitted Refinancing Indebtedness shall be no shorter than the Original Indebtedness as a result of such modification, refinancing, refunding, replacement, renewal or extension, (iii) the mandatory prepayment and redemption terms, covenants and events of default of such Permitted Refinancing Indebtedness are either (x) not materially more favorable (taken as a whole, as conclusively determined by the Borrower in good faith) to the lenders providing such Permitted Refinancing Indebtedness than those terms (taken as a whole) applicable to the Original Indebtedness (except to the extent such terms apply solely to any period after the Maturity Date or applied for the benefit of the Loans then outstanding) or (y) reflect market terms and conditions at the time of incurrence or issuance, as conclusively determined by the Borrower in good faith, (iv) (x) in the case of any Original Indebtedness consisting of a revolving credit facility, the principal amount does not exceed the</w:t>
      </w: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47" w:lineRule="auto"/>
        <w:rPr>
          <w:sz w:val="20"/>
          <w:szCs w:val="20"/>
          <w:color w:val="auto"/>
        </w:rPr>
      </w:pPr>
      <w:r>
        <w:rPr>
          <w:rFonts w:ascii="Times New Roman" w:cs="Times New Roman" w:eastAsia="Times New Roman" w:hAnsi="Times New Roman"/>
          <w:sz w:val="22"/>
          <w:szCs w:val="22"/>
          <w:color w:val="auto"/>
        </w:rPr>
        <w:t>committed amount in respect of the Original Indebtedness or (y) in each other case, the principal amount (or accreted value, if applicable) thereof does not exceed the principal amount (or accreted value, if applicable) of the Original Indebtedness, except in each case by an amount (such amount, the “</w:t>
      </w:r>
      <w:r>
        <w:rPr>
          <w:rFonts w:ascii="Times New Roman" w:cs="Times New Roman" w:eastAsia="Times New Roman" w:hAnsi="Times New Roman"/>
          <w:sz w:val="22"/>
          <w:szCs w:val="22"/>
          <w:i w:val="1"/>
          <w:iCs w:val="1"/>
          <w:color w:val="auto"/>
        </w:rPr>
        <w:t>Additional Permitted Amount</w:t>
      </w:r>
      <w:r>
        <w:rPr>
          <w:rFonts w:ascii="Times New Roman" w:cs="Times New Roman" w:eastAsia="Times New Roman" w:hAnsi="Times New Roman"/>
          <w:sz w:val="22"/>
          <w:szCs w:val="22"/>
          <w:color w:val="auto"/>
        </w:rPr>
        <w:t xml:space="preserve">”) equal to unpaid accrued interest, fees, and premium (including make-whole premiums, prepayment premiums and amounts required to be paid in connection with defeasance and satisfaction and discharge) thereon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reasonable fees and expenses incurred in connection with such modification, refinancing, refunding, replacement, renewal or extension (including upfront fees and original issue discount), (v) for the avoidance of doubt, the Original Indebtedness is paid down (or, with respect to revolving credit facilities, commitments in respect thereof are reduced (together with, if applicable, payments of principal)) on a dollar-for-dollar basis by such Permitted Refinancing Indebtedness (other than by the Additional Permitted Amount), (vi) if the Original Indebtedness shall have been subordinated to the Obligations, such Permitted Refinancing Indebtedness shall also be subordinated to the Obligations on terms not less favorable in any material respect (taken as a whole) to the Lenders, (vii) such Permitted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(viii) at the time thereof, no Default or Event of Default shall have occurred and be continuing and (ix) if the Original Indebtedness is subject to a Customary Junior Lien Intercreditor Agreement, the trustee, administrative agent, collateral agent, security agent or similar agent under the indenture or agreement pursuant to which such Permitted Refinancing Indebtedness is issued, incurred or otherwise obtained, as the case may be, and each of their successors in such capacities, shall become a party to such Customary Junior Lien Intercreditor Agreement or other Customary Junior Lien Intercreditor Agreement.</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any natural person, corporation, business trust, joint venture, association, company, limited liability company, partnership, Governmental Authority or other entity.</w:t>
      </w:r>
    </w:p>
    <w:p>
      <w:pPr>
        <w:spacing w:after="0" w:line="14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pension benefit plan (other than a Multiemployer Plan) subject to the provisions of Title IV of ERISA or Section 412 of the Code, and in respect of which a U.S. Borrower or any ERISA Affiliate is (or, if such plan were terminated, would under Section 4069 of ERISA be deemed to be) an “employer” as defined in Section 3(5) of ERISA.</w:t>
      </w:r>
    </w:p>
    <w:p>
      <w:pPr>
        <w:spacing w:after="0" w:line="1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 Asset Regulations</w:t>
      </w:r>
      <w:r>
        <w:rPr>
          <w:rFonts w:ascii="Times New Roman" w:cs="Times New Roman" w:eastAsia="Times New Roman" w:hAnsi="Times New Roman"/>
          <w:sz w:val="22"/>
          <w:szCs w:val="22"/>
          <w:color w:val="auto"/>
        </w:rPr>
        <w:t xml:space="preserve">” shall mean 29 CFR § 2510.3-101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modified by Section 3(42) of ERISA, as amended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 shall have the meaning assigned to such term in Section 5.04.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 Agreements</w:t>
      </w:r>
      <w:r>
        <w:rPr>
          <w:rFonts w:ascii="Times New Roman" w:cs="Times New Roman" w:eastAsia="Times New Roman" w:hAnsi="Times New Roman"/>
          <w:sz w:val="22"/>
          <w:szCs w:val="22"/>
          <w:color w:val="auto"/>
        </w:rPr>
        <w:t>” shall mean, collectively, the U.S. Pledge Agreement and the Canadian Pledge Agreement.</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Potential Defaulting Lender</w:t>
      </w:r>
      <w:r>
        <w:rPr>
          <w:rFonts w:ascii="Times New Roman" w:cs="Times New Roman" w:eastAsia="Times New Roman" w:hAnsi="Times New Roman"/>
          <w:sz w:val="22"/>
          <w:szCs w:val="22"/>
          <w:color w:val="auto"/>
        </w:rPr>
        <w:t>” shall mean, at any time, a Lender that has, or whose parent company has, a non-investment grade rating from Moody’s or S&amp;P or another nationally</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71" w:lineRule="auto"/>
        <w:rPr>
          <w:sz w:val="20"/>
          <w:szCs w:val="20"/>
          <w:color w:val="auto"/>
        </w:rPr>
      </w:pPr>
      <w:r>
        <w:rPr>
          <w:rFonts w:ascii="Times New Roman" w:cs="Times New Roman" w:eastAsia="Times New Roman" w:hAnsi="Times New Roman"/>
          <w:sz w:val="22"/>
          <w:szCs w:val="22"/>
          <w:color w:val="auto"/>
        </w:rPr>
        <w:t>recognized rating agency. Any determination that a Lender is a Potential Defaulting Lender will be made by an Administrative Agent in its sole discretion acting in good faith.</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 Law</w:t>
      </w:r>
      <w:r>
        <w:rPr>
          <w:rFonts w:ascii="Times New Roman" w:cs="Times New Roman" w:eastAsia="Times New Roman" w:hAnsi="Times New Roman"/>
          <w:sz w:val="22"/>
          <w:szCs w:val="22"/>
          <w:color w:val="auto"/>
        </w:rPr>
        <w:t>”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 Register</w:t>
      </w:r>
      <w:r>
        <w:rPr>
          <w:rFonts w:ascii="Times New Roman" w:cs="Times New Roman" w:eastAsia="Times New Roman" w:hAnsi="Times New Roman"/>
          <w:sz w:val="22"/>
          <w:szCs w:val="22"/>
          <w:color w:val="auto"/>
        </w:rPr>
        <w:t>” shall mean the Personal Property Securities Register established pursuant to the PPSA (Australia).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 Regulations</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i w:val="1"/>
          <w:iCs w:val="1"/>
          <w:color w:val="auto"/>
        </w:rPr>
        <w:t>Personal Property Securities Regulations 2010</w:t>
      </w:r>
      <w:r>
        <w:rPr>
          <w:rFonts w:ascii="Times New Roman" w:cs="Times New Roman" w:eastAsia="Times New Roman" w:hAnsi="Times New Roman"/>
          <w:sz w:val="22"/>
          <w:szCs w:val="22"/>
          <w:color w:val="auto"/>
        </w:rPr>
        <w:t xml:space="preserve"> (Cth).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PPSA (Alberta)</w:t>
      </w:r>
      <w:r>
        <w:rPr>
          <w:rFonts w:ascii="Times New Roman" w:cs="Times New Roman" w:eastAsia="Times New Roman" w:hAnsi="Times New Roman"/>
          <w:sz w:val="22"/>
          <w:szCs w:val="22"/>
          <w:color w:val="auto"/>
        </w:rPr>
        <w:t>” shall mean the Personal Property Security Act, RSA 2000, c. P-7 (Alberta).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PPSA (Australia)</w:t>
      </w:r>
      <w:r>
        <w:rPr>
          <w:rFonts w:ascii="Times New Roman" w:cs="Times New Roman" w:eastAsia="Times New Roman" w:hAnsi="Times New Roman"/>
          <w:sz w:val="22"/>
          <w:szCs w:val="22"/>
          <w:color w:val="auto"/>
        </w:rPr>
        <w:t xml:space="preserve">” shall mean the Australian </w:t>
      </w:r>
      <w:r>
        <w:rPr>
          <w:rFonts w:ascii="Times New Roman" w:cs="Times New Roman" w:eastAsia="Times New Roman" w:hAnsi="Times New Roman"/>
          <w:sz w:val="22"/>
          <w:szCs w:val="22"/>
          <w:i w:val="1"/>
          <w:iCs w:val="1"/>
          <w:color w:val="auto"/>
        </w:rPr>
        <w:t>Personal Property Securities Act 2009</w:t>
      </w:r>
      <w:r>
        <w:rPr>
          <w:rFonts w:ascii="Times New Roman" w:cs="Times New Roman" w:eastAsia="Times New Roman" w:hAnsi="Times New Roman"/>
          <w:sz w:val="22"/>
          <w:szCs w:val="22"/>
          <w:color w:val="auto"/>
        </w:rPr>
        <w:t xml:space="preserve"> (Cth).</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Prime Rate</w:t>
      </w:r>
      <w:r>
        <w:rPr>
          <w:rFonts w:ascii="Times New Roman" w:cs="Times New Roman" w:eastAsia="Times New Roman" w:hAnsi="Times New Roman"/>
          <w:sz w:val="21"/>
          <w:szCs w:val="21"/>
          <w:color w:val="auto"/>
        </w:rPr>
        <w:t>” shall mean, at any time, the rate of interest per annum publicly announced from time to time by the Person acting as the Administrative Agent as its prime rate in effect at its principal office. The Prime Rate is a reference rate and does not necessarily represent the lowest or best rate actually charged to any customer. The Administrative Agent or any Issuing Bank or Lender may make commercial loans or other loans at rates of interest at, above or below the Prime Rate. Any change in the Prime Rate shall take effect at the opening of business on the day specified in the public announcement of such change.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Proceeding</w:t>
      </w:r>
      <w:r>
        <w:rPr>
          <w:rFonts w:ascii="Times New Roman" w:cs="Times New Roman" w:eastAsia="Times New Roman" w:hAnsi="Times New Roman"/>
          <w:sz w:val="22"/>
          <w:szCs w:val="22"/>
          <w:color w:val="auto"/>
        </w:rPr>
        <w:t>” shall have the meaning assigned to such term in Section 9.05(b).</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PTE</w:t>
      </w:r>
      <w:r>
        <w:rPr>
          <w:rFonts w:ascii="Times New Roman" w:cs="Times New Roman" w:eastAsia="Times New Roman" w:hAnsi="Times New Roman"/>
          <w:sz w:val="22"/>
          <w:szCs w:val="22"/>
          <w:color w:val="auto"/>
        </w:rPr>
        <w:t>” shall mean a prohibited transaction class exemption issued by the U.S. Department of Labor, as any such exemption may be amended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Public Lender</w:t>
      </w:r>
      <w:r>
        <w:rPr>
          <w:rFonts w:ascii="Times New Roman" w:cs="Times New Roman" w:eastAsia="Times New Roman" w:hAnsi="Times New Roman"/>
          <w:sz w:val="22"/>
          <w:szCs w:val="22"/>
          <w:color w:val="auto"/>
        </w:rPr>
        <w:t>” shall have the meaning assigned to such term in Section 5.04.</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QFC</w:t>
      </w:r>
      <w:r>
        <w:rPr>
          <w:rFonts w:ascii="Times New Roman" w:cs="Times New Roman" w:eastAsia="Times New Roman" w:hAnsi="Times New Roman"/>
          <w:sz w:val="22"/>
          <w:szCs w:val="22"/>
          <w:color w:val="auto"/>
        </w:rPr>
        <w:t>” shall have the meaning assigned to the term “qualified financial contract” in, and shall be interpreted in accordance with, 12 U.S.C. 5390(c)(8)(D).</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QFC Credit Support</w:t>
      </w:r>
      <w:r>
        <w:rPr>
          <w:rFonts w:ascii="Times New Roman" w:cs="Times New Roman" w:eastAsia="Times New Roman" w:hAnsi="Times New Roman"/>
          <w:sz w:val="22"/>
          <w:szCs w:val="22"/>
          <w:color w:val="auto"/>
        </w:rPr>
        <w:t>” shall have the meaning provided in Section 9.25.</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ECP Guarantor</w:t>
      </w:r>
      <w:r>
        <w:rPr>
          <w:rFonts w:ascii="Times New Roman" w:cs="Times New Roman" w:eastAsia="Times New Roman" w:hAnsi="Times New Roman"/>
          <w:sz w:val="22"/>
          <w:szCs w:val="22"/>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79" w:name="page80"/>
    <w:bookmarkEnd w:id="79"/>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Qualified Offering</w:t>
      </w:r>
      <w:r>
        <w:rPr>
          <w:rFonts w:ascii="Times New Roman" w:cs="Times New Roman" w:eastAsia="Times New Roman" w:hAnsi="Times New Roman"/>
          <w:sz w:val="21"/>
          <w:szCs w:val="21"/>
          <w:color w:val="auto"/>
        </w:rPr>
        <w:t xml:space="preserve">” shall mean Indebtedness issued by the Parent Borrower and guarantees thereof by any other Loan Party;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as of the date of issuance, (i) such Indebtedness (a) is unsecured or (b) is secured by a Lien on the Collateral that is junior in priority to the Lien securing the Obligations hereunder and is subject to a Customary Junior Lien Intercreditor Agreement and is not secured by any property or assets other than the Collateral, (ii) the Parent Borrower would be in compliance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(using the criteria therefor described in Section 6.04(i)) to any incurrence or contemporaneous discharge of Indebtedness and all related transactions, as if such incurrence, discharge or other transaction had occurred as of the first day of such period, (iii) such Indebtedness matures no earlier than 180 days after the Maturity Date at the time such Indebtedness is incurred, (iv) such Indebtedness does not require any scheduled amortization, mandatory prepayments, redemptions, sinking fund payments or purchase offers prior to the final maturity date thereof (other than pursuant to customary asset sale and change of control offers)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 long as </w:t>
      </w:r>
      <w:r>
        <w:rPr>
          <w:rFonts w:ascii="Times New Roman" w:cs="Times New Roman" w:eastAsia="Times New Roman" w:hAnsi="Times New Roman"/>
          <w:sz w:val="21"/>
          <w:szCs w:val="21"/>
          <w:color w:val="FF0000"/>
          <w:strike w:val="1"/>
        </w:rPr>
        <w:t>(A) no Canadian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Loans are outstanding and (B)</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after giving effect to the incurrence of such Indebtedness (and any Borrowings on the date such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Indebtedness is incurred), there must be at least U.S.$40,000,000 of the Revolving Commitments unused and available, of which at least U.S.$30,000,000 must be comprised of Canadian Revolving Commitments and U.S. Revolving Commitments unused and available, in the aggregate, such Qualified Offering may require (1) scheduled amortization not to exceed 1% of the principal amount of such Indebtedness annually and (2) excess cash flow mandatory prepayments, (v) such Indebtedness is not guaranteed by any person other than the Guarantors, (vi) the terms and conditions (other than pricing, rate floors, discounts, fees, premiums and optional prepayment or redemption provisions) of such Indebtedness are in the good faith determination of the Parent Borrower, not materially less favorable (when taken as a whole) to the Parent Borrower than the terms and conditions of the Loan Documents (when taken as a whole), and (vii) no Default or Event of Default shall have occurred and be continuing at the time of incurrence or would result therefrom.</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RBC</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RBC Europe</w:t>
      </w:r>
      <w:r>
        <w:rPr>
          <w:rFonts w:ascii="Times New Roman" w:cs="Times New Roman" w:eastAsia="Times New Roman" w:hAnsi="Times New Roman"/>
          <w:sz w:val="22"/>
          <w:szCs w:val="22"/>
          <w:color w:val="auto"/>
        </w:rPr>
        <w:t>” shall have the meaning assigned to such term in the preamble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Recipient</w:t>
      </w:r>
      <w:r>
        <w:rPr>
          <w:rFonts w:ascii="Times New Roman" w:cs="Times New Roman" w:eastAsia="Times New Roman" w:hAnsi="Times New Roman"/>
          <w:sz w:val="21"/>
          <w:szCs w:val="21"/>
          <w:color w:val="auto"/>
        </w:rPr>
        <w:t>” shall mean (a) any Agent, (b) any Lender (c) any Issuing Bank, and (d) any Swing Line Lender, as applicable.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Recipient Party</w:t>
      </w:r>
      <w:r>
        <w:rPr>
          <w:rFonts w:ascii="Times New Roman" w:cs="Times New Roman" w:eastAsia="Times New Roman" w:hAnsi="Times New Roman"/>
          <w:sz w:val="22"/>
          <w:szCs w:val="22"/>
          <w:color w:val="auto"/>
        </w:rPr>
        <w:t>” shall have the meaning assigned to such term in Section 2.19(j).</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Reference Banks</w:t>
      </w:r>
      <w:r>
        <w:rPr>
          <w:rFonts w:ascii="Times New Roman" w:cs="Times New Roman" w:eastAsia="Times New Roman" w:hAnsi="Times New Roman"/>
          <w:sz w:val="22"/>
          <w:szCs w:val="22"/>
          <w:color w:val="auto"/>
        </w:rPr>
        <w:t>” shall mean Australia and New Zealand Banking Group Limited (ACN 005 357 522), Commonwealth Bank of Australia (ACN 123 123 124), Westpac Banking Corporation (ACN 007 457 141) and National Australia Bank Limited (ACN 004 044 937), or such other banks as may be selected by the Australian Administrative Agent in consultation with the Australian Borrower.</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0" w:name="page81"/>
    <w:bookmarkEnd w:id="80"/>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“Relevant Governmental Body” </w:t>
      </w:r>
      <w:r>
        <w:rPr>
          <w:rFonts w:ascii="Times New Roman" w:cs="Times New Roman" w:eastAsia="Times New Roman" w:hAnsi="Times New Roman"/>
          <w:sz w:val="22"/>
          <w:szCs w:val="22"/>
          <w:color w:val="auto"/>
        </w:rPr>
        <w:t>means the Board of Governors of the Federal Reserve System or the Federal Reserve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of New York, or a committee officially endorsed or convened by the Board of Governors of the Federal Reserve System or the Federal Reserve Bank of New York, or any successor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shall have the meaning assigned to such term in Section 9.04(c).</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Regulation T</w:t>
      </w:r>
      <w:r>
        <w:rPr>
          <w:rFonts w:ascii="Times New Roman" w:cs="Times New Roman" w:eastAsia="Times New Roman" w:hAnsi="Times New Roman"/>
          <w:sz w:val="22"/>
          <w:szCs w:val="22"/>
          <w:color w:val="auto"/>
        </w:rPr>
        <w:t>” shall mean Regulation T of the Board as from time to time in effect and all official rulings and interpretations thereunder or thereof.</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Regulation U</w:t>
      </w:r>
      <w:r>
        <w:rPr>
          <w:rFonts w:ascii="Times New Roman" w:cs="Times New Roman" w:eastAsia="Times New Roman" w:hAnsi="Times New Roman"/>
          <w:sz w:val="22"/>
          <w:szCs w:val="22"/>
          <w:color w:val="auto"/>
        </w:rPr>
        <w:t>” shall mean Regulation U of the Board as from time to time in effect and all official rulings and interpretations thereunder or thereof.</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Regulation X</w:t>
      </w:r>
      <w:r>
        <w:rPr>
          <w:rFonts w:ascii="Times New Roman" w:cs="Times New Roman" w:eastAsia="Times New Roman" w:hAnsi="Times New Roman"/>
          <w:sz w:val="22"/>
          <w:szCs w:val="22"/>
          <w:color w:val="auto"/>
        </w:rPr>
        <w:t>” shall mean Regulation X of the Board as from time to time in effect and all official rulings and interpretations thereunder or thereof.</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shall mean, with respect to any specified person, such person’s Affiliates and the respective partners, directors, officers, employees, agents and advisors of such person and such person’s Affiliates.</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Australian Lenders</w:t>
      </w:r>
      <w:r>
        <w:rPr>
          <w:rFonts w:ascii="Times New Roman" w:cs="Times New Roman" w:eastAsia="Times New Roman" w:hAnsi="Times New Roman"/>
          <w:sz w:val="22"/>
          <w:szCs w:val="22"/>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Required Canadian Lenders</w:t>
      </w:r>
      <w:r>
        <w:rPr>
          <w:rFonts w:ascii="Times New Roman" w:cs="Times New Roman" w:eastAsia="Times New Roman" w:hAnsi="Times New Roman"/>
          <w:sz w:val="22"/>
          <w:szCs w:val="22"/>
          <w:color w:val="FF0000"/>
          <w:strike w:val="1"/>
        </w:rPr>
        <w:t>” shall mean, at any time, Canadian Lenders having Canadian Loans, a share of the Canadian L/C Exposure and unused Canadian Revolving Commitments representing at least a majority of the sum of all Canadian Loans outstanding, the Canadian L/C Exposure and unused Canadian Revolving Commitments at such time; provided that the Canadian Loans outstanding, the share of Canadian L/C Exposure and unused Canadian Revolving Commitments of any Defaulting Lender shall be disregarded in determining Required Canadian Lenders at any time.</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Required Canadian Term Lenders</w:t>
      </w:r>
      <w:r>
        <w:rPr>
          <w:rFonts w:ascii="Times New Roman" w:cs="Times New Roman" w:eastAsia="Times New Roman" w:hAnsi="Times New Roman"/>
          <w:sz w:val="22"/>
          <w:szCs w:val="22"/>
          <w:color w:val="FF0000"/>
          <w:strike w:val="1"/>
        </w:rPr>
        <w:t>” shall mean, at any time, Canadian Term Lenders having Canadian Term Loans representing at least a majority of the sum of all Canadian Term</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1" w:name="page82"/>
    <w:bookmarkEnd w:id="81"/>
    <w:p>
      <w:pPr>
        <w:jc w:val="both"/>
        <w:spacing w:after="0" w:line="275" w:lineRule="auto"/>
        <w:rPr>
          <w:sz w:val="20"/>
          <w:szCs w:val="20"/>
          <w:color w:val="auto"/>
        </w:rPr>
      </w:pPr>
      <w:r>
        <w:rPr>
          <w:rFonts w:ascii="Times New Roman" w:cs="Times New Roman" w:eastAsia="Times New Roman" w:hAnsi="Times New Roman"/>
          <w:sz w:val="22"/>
          <w:szCs w:val="22"/>
          <w:color w:val="FF0000"/>
          <w:strike w:val="1"/>
        </w:rPr>
        <w:t xml:space="preserve">Loans outstanding at such time;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that the Canadian Term Loans outstanding of any Defaulting Lender shall be disregarded in determining Required Canadian Term Lenders at any time.</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Canadian Revolving Lenders</w:t>
      </w:r>
      <w:r>
        <w:rPr>
          <w:rFonts w:ascii="Times New Roman" w:cs="Times New Roman" w:eastAsia="Times New Roman" w:hAnsi="Times New Roman"/>
          <w:sz w:val="22"/>
          <w:szCs w:val="22"/>
          <w:color w:val="auto"/>
        </w:rPr>
        <w:t>” shall mean, at any time, Canadian Revolving Lenders having Canadian Revolving Credit Loans, a share of the Canadian L/C Exposure and unused Canadian Revolving Commitments representing at least a majority of the sum of all Canadian Revolving Credit Loans outstanding, the Canadian L/C Exposure and unused Canadian Revolving Commitments at such time; provided that the Canadian Revolving Credit Loans outstanding, share of Canadian L/C Exposure and unused Canadian Revolving Commitments of any Defaulting Lender shall be disregarded in determining Required Canadian Revolving Lenders at any time. For purposes of determining the Required Canadian Revolving Lenders at any time, the amount of any Canadian Revolving Credit Loans denominated in Canadian dollars and the Canadian L/C Exposure shall be the U.S. Dollar Equivalent thereof at such time, as determined by the Administrative Agent using the then-applicable Exchange Rate.</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Lenders</w:t>
      </w:r>
      <w:r>
        <w:rPr>
          <w:rFonts w:ascii="Times New Roman" w:cs="Times New Roman" w:eastAsia="Times New Roman" w:hAnsi="Times New Roman"/>
          <w:sz w:val="22"/>
          <w:szCs w:val="22"/>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Loans outstanding, share of Aggregate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“Required Revolving Lenders</w:t>
      </w:r>
      <w:r>
        <w:rPr>
          <w:rFonts w:ascii="Times New Roman" w:cs="Times New Roman" w:eastAsia="Times New Roman" w:hAnsi="Times New Roman"/>
          <w:sz w:val="22"/>
          <w:szCs w:val="22"/>
          <w:color w:val="auto"/>
        </w:rPr>
        <w:t>” shall mean the Required Australian Lenders, the Required Canadian Revolving Lenders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Required U.S. Lenders, as applicable.</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U.S. Lenders</w:t>
      </w:r>
      <w:r>
        <w:rPr>
          <w:rFonts w:ascii="Times New Roman" w:cs="Times New Roman" w:eastAsia="Times New Roman" w:hAnsi="Times New Roman"/>
          <w:sz w:val="22"/>
          <w:szCs w:val="22"/>
          <w:color w:val="auto"/>
        </w:rPr>
        <w:t xml:space="preserve">”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U.S. Revolving Credit Loans outstanding, share of U.S. L/C Exposure and unused U.S. Revolving Commitments of any Defaulting Lender shall be disregarded in determining Required U.S. Lenders at any time.</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Authority</w:t>
      </w:r>
      <w:r>
        <w:rPr>
          <w:rFonts w:ascii="Times New Roman" w:cs="Times New Roman" w:eastAsia="Times New Roman" w:hAnsi="Times New Roman"/>
          <w:sz w:val="22"/>
          <w:szCs w:val="22"/>
          <w:color w:val="auto"/>
        </w:rPr>
        <w:t>” shall mean, with respect to an EEA Financial Institution, an EEA Resolution Authority or, with respect to any UK Financial Institution, a UK Resolution Authority.</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2" w:name="page83"/>
    <w:bookmarkEnd w:id="82"/>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Indebtedness</w:t>
      </w:r>
      <w:r>
        <w:rPr>
          <w:rFonts w:ascii="Times New Roman" w:cs="Times New Roman" w:eastAsia="Times New Roman" w:hAnsi="Times New Roman"/>
          <w:sz w:val="22"/>
          <w:szCs w:val="22"/>
          <w:color w:val="auto"/>
        </w:rPr>
        <w:t>” shall mean Subordinated Indebtedness of the Parent Borrower or any Subsidiary, the payment, prepayment, repurchase or defeasance of which is restricted under Section 6.09(b).</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w:t>
      </w:r>
      <w:r>
        <w:rPr>
          <w:rFonts w:ascii="Times New Roman" w:cs="Times New Roman" w:eastAsia="Times New Roman" w:hAnsi="Times New Roman"/>
          <w:sz w:val="22"/>
          <w:szCs w:val="22"/>
          <w:color w:val="auto"/>
        </w:rPr>
        <w:t>” shall mean any dividend or other distribution (whether in cash, securities or other property) with respect to any Equity Interests in the Parent Borrower or any Subsidiary, or any payment (whether in cash, securities or other property), including any sinking fund or similar deposit, on account of the purchase, redemption, retirement, acquisition, cancellation or termination of any Equity Interests in the Parent Borrower or any Subsidiary or any option, warrant or other right to acquire any such Equity Interests in the Parent Borrower or any Subsidiary.</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Commitments</w:t>
      </w:r>
      <w:r>
        <w:rPr>
          <w:rFonts w:ascii="Times New Roman" w:cs="Times New Roman" w:eastAsia="Times New Roman" w:hAnsi="Times New Roman"/>
          <w:sz w:val="22"/>
          <w:szCs w:val="22"/>
          <w:color w:val="auto"/>
        </w:rPr>
        <w:t>” shall mean the Canadian Revolving Commitments, the U.S. Revolving Commitments and the Australian Revolving Commitments.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Credit Loans</w:t>
      </w:r>
      <w:r>
        <w:rPr>
          <w:rFonts w:ascii="Times New Roman" w:cs="Times New Roman" w:eastAsia="Times New Roman" w:hAnsi="Times New Roman"/>
          <w:sz w:val="22"/>
          <w:szCs w:val="22"/>
          <w:color w:val="auto"/>
        </w:rPr>
        <w:t>” shall mean U.S. Revolving Credit Loans, Canadian Revolving Credit Loans or Australian Revolving Credit Loans, as the context may require.</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Lenders</w:t>
      </w:r>
      <w:r>
        <w:rPr>
          <w:rFonts w:ascii="Times New Roman" w:cs="Times New Roman" w:eastAsia="Times New Roman" w:hAnsi="Times New Roman"/>
          <w:sz w:val="22"/>
          <w:szCs w:val="22"/>
          <w:color w:val="auto"/>
        </w:rPr>
        <w:t>” shall mean U.S. Revolving Lenders, Canadian Revolving Lenders or Australian Lenders, as the context may require.</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Rolled Letter of Credit</w:t>
      </w:r>
      <w:r>
        <w:rPr>
          <w:rFonts w:ascii="Times New Roman" w:cs="Times New Roman" w:eastAsia="Times New Roman" w:hAnsi="Times New Roman"/>
          <w:sz w:val="22"/>
          <w:szCs w:val="22"/>
          <w:color w:val="auto"/>
        </w:rPr>
        <w:t>” shall mean each Letter of Credit previously issued for the account of a Borrower that (a) is outstanding on the Closing Date and (b) is listed on Schedule 1.01(a).</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Sanctions Laws and Regulations</w:t>
      </w:r>
      <w:r>
        <w:rPr>
          <w:rFonts w:ascii="Times New Roman" w:cs="Times New Roman" w:eastAsia="Times New Roman" w:hAnsi="Times New Roman"/>
          <w:sz w:val="22"/>
          <w:szCs w:val="22"/>
          <w:color w:val="auto"/>
        </w:rPr>
        <w:t>” shall mean (a) any economic, trade or financial sanctions, prohibitions or requirements imposed, administered or enforced by any executive order of the President of the United States (an “</w:t>
      </w:r>
      <w:r>
        <w:rPr>
          <w:rFonts w:ascii="Times New Roman" w:cs="Times New Roman" w:eastAsia="Times New Roman" w:hAnsi="Times New Roman"/>
          <w:sz w:val="22"/>
          <w:szCs w:val="22"/>
          <w:i w:val="1"/>
          <w:iCs w:val="1"/>
          <w:color w:val="auto"/>
        </w:rPr>
        <w:t>Executive Order</w:t>
      </w:r>
      <w:r>
        <w:rPr>
          <w:rFonts w:ascii="Times New Roman" w:cs="Times New Roman" w:eastAsia="Times New Roman" w:hAnsi="Times New Roman"/>
          <w:sz w:val="22"/>
          <w:szCs w:val="22"/>
          <w:color w:val="auto"/>
        </w:rPr>
        <w:t>”) or by any economic sanctions program administered by OFAC or the U.S. Department of State; and (b) any sanctions measures or programs administered, enforced or imposed by the United Nations Security Council, European Union, the United Kingdom, Canada, Singapore or Australia.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shall mean the Securities and Exchange Commission, and any successor entity.</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Parties</w:t>
      </w:r>
      <w:r>
        <w:rPr>
          <w:rFonts w:ascii="Times New Roman" w:cs="Times New Roman" w:eastAsia="Times New Roman" w:hAnsi="Times New Roman"/>
          <w:sz w:val="22"/>
          <w:szCs w:val="22"/>
          <w:color w:val="auto"/>
        </w:rPr>
        <w:t>” shall mean (a) the Lenders, (b) the Administrative Agents, (c) the Collateral Agents, (d) the Issuing Banks, (e) each counterparty to a Hedging Agreement entered into with a Loan Party if such counterparty was a Lender (or an Affiliate of a Lender) at the time the Hedging Agreement was entered into, (f) any Lender (or any Affiliate of a Lender) providing Banking Services to any Loan Party, (g) the Bilateral Lender, (h) the beneficiaries of each indemnification obligation undertaken by any Grantor under any Loan Document and (i) the successors and assigns of each of the foregoing.</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3" w:name="page84"/>
    <w:bookmarkEnd w:id="83"/>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Security Agreements</w:t>
      </w:r>
      <w:r>
        <w:rPr>
          <w:rFonts w:ascii="Times New Roman" w:cs="Times New Roman" w:eastAsia="Times New Roman" w:hAnsi="Times New Roman"/>
          <w:sz w:val="22"/>
          <w:szCs w:val="22"/>
          <w:color w:val="auto"/>
        </w:rPr>
        <w:t>” shall mean, collectively, the U.S. Security Agreement, the Canadian Security Agreement and the Australian Security Deed.</w:t>
      </w:r>
    </w:p>
    <w:p>
      <w:pPr>
        <w:spacing w:after="0" w:line="14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Security Documents</w:t>
      </w:r>
      <w:r>
        <w:rPr>
          <w:rFonts w:ascii="Times New Roman" w:cs="Times New Roman" w:eastAsia="Times New Roman" w:hAnsi="Times New Roman"/>
          <w:sz w:val="21"/>
          <w:szCs w:val="21"/>
          <w:color w:val="auto"/>
        </w:rPr>
        <w:t>” shall mean the Security Agreements, the Pledge Agreements, and each of the security agreements, and other instruments and documents executed and delivered pursuant to any of the foregoing or pursuant to Section 5.09.</w:t>
      </w:r>
    </w:p>
    <w:p>
      <w:pPr>
        <w:spacing w:after="0" w:line="1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Net Debt</w:t>
      </w:r>
      <w:r>
        <w:rPr>
          <w:rFonts w:ascii="Times New Roman" w:cs="Times New Roman" w:eastAsia="Times New Roman" w:hAnsi="Times New Roman"/>
          <w:sz w:val="22"/>
          <w:szCs w:val="22"/>
          <w:color w:val="auto"/>
        </w:rPr>
        <w:t xml:space="preserve">” at any time shall mean (a) the Indebtedness of the Parent Borrower and its Subsidiaries (excluding Indebtedness of the type described in clause (i) of the definition of such term, except to the extent of any unreimbursed drawings thereunder) that is secured by a first priority Lien on any property or assets of the Parent Borrower or any Subsidiary,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aggregate amount of Unrestricted Cash of the Parent Borrower and its Subsidiaries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there are (1) any Loans then outstanding or (2) any drawn and unreimbursed Letters of Credit with a face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not less than U.S.$1,000,000 individually, and U.S.$3,000,000 in the aggregate for all such Letters of Credit, that have not been reimbursed in accordance with Section 2.21(e), the amount of this clause (b) shall not exceed $30,000,000.</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Net Leverage Ratio</w:t>
      </w:r>
      <w:r>
        <w:rPr>
          <w:rFonts w:ascii="Times New Roman" w:cs="Times New Roman" w:eastAsia="Times New Roman" w:hAnsi="Times New Roman"/>
          <w:sz w:val="22"/>
          <w:szCs w:val="22"/>
          <w:color w:val="auto"/>
        </w:rPr>
        <w:t>” shall mean, on any date, the ratio of Senior Secured Net Debt on such date to Consolidated EBITDA for the period of four consecutive fiscal quarters most recently ended on or prior to such date for which financial statements have been delivered pursuant to Section 5.04(a) or (b) or for which comparable financial statements have been filed with the SEC. Solely for purposes of this definition, if, at any time the Senior Secured Net Leverage Ratio is being determined, the Parent Borrower or any Subsidiary shall have completed a Permitted Acquisition or Asset Sale the consideration of which is greater than U.S.$</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highlight w:val="lightGray"/>
        </w:rPr>
        <w:t>15,000,000</w:t>
      </w:r>
      <w:r>
        <w:rPr>
          <w:rFonts w:ascii="Times New Roman" w:cs="Times New Roman" w:eastAsia="Times New Roman" w:hAnsi="Times New Roman"/>
          <w:sz w:val="22"/>
          <w:szCs w:val="22"/>
          <w:color w:val="auto"/>
        </w:rPr>
        <w:t xml:space="preserve"> since the beginning of the relevant four fiscal quarter period, the Senior Secured Net Leverage Ratio shall be determined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“SOFR” </w:t>
      </w:r>
      <w:r>
        <w:rPr>
          <w:rFonts w:ascii="Times New Roman" w:cs="Times New Roman" w:eastAsia="Times New Roman" w:hAnsi="Times New Roman"/>
          <w:sz w:val="22"/>
          <w:szCs w:val="22"/>
          <w:color w:val="auto"/>
        </w:rPr>
        <w:t>means a rate per annum equal to the secured overnight financing rate as administered by the SOFR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“SOFR Administrator” </w:t>
      </w:r>
      <w:r>
        <w:rPr>
          <w:rFonts w:ascii="Times New Roman" w:cs="Times New Roman" w:eastAsia="Times New Roman" w:hAnsi="Times New Roman"/>
          <w:sz w:val="22"/>
          <w:szCs w:val="22"/>
          <w:color w:val="auto"/>
        </w:rPr>
        <w:t>means the Federal Reserve Bank of New York (or a successor administrator of the secured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overnight financing rate).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“SOFR Loan” means a Loan that bears interest at a rate based on Adjusted Term SOFR, other than pursuant to (a) clause (iii) of the definition of “Alternate Base Rate” or (b) clause (iii) of the definition of “U.S. Base Rate”.</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Solvent</w:t>
      </w:r>
      <w:r>
        <w:rPr>
          <w:rFonts w:ascii="Times New Roman" w:cs="Times New Roman" w:eastAsia="Times New Roman" w:hAnsi="Times New Roman"/>
          <w:sz w:val="22"/>
          <w:szCs w:val="22"/>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w:t>
      </w:r>
    </w:p>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4" w:name="page85"/>
    <w:bookmarkEnd w:id="84"/>
    <w:p>
      <w:pPr>
        <w:jc w:val="both"/>
        <w:spacing w:after="0" w:line="271" w:lineRule="auto"/>
        <w:rPr>
          <w:sz w:val="20"/>
          <w:szCs w:val="20"/>
          <w:color w:val="auto"/>
        </w:rPr>
      </w:pPr>
      <w:r>
        <w:rPr>
          <w:rFonts w:ascii="Times New Roman" w:cs="Times New Roman" w:eastAsia="Times New Roman" w:hAnsi="Times New Roman"/>
          <w:sz w:val="22"/>
          <w:szCs w:val="22"/>
          <w:color w:val="auto"/>
        </w:rPr>
        <w:t>matured; and (d) such person does not have unreasonably small capital with which to conduct its business in which it is engaged as such business is now conducted and is proposed to be conducted following the Closing Date.</w:t>
      </w:r>
    </w:p>
    <w:p>
      <w:pPr>
        <w:spacing w:after="0" w:line="15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shall mean Standard &amp; Poor’s Ratings Service, a division of The McGraw-Hill Companies, Inc., or any successor thereof which is a nationally recognized statistical rating organization.</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SPC</w:t>
      </w:r>
      <w:r>
        <w:rPr>
          <w:rFonts w:ascii="Times New Roman" w:cs="Times New Roman" w:eastAsia="Times New Roman" w:hAnsi="Times New Roman"/>
          <w:sz w:val="22"/>
          <w:szCs w:val="22"/>
          <w:color w:val="auto"/>
        </w:rPr>
        <w:t>” shall have the meaning assigned to such term in Section 9.04(g).</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Special Purpose Business Entity</w:t>
      </w:r>
      <w:r>
        <w:rPr>
          <w:rFonts w:ascii="Times New Roman" w:cs="Times New Roman" w:eastAsia="Times New Roman" w:hAnsi="Times New Roman"/>
          <w:sz w:val="22"/>
          <w:szCs w:val="22"/>
          <w:color w:val="auto"/>
        </w:rPr>
        <w:t>” shall mean each entity listed on Schedule 3.08 as being a Special Purpose Business Entity and any other entity formed by the Parent Borrower or any of its Subsidiaries, or in which the Parent Borrower or any of its Subsidiaries acquires an Equity Interest, in each case so long as (i) such entity is, or proposes to engage in, a joint venture with persons that are, or are owned or controlled by, aboriginal peoples in Alaska, Australia or Canada, (ii) any loans or advances to, or investments in such Special Purpose Business Entity is permitted by Section 6.04, and (iii) the Parent Borrower delivers a certificate of a Responsible Officer to the Administrative Agents designating such Special Purpose Business Entity as such and certifying compliance with the foregoing requirements of this definition.</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Dispositions</w:t>
      </w:r>
      <w:r>
        <w:rPr>
          <w:rFonts w:ascii="Times New Roman" w:cs="Times New Roman" w:eastAsia="Times New Roman" w:hAnsi="Times New Roman"/>
          <w:sz w:val="22"/>
          <w:szCs w:val="22"/>
          <w:color w:val="auto"/>
        </w:rPr>
        <w:t>” shall mean those sales or other dispositions identified in writing to the Administrative Agent by the Parent Borrower on or prior to the Closing Date.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Time</w:t>
      </w:r>
      <w:r>
        <w:rPr>
          <w:rFonts w:ascii="Times New Roman" w:cs="Times New Roman" w:eastAsia="Times New Roman" w:hAnsi="Times New Roman"/>
          <w:sz w:val="22"/>
          <w:szCs w:val="22"/>
          <w:color w:val="auto"/>
        </w:rPr>
        <w:t>” shall mean eastern standard time or eastern daylight savings time, as applicable on the relevant date.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Subordinated Indebtedness</w:t>
      </w:r>
      <w:r>
        <w:rPr>
          <w:rFonts w:ascii="Times New Roman" w:cs="Times New Roman" w:eastAsia="Times New Roman" w:hAnsi="Times New Roman"/>
          <w:sz w:val="22"/>
          <w:szCs w:val="22"/>
          <w:color w:val="auto"/>
        </w:rPr>
        <w:t>” shall mean (a) Indebtedness incurred under Section 6.01(e) and any Permitted Refinancing Indebtedness in respect thereof and (b) Indebtedness of a Loan Party that is subordinated to the prior payment in full of the Obligations on terms reasonably satisfactory to the Administrative Agent.</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with respect to any person (herein referred to as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any subsidiary of a Borrower, other than a Special Purpose Business Entity.</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 Guarantors</w:t>
      </w:r>
      <w:r>
        <w:rPr>
          <w:rFonts w:ascii="Times New Roman" w:cs="Times New Roman" w:eastAsia="Times New Roman" w:hAnsi="Times New Roman"/>
          <w:sz w:val="22"/>
          <w:szCs w:val="22"/>
          <w:color w:val="auto"/>
        </w:rPr>
        <w:t>” shall mean, collectively, the U.S. Subsidiary Guarantors, the Canadian Subsidiary Guarantors, and the Australian Subsidiary Guarantors.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Supplier</w:t>
      </w:r>
      <w:r>
        <w:rPr>
          <w:rFonts w:ascii="Times New Roman" w:cs="Times New Roman" w:eastAsia="Times New Roman" w:hAnsi="Times New Roman"/>
          <w:sz w:val="22"/>
          <w:szCs w:val="22"/>
          <w:color w:val="auto"/>
        </w:rPr>
        <w:t>” shall have the meaning assigned to such term in Section 2.19(j).</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Supported QFC</w:t>
      </w:r>
      <w:r>
        <w:rPr>
          <w:rFonts w:ascii="Times New Roman" w:cs="Times New Roman" w:eastAsia="Times New Roman" w:hAnsi="Times New Roman"/>
          <w:sz w:val="22"/>
          <w:szCs w:val="22"/>
          <w:color w:val="auto"/>
        </w:rPr>
        <w:t>” shall have the meaning provided in Section 9.25.</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85" w:name="page86"/>
    <w:bookmarkEnd w:id="85"/>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shall mean, with respect to any Loan Party, any obligation to pay or perform under any agreement, contract or transaction that constitutes a “swap” within the meaning of Section 1a(47) of the Commodity Exchange Act.</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Borrowing</w:t>
      </w:r>
      <w:r>
        <w:rPr>
          <w:rFonts w:ascii="Times New Roman" w:cs="Times New Roman" w:eastAsia="Times New Roman" w:hAnsi="Times New Roman"/>
          <w:sz w:val="22"/>
          <w:szCs w:val="22"/>
          <w:color w:val="auto"/>
        </w:rPr>
        <w:t>” shall mean a U.S. Swing Line Borrowing or a Canadian Swing Line Borrowing, as the context may require.</w:t>
      </w:r>
    </w:p>
    <w:p>
      <w:pPr>
        <w:spacing w:after="0" w:line="13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Lender</w:t>
      </w:r>
      <w:r>
        <w:rPr>
          <w:rFonts w:ascii="Times New Roman" w:cs="Times New Roman" w:eastAsia="Times New Roman" w:hAnsi="Times New Roman"/>
          <w:sz w:val="22"/>
          <w:szCs w:val="22"/>
          <w:color w:val="auto"/>
        </w:rPr>
        <w:t>” shall mean the U.S. Swing Line Lender or the Canadian Swing Line Lender, as the context may require.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Loan</w:t>
      </w:r>
      <w:r>
        <w:rPr>
          <w:rFonts w:ascii="Times New Roman" w:cs="Times New Roman" w:eastAsia="Times New Roman" w:hAnsi="Times New Roman"/>
          <w:sz w:val="22"/>
          <w:szCs w:val="22"/>
          <w:color w:val="auto"/>
        </w:rPr>
        <w:t>” shall mean a U.S. Swing Line Loan or a Canadian Swing Line Loan, as the context may require.</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Payment Date</w:t>
      </w:r>
      <w:r>
        <w:rPr>
          <w:rFonts w:ascii="Times New Roman" w:cs="Times New Roman" w:eastAsia="Times New Roman" w:hAnsi="Times New Roman"/>
          <w:sz w:val="22"/>
          <w:szCs w:val="22"/>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five (5) Business Days after the date of the applicable Swing Line Borrowing if no Default or Event of Default exists, and otherwise upon demand by the Applicable Swing Line Lender and (ii) the Maturity Date.</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Sublimit</w:t>
      </w:r>
      <w:r>
        <w:rPr>
          <w:rFonts w:ascii="Times New Roman" w:cs="Times New Roman" w:eastAsia="Times New Roman" w:hAnsi="Times New Roman"/>
          <w:sz w:val="22"/>
          <w:szCs w:val="22"/>
          <w:color w:val="auto"/>
        </w:rPr>
        <w:t>” shall mean the U.S. Swing Line Sublimit or the Canadian Swing Line Sublimit, as the context may require.</w:t>
      </w:r>
    </w:p>
    <w:p>
      <w:pPr>
        <w:spacing w:after="0" w:line="1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Synthetic Purchase Agreement</w:t>
      </w:r>
      <w:r>
        <w:rPr>
          <w:rFonts w:ascii="Times New Roman" w:cs="Times New Roman" w:eastAsia="Times New Roman" w:hAnsi="Times New Roman"/>
          <w:sz w:val="22"/>
          <w:szCs w:val="22"/>
          <w:color w:val="auto"/>
        </w:rPr>
        <w:t xml:space="preserve">” shall mean any swap, derivative or other agreement or combination of agreements pursuant to which the Parent Borrower or any Subsidiary is or may become obligated to make (a) any payment in connection with a purchase by any third party from a person other than the Parent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phantom stock or similar plan providing for payments only to current or former directors, officers or employees of the Parent Borrower or the Subsidiaries (or to their heirs or estates) shall be deemed to be a Synthetic Purchase Agreement.</w:t>
      </w:r>
    </w:p>
    <w:p>
      <w:pPr>
        <w:spacing w:after="0" w:line="182"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CORRA</w:t>
      </w:r>
      <w:r>
        <w:rPr>
          <w:rFonts w:ascii="Times New Roman" w:cs="Times New Roman" w:eastAsia="Times New Roman" w:hAnsi="Times New Roman"/>
          <w:sz w:val="21"/>
          <w:szCs w:val="21"/>
          <w:color w:val="auto"/>
        </w:rPr>
        <w:t>” means, for any calculation with respect to a Term CORRA Loan, the Term CORRA Reference Rate for a tenor comparable to the applicable Interest Period on the day (such day, the “</w:t>
      </w:r>
      <w:r>
        <w:rPr>
          <w:rFonts w:ascii="Times New Roman" w:cs="Times New Roman" w:eastAsia="Times New Roman" w:hAnsi="Times New Roman"/>
          <w:sz w:val="21"/>
          <w:szCs w:val="21"/>
          <w:i w:val="1"/>
          <w:iCs w:val="1"/>
          <w:color w:val="auto"/>
        </w:rPr>
        <w:t>Periodic Term CORRA Determination Day</w:t>
      </w:r>
      <w:r>
        <w:rPr>
          <w:rFonts w:ascii="Times New Roman" w:cs="Times New Roman" w:eastAsia="Times New Roman" w:hAnsi="Times New Roman"/>
          <w:sz w:val="21"/>
          <w:szCs w:val="21"/>
          <w:color w:val="auto"/>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Canadian Benchmark Replacement Date with respect to the Term CORRA Reference Rate has not occurred, then Term CORRA will</w:t>
      </w:r>
    </w:p>
    <w:p>
      <w:pPr>
        <w:spacing w:after="0" w:line="3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6" w:name="page87"/>
    <w:bookmarkEnd w:id="86"/>
    <w:p>
      <w:pPr>
        <w:jc w:val="both"/>
        <w:spacing w:after="0" w:line="250" w:lineRule="auto"/>
        <w:rPr>
          <w:sz w:val="20"/>
          <w:szCs w:val="20"/>
          <w:color w:val="auto"/>
        </w:rPr>
      </w:pPr>
      <w:r>
        <w:rPr>
          <w:rFonts w:ascii="Times New Roman" w:cs="Times New Roman" w:eastAsia="Times New Roman" w:hAnsi="Times New Roman"/>
          <w:sz w:val="22"/>
          <w:szCs w:val="22"/>
          <w:color w:val="auto"/>
        </w:rPr>
        <w:t>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provided, however, if the Term CORRA Reference Rate for such tenor was published by the Term CORRA Administrator more than three (3) Business Days prior to such Periodic Term CORRA Determination Day, then Term CORRA will be the interest rate (expressed as a rate per annum on the basis of a year of 365 days) for a comparable tenor quoted by the Canadian Administrative Agent as of such Periodic Term CORRA Determination Day.</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Adjustment</w:t>
      </w:r>
      <w:r>
        <w:rPr>
          <w:rFonts w:ascii="Times New Roman" w:cs="Times New Roman" w:eastAsia="Times New Roman" w:hAnsi="Times New Roman"/>
          <w:sz w:val="22"/>
          <w:szCs w:val="22"/>
          <w:color w:val="auto"/>
        </w:rPr>
        <w:t>” means, with respect to Term CORRA, for an Interest Period of a duration of (a) one-month, a percentage equal to 0.29547% per annum (29.547 basis points), and (b) three-months, a percentage equal to 0.32138% per annum (32.138 basis points).</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Administrator</w:t>
      </w:r>
      <w:r>
        <w:rPr>
          <w:rFonts w:ascii="Times New Roman" w:cs="Times New Roman" w:eastAsia="Times New Roman" w:hAnsi="Times New Roman"/>
          <w:sz w:val="22"/>
          <w:szCs w:val="22"/>
          <w:color w:val="auto"/>
        </w:rPr>
        <w:t>” means CanDeal Benchmark Administration Services Inc., TSX Inc., or any successor administrator.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Borrowing</w:t>
      </w:r>
      <w:r>
        <w:rPr>
          <w:rFonts w:ascii="Times New Roman" w:cs="Times New Roman" w:eastAsia="Times New Roman" w:hAnsi="Times New Roman"/>
          <w:sz w:val="22"/>
          <w:szCs w:val="22"/>
          <w:color w:val="auto"/>
        </w:rPr>
        <w:t>” means a Borrowing comprised of Term CORRA Loans.</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Loan</w:t>
      </w:r>
      <w:r>
        <w:rPr>
          <w:rFonts w:ascii="Times New Roman" w:cs="Times New Roman" w:eastAsia="Times New Roman" w:hAnsi="Times New Roman"/>
          <w:sz w:val="22"/>
          <w:szCs w:val="22"/>
          <w:color w:val="auto"/>
        </w:rPr>
        <w:t>” means a Loan that bears interest at a rate based on Adjusted Term CORRA other than pursuant to clause (ii) of the definition of “Canadian Prime Rate”.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Reference Rate</w:t>
      </w:r>
      <w:r>
        <w:rPr>
          <w:rFonts w:ascii="Times New Roman" w:cs="Times New Roman" w:eastAsia="Times New Roman" w:hAnsi="Times New Roman"/>
          <w:sz w:val="22"/>
          <w:szCs w:val="22"/>
          <w:color w:val="auto"/>
        </w:rPr>
        <w:t>” means the forward-looking term rate based on CORRA.</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w:t>
      </w:r>
      <w:r>
        <w:rPr>
          <w:rFonts w:ascii="Times New Roman" w:cs="Times New Roman" w:eastAsia="Times New Roman" w:hAnsi="Times New Roman"/>
          <w:sz w:val="21"/>
          <w:szCs w:val="21"/>
          <w:color w:val="auto"/>
        </w:rPr>
        <w:t>” means (a) for any Interest Period for a duration of one-month, three-months, or six-months (in each case, subject to the availability thereof) for a SOFR Loan, the greater of (i) the Term SOFR Reference Rate for a tenor comparable to the applicable Interest Period on the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xml:space="preserve">”) that is two (2) U.S. Government Securities Business Days prior to the first day of such Interest Period, as such rate is published by the Term SOFR Administrator and (ii) the Floor;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two (2) U.S. Government Securities Business Days prior to such Term SOFR Determination Day; or (b) for an Interest Period of any duration other than those specified in clause (a) of this definition of “Term SOFR”, for a SOFR Loan, Interpolated Term SOFR.</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Adjustment</w:t>
      </w:r>
      <w:r>
        <w:rPr>
          <w:rFonts w:ascii="Times New Roman" w:cs="Times New Roman" w:eastAsia="Times New Roman" w:hAnsi="Times New Roman"/>
          <w:sz w:val="22"/>
          <w:szCs w:val="22"/>
          <w:color w:val="auto"/>
        </w:rPr>
        <w:t>” means, with respect to Term SOFR, 0.10% (10 basis points).</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Agent in its reasonable discretion).</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Determination Day</w:t>
      </w:r>
      <w:r>
        <w:rPr>
          <w:rFonts w:ascii="Times New Roman" w:cs="Times New Roman" w:eastAsia="Times New Roman" w:hAnsi="Times New Roman"/>
          <w:sz w:val="22"/>
          <w:szCs w:val="22"/>
          <w:color w:val="auto"/>
        </w:rPr>
        <w:t>” has the meaning assigned to it under the definition of Term SOFR.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FF0000"/>
          <w:strike w:val="1"/>
        </w:rPr>
        <w:t xml:space="preserve">“Term SOFR Transition Event” </w:t>
      </w:r>
      <w:r>
        <w:rPr>
          <w:rFonts w:ascii="Times New Roman" w:cs="Times New Roman" w:eastAsia="Times New Roman" w:hAnsi="Times New Roman"/>
          <w:sz w:val="22"/>
          <w:szCs w:val="22"/>
          <w:color w:val="FF0000"/>
          <w:strike w:val="1"/>
        </w:rPr>
        <w:t>means the determination by the Administrative Agent that (a) Term SOFR has been</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color w:val="FF0000"/>
          <w:strike w:val="1"/>
        </w:rPr>
        <w:t>recommended for use by the Relevant Governmental Body, and is determinable for each Available Tenor and (b) the administration of Term SOFR is administratively feasible for the Administrative Agent.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i w:val="1"/>
          <w:iCs w:val="1"/>
          <w:u w:val="single" w:color="auto"/>
          <w:color w:val="0000FF"/>
          <w:highlight w:val="lightGray"/>
        </w:rPr>
        <w:t>Third Amendment Effective Date</w:t>
      </w:r>
      <w:r>
        <w:rPr>
          <w:rFonts w:ascii="Times New Roman" w:cs="Times New Roman" w:eastAsia="Times New Roman" w:hAnsi="Times New Roman"/>
          <w:sz w:val="22"/>
          <w:szCs w:val="22"/>
          <w:u w:val="single" w:color="auto"/>
          <w:color w:val="0000FF"/>
          <w:highlight w:val="lightGray"/>
        </w:rPr>
        <w:t>” means August 8, 2024.</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i w:val="1"/>
          <w:iCs w:val="1"/>
          <w:u w:val="single" w:color="auto"/>
          <w:color w:val="0000FF"/>
          <w:highlight w:val="lightGray"/>
        </w:rPr>
        <w:t>Third Amendment Fee Letter</w:t>
      </w:r>
      <w:r>
        <w:rPr>
          <w:rFonts w:ascii="Times New Roman" w:cs="Times New Roman" w:eastAsia="Times New Roman" w:hAnsi="Times New Roman"/>
          <w:sz w:val="22"/>
          <w:szCs w:val="22"/>
          <w:u w:val="single" w:color="auto"/>
          <w:color w:val="0000FF"/>
          <w:highlight w:val="lightGray"/>
        </w:rPr>
        <w:t>” shall mean the letter agreement dated as of the Third Amendment Effective Date between the Parent Borrower and RBC.</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Australian Revolving Commitment</w:t>
      </w:r>
      <w:r>
        <w:rPr>
          <w:rFonts w:ascii="Times New Roman" w:cs="Times New Roman" w:eastAsia="Times New Roman" w:hAnsi="Times New Roman"/>
          <w:sz w:val="22"/>
          <w:szCs w:val="22"/>
          <w:color w:val="auto"/>
        </w:rPr>
        <w:t>” shall mean, at any time, the aggregate amount of the Australian Revolving Commitments, as in effect at such time.</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Canadian Revolving Commitment</w:t>
      </w:r>
      <w:r>
        <w:rPr>
          <w:rFonts w:ascii="Times New Roman" w:cs="Times New Roman" w:eastAsia="Times New Roman" w:hAnsi="Times New Roman"/>
          <w:sz w:val="22"/>
          <w:szCs w:val="22"/>
          <w:color w:val="auto"/>
        </w:rPr>
        <w:t>” shall mean, at any time, the aggregate amount of the Canadian Revolving Commitments, as in effect at such time.</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Net Debt</w:t>
      </w:r>
      <w:r>
        <w:rPr>
          <w:rFonts w:ascii="Times New Roman" w:cs="Times New Roman" w:eastAsia="Times New Roman" w:hAnsi="Times New Roman"/>
          <w:sz w:val="22"/>
          <w:szCs w:val="22"/>
          <w:color w:val="auto"/>
        </w:rPr>
        <w:t xml:space="preserve">” at any time shall mean (a) the Indebtedness of the Parent Borrower and its Subsidiaries at such time (excluding Indebtedness of the type described in clause (i) of the definition of such term, except to the extent of any unreimbursed drawings thereunder),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aggregate amount of Unrestricted Cash of the Parent Borrower and its Subsidiaries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there are (1) any Loans then outstanding or (2) any drawn and unreimbursed Letters of Credit with a face amount of not less than U.S.$1,000,000 individually, and U.S.$3,000,000 in the aggregate for all such Letters of Credit, that have not been reimbursed in accordance with Section 2.21(e), the amount of this clause (b) shall not exceed $30,000,000.</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Net Leverage Ratio</w:t>
      </w:r>
      <w:r>
        <w:rPr>
          <w:rFonts w:ascii="Times New Roman" w:cs="Times New Roman" w:eastAsia="Times New Roman" w:hAnsi="Times New Roman"/>
          <w:sz w:val="21"/>
          <w:szCs w:val="21"/>
          <w:color w:val="auto"/>
        </w:rPr>
        <w:t>” shall mean, on any date, the ratio of Total Net Debt on such date to Consolidated EBITDA for the period of four consecutive fiscal quarters most recently ended on or prior to such date for which financial statements have been delivered pursuant to Section 5.04(a) or (b) or for which comparable financial statements have been filed with the SEC. Solely for purposes of this definition, if, at any time the Total Net Leverage Ratio is being determined, the Parent Borrower or any Subsidiary shall have completed a Permitted Acquisition or Asset Sale the consideration of which is greater than U.S.$</w:t>
      </w:r>
      <w:r>
        <w:rPr>
          <w:rFonts w:ascii="Times New Roman" w:cs="Times New Roman" w:eastAsia="Times New Roman" w:hAnsi="Times New Roman"/>
          <w:sz w:val="21"/>
          <w:szCs w:val="21"/>
          <w:color w:val="FF0000"/>
          <w:strike w:val="1"/>
        </w:rPr>
        <w:t>25,000,000</w:t>
      </w:r>
      <w:r>
        <w:rPr>
          <w:rFonts w:ascii="Times New Roman" w:cs="Times New Roman" w:eastAsia="Times New Roman" w:hAnsi="Times New Roman"/>
          <w:sz w:val="21"/>
          <w:szCs w:val="21"/>
          <w:u w:val="single" w:color="auto"/>
          <w:color w:val="0000FF"/>
          <w:highlight w:val="lightGray"/>
        </w:rPr>
        <w:t>15,000,000</w:t>
      </w:r>
      <w:r>
        <w:rPr>
          <w:rFonts w:ascii="Times New Roman" w:cs="Times New Roman" w:eastAsia="Times New Roman" w:hAnsi="Times New Roman"/>
          <w:sz w:val="21"/>
          <w:szCs w:val="21"/>
          <w:color w:val="auto"/>
        </w:rPr>
        <w:t xml:space="preserve"> since the beginning of the relevant four fiscal quarter period, the Total Net Leverage Ratio shall be determined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6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U.S. Revolving Commitment</w:t>
      </w:r>
      <w:r>
        <w:rPr>
          <w:rFonts w:ascii="Times New Roman" w:cs="Times New Roman" w:eastAsia="Times New Roman" w:hAnsi="Times New Roman"/>
          <w:sz w:val="22"/>
          <w:szCs w:val="22"/>
          <w:color w:val="auto"/>
        </w:rPr>
        <w:t>” shall mean, at any time, the aggregate amount of the U.S. Revolving Commitments, as in effect at such time.</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8" w:name="page89"/>
    <w:bookmarkEnd w:id="88"/>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shall mean, collectively, (a) the entering by the Loan Parties into Loan Documents to which they are to be a party and (b) the payment of the fees and expenses incurred in connection with the consummation of the foregoing.</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when used in respect of any Loan or Borrowing, shall refer to the Rate by reference to which interest on such Loan or on the Loans comprising such Borrowing is determined. For purposes hereof, the term “</w:t>
      </w:r>
      <w:r>
        <w:rPr>
          <w:rFonts w:ascii="Times New Roman" w:cs="Times New Roman" w:eastAsia="Times New Roman" w:hAnsi="Times New Roman"/>
          <w:sz w:val="22"/>
          <w:szCs w:val="22"/>
          <w:i w:val="1"/>
          <w:iCs w:val="1"/>
          <w:color w:val="auto"/>
        </w:rPr>
        <w:t>Rate</w:t>
      </w:r>
      <w:r>
        <w:rPr>
          <w:rFonts w:ascii="Times New Roman" w:cs="Times New Roman" w:eastAsia="Times New Roman" w:hAnsi="Times New Roman"/>
          <w:sz w:val="22"/>
          <w:szCs w:val="22"/>
          <w:color w:val="auto"/>
        </w:rPr>
        <w:t>” shall include Adjusted Term SOFR, the Alternate Base Rate, the Canadian Prime Rate, the U.S. Base Rate, the BBSY Rate, Adjusted Term CORRA and any Benchmark that may become applicable from time to time.</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shall mean the Uniform Commercial Code as the same may, from time to time, be in effect in the State of New York; provided, however, in the event that, by reason of mandatory provisions of law, any or all of the attachment, perfection or priority of the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UKBA</w:t>
      </w:r>
      <w:r>
        <w:rPr>
          <w:rFonts w:ascii="Times New Roman" w:cs="Times New Roman" w:eastAsia="Times New Roman" w:hAnsi="Times New Roman"/>
          <w:sz w:val="22"/>
          <w:szCs w:val="22"/>
          <w:color w:val="auto"/>
        </w:rPr>
        <w:t>” shall mean the U.K. Bribery Act 2010.</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Financial Institution</w:t>
      </w:r>
      <w:r>
        <w:rPr>
          <w:rFonts w:ascii="Times New Roman" w:cs="Times New Roman" w:eastAsia="Times New Roman" w:hAnsi="Times New Roman"/>
          <w:sz w:val="22"/>
          <w:szCs w:val="22"/>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“Unadjusted Benchmark Replacement” </w:t>
      </w:r>
      <w:r>
        <w:rPr>
          <w:rFonts w:ascii="Times New Roman" w:cs="Times New Roman" w:eastAsia="Times New Roman" w:hAnsi="Times New Roman"/>
          <w:sz w:val="22"/>
          <w:szCs w:val="22"/>
          <w:color w:val="auto"/>
        </w:rPr>
        <w:t>means the applicable Benchmark Replacement excluding the related Benchmark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Replacement Adjustment.</w:t>
      </w:r>
    </w:p>
    <w:p>
      <w:pPr>
        <w:spacing w:after="0" w:line="1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Unrestricted Cash</w:t>
      </w:r>
      <w:r>
        <w:rPr>
          <w:rFonts w:ascii="Times New Roman" w:cs="Times New Roman" w:eastAsia="Times New Roman" w:hAnsi="Times New Roman"/>
          <w:sz w:val="22"/>
          <w:szCs w:val="22"/>
          <w:color w:val="auto"/>
        </w:rPr>
        <w:t xml:space="preserve">” shall mean, as of any date of determination, the aggregate amount of all cash and Permitted Investments on the consolidated balance sheet of the Parent Borrower and its Subsidiaries that are not “restricted” for purposes of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aggregate amount of Unrestricted Cash shall not (i) include any cash or Permitted Investments that are subject to a Lien (other than any Lien in favor of any Collateral Agent and Permitted Liens (excluding those Permitted Liens arising under Sections 6.02(e), 6.02(f) and 6.02(i))</w:t>
      </w: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color w:val="auto"/>
        </w:rPr>
        <w:t xml:space="preserve"> or (ii) include any cash or Permitted Investments that are restricted by contract, law or material adverse tax consequences from being applied to repay any Obligations as determined by the Borrower in good faith.</w:t>
      </w:r>
    </w:p>
    <w:p>
      <w:pPr>
        <w:spacing w:after="0" w:line="18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Base Rate</w:t>
      </w:r>
      <w:r>
        <w:rPr>
          <w:rFonts w:ascii="Times New Roman" w:cs="Times New Roman" w:eastAsia="Times New Roman" w:hAnsi="Times New Roman"/>
          <w:sz w:val="21"/>
          <w:szCs w:val="21"/>
          <w:color w:val="auto"/>
        </w:rPr>
        <w:t>” means, for any day, a rate per annum equal to the greatest of (i) the rate of interest per annum which is determined by the Canadian Administrative Agent from time to time as the reference rate of interest for loans in U.S. Dollars to its Canadian borrowers; (ii) the rate of interest per annum equal to the sum of the Federal Funds Effective Rate on such day plus</w:t>
      </w:r>
    </w:p>
    <w:p>
      <w:pPr>
        <w:spacing w:after="0" w:line="3" w:lineRule="exact"/>
        <w:rPr>
          <w:sz w:val="20"/>
          <w:szCs w:val="20"/>
          <w:color w:val="auto"/>
        </w:rPr>
      </w:pPr>
    </w:p>
    <w:p>
      <w:pPr>
        <w:ind w:firstLine="8"/>
        <w:spacing w:after="0" w:line="259" w:lineRule="auto"/>
        <w:tabs>
          <w:tab w:leader="none" w:pos="22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1.00%; and (iii) Adjusted Term SOFR for a one-month tenor in effect for such day plus 1.00%, adjusted automatically with each change in such rates all without the necessity of any</w:t>
      </w: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89" w:name="page90"/>
    <w:bookmarkEnd w:id="89"/>
    <w:p>
      <w:pPr>
        <w:jc w:val="both"/>
        <w:spacing w:after="0" w:line="256" w:lineRule="auto"/>
        <w:rPr>
          <w:sz w:val="20"/>
          <w:szCs w:val="20"/>
          <w:color w:val="auto"/>
        </w:rPr>
      </w:pPr>
      <w:r>
        <w:rPr>
          <w:rFonts w:ascii="Times New Roman" w:cs="Times New Roman" w:eastAsia="Times New Roman" w:hAnsi="Times New Roman"/>
          <w:sz w:val="22"/>
          <w:szCs w:val="22"/>
          <w:color w:val="auto"/>
        </w:rPr>
        <w:t>notice to the Borrower or any other Person; provided that if such rates are equal or if such Federal Funds Effective Rate or Adjusted Term SOFR is unavailable for any reason on any date of determination, then the “U.S. Base Rate” shall be the rate specified in paragraph (i) above; provided further that to the extent such highest rate as calculated above shall, at any time, be less than the Floor, such rate shall be deemed to be the Floor for all purposes herein.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i w:val="1"/>
          <w:iCs w:val="1"/>
          <w:u w:val="single" w:color="auto"/>
          <w:color w:val="0000FF"/>
          <w:highlight w:val="lightGray"/>
        </w:rPr>
        <w:t>U.S. Borrowers</w:t>
      </w:r>
      <w:r>
        <w:rPr>
          <w:rFonts w:ascii="Times New Roman" w:cs="Times New Roman" w:eastAsia="Times New Roman" w:hAnsi="Times New Roman"/>
          <w:sz w:val="22"/>
          <w:szCs w:val="22"/>
          <w:u w:val="single" w:color="auto"/>
          <w:color w:val="0000FF"/>
          <w:highlight w:val="lightGray"/>
        </w:rPr>
        <w:t>” or</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U.S. Borrower</w:t>
      </w:r>
      <w:r>
        <w:rPr>
          <w:rFonts w:ascii="Times New Roman" w:cs="Times New Roman" w:eastAsia="Times New Roman" w:hAnsi="Times New Roman"/>
          <w:sz w:val="22"/>
          <w:szCs w:val="22"/>
          <w:color w:val="000000"/>
        </w:rPr>
        <w:t>” shall have the meaning assigned to such term in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Collateral</w:t>
      </w:r>
      <w:r>
        <w:rPr>
          <w:rFonts w:ascii="Times New Roman" w:cs="Times New Roman" w:eastAsia="Times New Roman" w:hAnsi="Times New Roman"/>
          <w:sz w:val="22"/>
          <w:szCs w:val="22"/>
          <w:color w:val="auto"/>
        </w:rPr>
        <w:t>” shall mean all “Collateral” as defined in any U.S. Security Document.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Collateral Agent</w:t>
      </w:r>
      <w:r>
        <w:rPr>
          <w:rFonts w:ascii="Times New Roman" w:cs="Times New Roman" w:eastAsia="Times New Roman" w:hAnsi="Times New Roman"/>
          <w:sz w:val="22"/>
          <w:szCs w:val="22"/>
          <w:color w:val="auto"/>
        </w:rPr>
        <w:t>” shall have the meaning assigned to such term in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Commitment Fee</w:t>
      </w:r>
      <w:r>
        <w:rPr>
          <w:rFonts w:ascii="Times New Roman" w:cs="Times New Roman" w:eastAsia="Times New Roman" w:hAnsi="Times New Roman"/>
          <w:sz w:val="22"/>
          <w:szCs w:val="22"/>
          <w:color w:val="auto"/>
        </w:rPr>
        <w:t>” shall have the meaning assigned to such term in Section 2.05(a)(i).</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Dollar Equivalent</w:t>
      </w:r>
      <w:r>
        <w:rPr>
          <w:rFonts w:ascii="Times New Roman" w:cs="Times New Roman" w:eastAsia="Times New Roman" w:hAnsi="Times New Roman"/>
          <w:sz w:val="22"/>
          <w:szCs w:val="22"/>
          <w:color w:val="auto"/>
        </w:rPr>
        <w:t>” shall mean, on any date of determination, with respect to any amount in Canadian dollars, Australian dollars or an Alternative Currency, the equivalent in U.S. dollars of such amount, determined by the Administrative Agent using the Exchange Rate then in effect.</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Guarantee Agreement</w:t>
      </w:r>
      <w:r>
        <w:rPr>
          <w:rFonts w:ascii="Times New Roman" w:cs="Times New Roman" w:eastAsia="Times New Roman" w:hAnsi="Times New Roman"/>
          <w:sz w:val="22"/>
          <w:szCs w:val="22"/>
          <w:color w:val="auto"/>
        </w:rPr>
        <w:t>” shall mean the U.S. Guarantee Agreement, substantially in the form of Exhibit C-3, among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the U.S. Subsidiary Guarantors and the U.S. Collateral Agent for the benefit of the Secured Parties.</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L/C Exposure</w:t>
      </w:r>
      <w:r>
        <w:rPr>
          <w:rFonts w:ascii="Times New Roman" w:cs="Times New Roman" w:eastAsia="Times New Roman" w:hAnsi="Times New Roman"/>
          <w:sz w:val="22"/>
          <w:szCs w:val="22"/>
          <w:color w:val="auto"/>
        </w:rPr>
        <w:t xml:space="preserve">” shall mean at any time the sum of (a) the U.S. Dollar Equivalent of the aggregate undrawn amount of all outstanding U.S. Letters of Credit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L/C Participation Fee</w:t>
      </w:r>
      <w:r>
        <w:rPr>
          <w:rFonts w:ascii="Times New Roman" w:cs="Times New Roman" w:eastAsia="Times New Roman" w:hAnsi="Times New Roman"/>
          <w:sz w:val="22"/>
          <w:szCs w:val="22"/>
          <w:color w:val="auto"/>
        </w:rPr>
        <w:t>” shall have the meaning assigned to such term in Section 2.05(c).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Lenders</w:t>
      </w:r>
      <w:r>
        <w:rPr>
          <w:rFonts w:ascii="Times New Roman" w:cs="Times New Roman" w:eastAsia="Times New Roman" w:hAnsi="Times New Roman"/>
          <w:sz w:val="22"/>
          <w:szCs w:val="22"/>
          <w:color w:val="auto"/>
        </w:rPr>
        <w:t>” shall mean the Lenders having U.S. Revolving Commitments or outstanding U.S. Loans.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Loan</w:t>
      </w:r>
      <w:r>
        <w:rPr>
          <w:rFonts w:ascii="Times New Roman" w:cs="Times New Roman" w:eastAsia="Times New Roman" w:hAnsi="Times New Roman"/>
          <w:sz w:val="22"/>
          <w:szCs w:val="22"/>
          <w:color w:val="auto"/>
        </w:rPr>
        <w:t>” shall mean a U.S. Revolving Credit Loan. Each U.S. Loan shall be an ABR Loan or a SOFR Loan.</w:t>
      </w:r>
    </w:p>
    <w:p>
      <w:pPr>
        <w:spacing w:after="0" w:line="3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90" w:name="page91"/>
    <w:bookmarkEnd w:id="90"/>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Owned Subsidiary</w:t>
      </w:r>
      <w:r>
        <w:rPr>
          <w:rFonts w:ascii="Times New Roman" w:cs="Times New Roman" w:eastAsia="Times New Roman" w:hAnsi="Times New Roman"/>
          <w:sz w:val="22"/>
          <w:szCs w:val="22"/>
          <w:color w:val="auto"/>
        </w:rPr>
        <w:t xml:space="preserve">” shall mean a Foreign Subsidiary of (i)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xml:space="preserve"> U.S. Borrower or (ii) a Subsidiary of the Parent Borrower that is a U.S. Person. None of the Material Subsidiaries on the Closing Date and their successors shall be considered a U.S. Owned Subsidiary.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Person</w:t>
      </w:r>
      <w:r>
        <w:rPr>
          <w:rFonts w:ascii="Times New Roman" w:cs="Times New Roman" w:eastAsia="Times New Roman" w:hAnsi="Times New Roman"/>
          <w:sz w:val="22"/>
          <w:szCs w:val="22"/>
          <w:color w:val="auto"/>
        </w:rPr>
        <w:t>” shall mean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Pledge Agreement</w:t>
      </w:r>
      <w:r>
        <w:rPr>
          <w:rFonts w:ascii="Times New Roman" w:cs="Times New Roman" w:eastAsia="Times New Roman" w:hAnsi="Times New Roman"/>
          <w:sz w:val="21"/>
          <w:szCs w:val="21"/>
          <w:color w:val="auto"/>
        </w:rPr>
        <w:t>” shall mean the U.S. Pledge Agreement, substantially in the form of Exhibit D-2, among the 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the Subsidiaries party thereto and the U.S. Collateral Agent for the benefit of the Secured Parties.</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Borrowing</w:t>
      </w:r>
      <w:r>
        <w:rPr>
          <w:rFonts w:ascii="Times New Roman" w:cs="Times New Roman" w:eastAsia="Times New Roman" w:hAnsi="Times New Roman"/>
          <w:sz w:val="22"/>
          <w:szCs w:val="22"/>
          <w:color w:val="auto"/>
        </w:rPr>
        <w:t>” shall mean group of U.S. Revolving Credit Loans of a single Type made, converted or continued by the U.S. Revolving Lenders on a single date and, in the case of a SOFR Borrowing, as to which a single Interest Period is in effect.</w:t>
      </w:r>
    </w:p>
    <w:p>
      <w:pPr>
        <w:spacing w:after="0" w:line="16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Commitment</w:t>
      </w:r>
      <w:r>
        <w:rPr>
          <w:rFonts w:ascii="Times New Roman" w:cs="Times New Roman" w:eastAsia="Times New Roman" w:hAnsi="Times New Roman"/>
          <w:sz w:val="21"/>
          <w:szCs w:val="21"/>
          <w:color w:val="auto"/>
        </w:rPr>
        <w:t>” shall mean, with respect to each U.S. Revolving Lender, the commitment of such U.S. Revolving Lender to (a) make U.S. Revolving Credit Loans hereunder, (b) purchase participations in the U.S. L/C Exposure and</w:t>
      </w:r>
    </w:p>
    <w:p>
      <w:pPr>
        <w:spacing w:after="0" w:line="2" w:lineRule="exact"/>
        <w:rPr>
          <w:sz w:val="20"/>
          <w:szCs w:val="20"/>
          <w:color w:val="auto"/>
        </w:rPr>
      </w:pPr>
    </w:p>
    <w:p>
      <w:pPr>
        <w:jc w:val="both"/>
        <w:ind w:firstLine="8"/>
        <w:spacing w:after="0" w:line="246" w:lineRule="auto"/>
        <w:tabs>
          <w:tab w:leader="none" w:pos="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increased from time to time pursuant to Section 2.25, (ii) reduced from time to time pursuant to Section 2.09 and (iii) reduced or increased from time to time pursuant to assignments by or to such U.S. Revolving Lender pursuant to Section 9.04. The aggregate amount of the U.S. Revolving Commitments as of the Closing Date is U.S.$10,000,000.</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Credit Exposure</w:t>
      </w:r>
      <w:r>
        <w:rPr>
          <w:rFonts w:ascii="Times New Roman" w:cs="Times New Roman" w:eastAsia="Times New Roman" w:hAnsi="Times New Roman"/>
          <w:sz w:val="22"/>
          <w:szCs w:val="22"/>
          <w:color w:val="auto"/>
        </w:rPr>
        <w:t xml:space="preserve">” shall mean, with respect to any U.S. Revolving Lender at any time, the aggregate principal amount at such time of all outstanding U.S. Revolving Credit Loans of such U.S. Revolving Lender,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amount at such time of such U.S. Revolving Lender’s U.S. Revolving Pro Rata Percentage of the U.S. L/C Exposure plus such U.S. Revolving Lender’s U.S. Revolving Pro Rata Percentage of the outstanding amount all U.S. Swing Line Loans.</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Credit Facility</w:t>
      </w:r>
      <w:r>
        <w:rPr>
          <w:rFonts w:ascii="Times New Roman" w:cs="Times New Roman" w:eastAsia="Times New Roman" w:hAnsi="Times New Roman"/>
          <w:sz w:val="22"/>
          <w:szCs w:val="22"/>
          <w:color w:val="auto"/>
        </w:rPr>
        <w:t>” shall mean at any time the aggregate amount of the U.S. Revolving Commitments of the U.S. Revolving Lenders at such time.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Credit Loan</w:t>
      </w:r>
      <w:r>
        <w:rPr>
          <w:rFonts w:ascii="Times New Roman" w:cs="Times New Roman" w:eastAsia="Times New Roman" w:hAnsi="Times New Roman"/>
          <w:sz w:val="22"/>
          <w:szCs w:val="22"/>
          <w:color w:val="auto"/>
        </w:rPr>
        <w:t>” shall mean the U.S. dollar-denominated Revolving Credit Loans made by the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Revolving Lenders to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Lenders</w:t>
      </w:r>
      <w:r>
        <w:rPr>
          <w:rFonts w:ascii="Times New Roman" w:cs="Times New Roman" w:eastAsia="Times New Roman" w:hAnsi="Times New Roman"/>
          <w:sz w:val="22"/>
          <w:szCs w:val="22"/>
          <w:color w:val="auto"/>
        </w:rPr>
        <w:t>” shall mean Lenders having U.S. Revolving Commitments, outstanding U.S. Revolving Credit Loans, participations in U.S. Letters of Credit pursuant to Section 2.21(d) or in outstanding U.S. Swing Line Loans pursuant to Section 2.23.</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91" w:name="page92"/>
    <w:bookmarkEnd w:id="91"/>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Pro Rata Percentage</w:t>
      </w:r>
      <w:r>
        <w:rPr>
          <w:rFonts w:ascii="Times New Roman" w:cs="Times New Roman" w:eastAsia="Times New Roman" w:hAnsi="Times New Roman"/>
          <w:sz w:val="22"/>
          <w:szCs w:val="22"/>
          <w:color w:val="auto"/>
        </w:rPr>
        <w:t xml:space="preserve">” of any U.S. Revolving Lender, subject to any adjustment as provided in Section 2.24(c) or 2.25(a), </w:t>
      </w:r>
      <w:r>
        <w:rPr>
          <w:rFonts w:ascii="Times New Roman" w:cs="Times New Roman" w:eastAsia="Times New Roman" w:hAnsi="Times New Roman"/>
          <w:sz w:val="22"/>
          <w:szCs w:val="22"/>
          <w:u w:val="single" w:color="auto"/>
          <w:color w:val="0000FF"/>
          <w:highlight w:val="lightGray"/>
        </w:rPr>
        <w:t>shall mean</w:t>
      </w:r>
      <w:r>
        <w:rPr>
          <w:rFonts w:ascii="Times New Roman" w:cs="Times New Roman" w:eastAsia="Times New Roman" w:hAnsi="Times New Roman"/>
          <w:sz w:val="22"/>
          <w:szCs w:val="22"/>
          <w:color w:val="auto"/>
        </w:rPr>
        <w:t xml:space="preserve"> the percentage of the aggregate U.S. Revolving Commitments represented by such U.S. Revolving Lender’s U.S.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Security Agreement</w:t>
      </w:r>
      <w:r>
        <w:rPr>
          <w:rFonts w:ascii="Times New Roman" w:cs="Times New Roman" w:eastAsia="Times New Roman" w:hAnsi="Times New Roman"/>
          <w:sz w:val="22"/>
          <w:szCs w:val="22"/>
          <w:color w:val="auto"/>
        </w:rPr>
        <w:t>” shall mean the U.S. Security Agreement, substantially in the form of Exhibit E-3, among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the Subsidiaries party thereto and the U.S. Collateral Agent for the benefit of the Secured Parties.</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Security Documents</w:t>
      </w:r>
      <w:r>
        <w:rPr>
          <w:rFonts w:ascii="Times New Roman" w:cs="Times New Roman" w:eastAsia="Times New Roman" w:hAnsi="Times New Roman"/>
          <w:sz w:val="22"/>
          <w:szCs w:val="22"/>
          <w:color w:val="auto"/>
        </w:rPr>
        <w:t xml:space="preserve">” shall mean the U.S. Security Agreement, the U.S. Pledge Agreement and each other Security Document to which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xml:space="preserve"> U.S. Borrower or any Domestic Subsidiary is a party and that purports to grant a Lien in the assets of any such person in favor of the U.S. Collateral Agent for the benefit of the Secured Parties.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Special Resolution Regime</w:t>
      </w:r>
      <w:r>
        <w:rPr>
          <w:rFonts w:ascii="Times New Roman" w:cs="Times New Roman" w:eastAsia="Times New Roman" w:hAnsi="Times New Roman"/>
          <w:sz w:val="22"/>
          <w:szCs w:val="22"/>
          <w:color w:val="auto"/>
        </w:rPr>
        <w:t>” shall have the meaning provided in Section 9.25.</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Subsidiary Guarantor</w:t>
      </w:r>
      <w:r>
        <w:rPr>
          <w:rFonts w:ascii="Times New Roman" w:cs="Times New Roman" w:eastAsia="Times New Roman" w:hAnsi="Times New Roman"/>
          <w:sz w:val="22"/>
          <w:szCs w:val="22"/>
          <w:color w:val="auto"/>
        </w:rPr>
        <w:t xml:space="preserve">” shall mean each Domestic Subsidiary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xml:space="preserve"> U.S. Borrower listed on Schedule 1.01(b), and each other Domestic Subsidiary that is or becomes a party to the U.S. Guarantee Agreement.</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Borrowing</w:t>
      </w:r>
      <w:r>
        <w:rPr>
          <w:rFonts w:ascii="Times New Roman" w:cs="Times New Roman" w:eastAsia="Times New Roman" w:hAnsi="Times New Roman"/>
          <w:sz w:val="22"/>
          <w:szCs w:val="22"/>
          <w:color w:val="auto"/>
        </w:rPr>
        <w:t>” shall mean a borrowing of a U.S. Swing Line Loan pursuant to Section 2.23(a)(i) or, if an AutoBorrow Agreement is in effect, any transfer of funds pursuant to such AutoBorrow Agreement.</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Lender</w:t>
      </w:r>
      <w:r>
        <w:rPr>
          <w:rFonts w:ascii="Times New Roman" w:cs="Times New Roman" w:eastAsia="Times New Roman" w:hAnsi="Times New Roman"/>
          <w:sz w:val="22"/>
          <w:szCs w:val="22"/>
          <w:color w:val="auto"/>
        </w:rPr>
        <w:t>” shall mean RBC in its capacity as provider of U.S. Swing Line Loans, or any successor swing line lender hereunder.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Loan</w:t>
      </w:r>
      <w:r>
        <w:rPr>
          <w:rFonts w:ascii="Times New Roman" w:cs="Times New Roman" w:eastAsia="Times New Roman" w:hAnsi="Times New Roman"/>
          <w:sz w:val="22"/>
          <w:szCs w:val="22"/>
          <w:color w:val="auto"/>
        </w:rPr>
        <w:t>” shall have the meaning assigned to such term in Section 2.23(a)(i).</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Sublimit</w:t>
      </w:r>
      <w:r>
        <w:rPr>
          <w:rFonts w:ascii="Times New Roman" w:cs="Times New Roman" w:eastAsia="Times New Roman" w:hAnsi="Times New Roman"/>
          <w:sz w:val="22"/>
          <w:szCs w:val="22"/>
          <w:color w:val="auto"/>
        </w:rPr>
        <w:t>” shall mean U.S.$10,000,000. The U.S. Swing Line Sublimit is part of, and not in addition to, the U.S. Revolving Commitments.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shall have the meaning assigned to such term in Section 2.19(g)(ii)(B)(3).</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wholly owned Subsidiary</w:t>
      </w:r>
      <w:r>
        <w:rPr>
          <w:rFonts w:ascii="Times New Roman" w:cs="Times New Roman" w:eastAsia="Times New Roman" w:hAnsi="Times New Roman"/>
          <w:sz w:val="21"/>
          <w:szCs w:val="21"/>
          <w:color w:val="auto"/>
        </w:rPr>
        <w:t>” of any person shall mean (a) any subsidiary of such person of which securities (except for directors’ qualifying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92" w:name="page93"/>
    <w:bookmarkEnd w:id="92"/>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p>
    <w:p>
      <w:pPr>
        <w:spacing w:after="0" w:line="1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Withdrawal Liability</w:t>
      </w:r>
      <w:r>
        <w:rPr>
          <w:rFonts w:ascii="Times New Roman" w:cs="Times New Roman" w:eastAsia="Times New Roman" w:hAnsi="Times New Roman"/>
          <w:sz w:val="22"/>
          <w:szCs w:val="22"/>
          <w:color w:val="auto"/>
        </w:rPr>
        <w:t>” shall mean liability to a Multiemployer Plan as a result of a complete or partial withdrawal from such Multiemployer Plan, as such terms are defined in Part I of Subtitle E of Title IV of ERISA.</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Withholding Agent</w:t>
      </w:r>
      <w:r>
        <w:rPr>
          <w:rFonts w:ascii="Times New Roman" w:cs="Times New Roman" w:eastAsia="Times New Roman" w:hAnsi="Times New Roman"/>
          <w:sz w:val="22"/>
          <w:szCs w:val="22"/>
          <w:color w:val="auto"/>
        </w:rPr>
        <w:t>” shall mean any Loan Party and the Administrative Agent.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jc w:val="both"/>
        <w:ind w:firstLine="656"/>
        <w:spacing w:after="0" w:line="263" w:lineRule="auto"/>
        <w:tabs>
          <w:tab w:leader="none" w:pos="121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4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Kingdom, any powers of the applicable UK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i w:val="1"/>
          <w:iCs w:val="1"/>
          <w:color w:val="auto"/>
        </w:rPr>
        <w:t>Terms Generally</w:t>
      </w:r>
    </w:p>
    <w:p>
      <w:pPr>
        <w:spacing w:after="0" w:line="226" w:lineRule="exact"/>
        <w:rPr>
          <w:sz w:val="20"/>
          <w:szCs w:val="20"/>
          <w:color w:val="auto"/>
        </w:rPr>
      </w:pPr>
    </w:p>
    <w:p>
      <w:pPr>
        <w:jc w:val="both"/>
        <w:ind w:firstLine="656"/>
        <w:spacing w:after="0" w:line="248" w:lineRule="auto"/>
        <w:tabs>
          <w:tab w:leader="none" w:pos="7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w:t>
      </w: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93" w:name="page94"/>
    <w:bookmarkEnd w:id="9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Parent Borrower notifies the Administrative Agent that the Borrowers wish to amend any covenant in Article VI or any related definition to eliminate the effect of any change in GAAP occurring after the Closing Date on the operation of such covenant (or if the Administrative Agent notifies the Parent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Parent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i w:val="1"/>
          <w:iCs w:val="1"/>
          <w:color w:val="auto"/>
        </w:rPr>
        <w:t>Several Obligations; Power of Attorney</w:t>
      </w:r>
    </w:p>
    <w:p>
      <w:pPr>
        <w:spacing w:after="0" w:line="226" w:lineRule="exact"/>
        <w:rPr>
          <w:sz w:val="20"/>
          <w:szCs w:val="20"/>
          <w:color w:val="auto"/>
        </w:rPr>
      </w:pPr>
    </w:p>
    <w:p>
      <w:pPr>
        <w:jc w:val="both"/>
        <w:ind w:firstLine="656"/>
        <w:spacing w:after="0" w:line="250" w:lineRule="auto"/>
        <w:tabs>
          <w:tab w:leader="none" w:pos="75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and the Australian Borrower hereby appoints the Parent Borrower and each of its officers to be its attorneys in fact (its “</w:t>
      </w:r>
      <w:r>
        <w:rPr>
          <w:rFonts w:ascii="Times New Roman" w:cs="Times New Roman" w:eastAsia="Times New Roman" w:hAnsi="Times New Roman"/>
          <w:sz w:val="22"/>
          <w:szCs w:val="22"/>
          <w:i w:val="1"/>
          <w:iCs w:val="1"/>
          <w:color w:val="auto"/>
        </w:rPr>
        <w:t>Attorneys</w:t>
      </w:r>
      <w:r>
        <w:rPr>
          <w:rFonts w:ascii="Times New Roman" w:cs="Times New Roman" w:eastAsia="Times New Roman" w:hAnsi="Times New Roman"/>
          <w:sz w:val="22"/>
          <w:szCs w:val="22"/>
          <w:color w:val="auto"/>
        </w:rPr>
        <w:t>”) and in its name and on its behalf and as its act and deed or otherwise to sign all documents and carry out all such acts as are necessary or appropriate in connection with executing any Borrowing Request, any Loan Documents or any other instruments, certificates or documents delivered thereunder or in connection therewith (collectively, the “</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xml:space="preserve">”). This Power of Attorney shall be valid for the duration of the term of this Agreement.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Each</w:t>
      </w:r>
      <w:r>
        <w:rPr>
          <w:rFonts w:ascii="Times New Roman" w:cs="Times New Roman" w:eastAsia="Times New Roman" w:hAnsi="Times New Roman"/>
          <w:sz w:val="22"/>
          <w:szCs w:val="22"/>
          <w:color w:val="auto"/>
        </w:rPr>
        <w:t xml:space="preserve"> U.S. Borrower and the Australian Borrower hereby ratifies any and all acts which any of its Attorneys shall do in order to execute on its behalf, or in connection with, the Documents mentioned herein.</w:t>
      </w:r>
    </w:p>
    <w:p>
      <w:pPr>
        <w:spacing w:after="0" w:line="17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i w:val="1"/>
          <w:iCs w:val="1"/>
          <w:color w:val="auto"/>
        </w:rPr>
        <w:t>Classification of Loans and Borrowings</w:t>
      </w:r>
    </w:p>
    <w:p>
      <w:pPr>
        <w:spacing w:after="0" w:line="222" w:lineRule="exact"/>
        <w:rPr>
          <w:sz w:val="20"/>
          <w:szCs w:val="20"/>
          <w:color w:val="auto"/>
        </w:rPr>
      </w:pPr>
    </w:p>
    <w:p>
      <w:pPr>
        <w:jc w:val="both"/>
        <w:ind w:firstLine="656"/>
        <w:spacing w:after="0" w:line="265" w:lineRule="auto"/>
        <w:tabs>
          <w:tab w:leader="none" w:pos="75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Loans may be classified and referred to by Class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“U.S. Revolving Credit Loan”) or by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Loan”) or by Class and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U.S. Revolving Credit Loan”). Borrowings also may be classified and referred to by</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Class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“U.S. Revolving Borrowing”) or by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Borrowing”) or by Class and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Revolving Borrowing”).</w:t>
      </w:r>
    </w:p>
    <w:p>
      <w:pPr>
        <w:spacing w:after="0" w:line="190"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i w:val="1"/>
          <w:iCs w:val="1"/>
          <w:color w:val="auto"/>
        </w:rPr>
        <w:t>Additional Alternative Currencies</w:t>
      </w:r>
    </w:p>
    <w:p>
      <w:pPr>
        <w:spacing w:after="0" w:line="239" w:lineRule="exact"/>
        <w:rPr>
          <w:sz w:val="20"/>
          <w:szCs w:val="20"/>
          <w:color w:val="auto"/>
        </w:rPr>
      </w:pPr>
    </w:p>
    <w:p>
      <w:pPr>
        <w:jc w:val="both"/>
        <w:ind w:firstLine="656"/>
        <w:spacing w:after="0" w:line="246" w:lineRule="auto"/>
        <w:tabs>
          <w:tab w:leader="none" w:pos="75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may from time to time request that Letters of Credit be issued in a currency other than those specifically listed in the definition of “Alternative Currency;”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spacing w:after="0" w:line="20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i w:val="1"/>
          <w:iCs w:val="1"/>
          <w:color w:val="FF0000"/>
          <w:strike w:val="1"/>
        </w:rPr>
        <w:t>Cashless Rolls</w:t>
      </w:r>
      <w:r>
        <w:rPr>
          <w:rFonts w:ascii="Times New Roman" w:cs="Times New Roman" w:eastAsia="Times New Roman" w:hAnsi="Times New Roman"/>
          <w:sz w:val="21"/>
          <w:szCs w:val="21"/>
          <w:b w:val="1"/>
          <w:bCs w:val="1"/>
          <w:i w:val="1"/>
          <w:iCs w:val="1"/>
          <w:u w:val="single" w:color="auto"/>
          <w:color w:val="0000FF"/>
          <w:highlight w:val="lightGray"/>
          <w:strike w:val="1"/>
        </w:rPr>
        <w:t>[Reserved]</w:t>
      </w:r>
    </w:p>
    <w:p>
      <w:pPr>
        <w:spacing w:after="0" w:line="226" w:lineRule="exact"/>
        <w:rPr>
          <w:sz w:val="20"/>
          <w:szCs w:val="20"/>
          <w:color w:val="auto"/>
        </w:rPr>
      </w:pPr>
    </w:p>
    <w:p>
      <w:pPr>
        <w:jc w:val="both"/>
        <w:ind w:firstLine="656"/>
        <w:spacing w:after="0" w:line="252" w:lineRule="auto"/>
        <w:tabs>
          <w:tab w:leader="none" w:pos="756" w:val="left"/>
        </w:tabs>
        <w:numPr>
          <w:ilvl w:val="0"/>
          <w:numId w:val="4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Notwithstanding anything to the contrary contained in this Agreement or in any other Loan Document, any Lender may exchange, continue or roll over all or a portion of its Canadian Term Loans (as defined in the Existing Credit Agreement) in connection with this Agreement, pursuant to a cashless settlement mechanism approved by the Borrower, the Administrative Agent and such Lender.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1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i w:val="1"/>
          <w:iCs w:val="1"/>
          <w:color w:val="auto"/>
        </w:rPr>
        <w:t>Interest Rates; Benchmark Notification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304"/>
        <w:spacing w:after="0" w:line="271" w:lineRule="auto"/>
        <w:tabs>
          <w:tab w:leader="none" w:pos="180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rate on Loan denominated in U.S. dollars or Canadian dollars may be derived from an interest rate benchmark that may be discontinued or is, or may in the future become, the subject of regulatory reform.</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95" w:name="page96"/>
    <w:bookmarkEnd w:id="95"/>
    <w:p>
      <w:pPr>
        <w:jc w:val="both"/>
        <w:ind w:firstLine="1304"/>
        <w:spacing w:after="0" w:line="247" w:lineRule="auto"/>
        <w:tabs>
          <w:tab w:leader="none" w:pos="18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 Benchmark Transition Event, Section 2.26 provides a mechanism for determining an alternative rate of interest. The Administrative Agent does not warrant or accept any responsibility for, and shall not have any liability with respect to,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auto"/>
        </w:rPr>
        <w:t xml:space="preserve"> the continuation of, the administration of, submission of, calculation of, performance of or any other matter related to any interest rate used in this Agreement (including, without limitation, the Alternate Base Rate, the U.S. Base Rate, SOFR, the Term SOFR Reference Rate, Adjusted Term SOFR or Term SOFR) or any component definition thereof or rates referred to in the definition thereof, or with respect to any alternative or successor rate thereto, or replacement rate thereof (including any Benchmark Replacement), including without limitation, whether the composition or characteristics of any such alternative, successor or replacement reference rate 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unavailability. The Administrative Agent and its affiliates and/or other related entities may engage in transactions that affect the calculation of any interest rate (or component thereof)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4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Canadian Benchmark Transition Event, Section 2.27 provides a mechanism for determining an alternative rate of interest. The Canadian Administrative Agent does not warrant or accept responsibility for, and shall not have any liability with respect to (a) the continuation of, administration of, submission of, calculation of or any other matter related to the Canadian Prime Rate, Term CORRA, Daily Compounded CORRA, Adjusted Term CORRA or Adjusted Daily Compounded CORRA or any component definition thereof or rates referred to in the definition thereof, or any alternative, successor or replacement rate thereto (including any Canadian Benchmark Replacement), including whether the composition or characteristics of any such alternative, successor or replacement rate (including any Canadian Benchmark Replacement) will be similar to, or produce the same value or economic equivalence of, or have the same volume or liquidity as, the Canadian Prime Rate, Term CORRA, Daily Compounded CORRA, Adjusted Term CORRA, Adjusted Daily Compounded CORRA or any other Canadian Benchmark prior to its discontinuance or unavailability, or (b) the effect, implementation or composition of any Canadian Conforming Changes. The Canadian Administrative Agent and its affiliates or other related entities may engage in transactions that affect the calculation of the Canadian Prime Rate, Term CORRA, Daily Compounded CORRA, Adjusted Term CORRA, Adjusted Daily Compounded CORRA, any alternative, successor or replacement rate (including any Canadian Benchmark Replacement) or any relevant adjustments thereto, in each case, in a manner adverse to the Borrowers. The</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96" w:name="page97"/>
    <w:bookmarkEnd w:id="96"/>
    <w:p>
      <w:pPr>
        <w:jc w:val="both"/>
        <w:spacing w:after="0" w:line="251" w:lineRule="auto"/>
        <w:rPr>
          <w:sz w:val="20"/>
          <w:szCs w:val="20"/>
          <w:color w:val="auto"/>
        </w:rPr>
      </w:pPr>
      <w:r>
        <w:rPr>
          <w:rFonts w:ascii="Times New Roman" w:cs="Times New Roman" w:eastAsia="Times New Roman" w:hAnsi="Times New Roman"/>
          <w:sz w:val="22"/>
          <w:szCs w:val="22"/>
          <w:color w:val="auto"/>
        </w:rPr>
        <w:t>Canadian Administrative Agent may select information sources or services in its reasonable discretion to ascertain the Canadian Prime Rate, Term CORRA, Adjusted Term CORRA, Adjusted Daily Compounded CORRA or any other Canadian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CREDITS</w:t>
      </w:r>
    </w:p>
    <w:p>
      <w:pPr>
        <w:spacing w:after="0" w:line="21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2.01</w:t>
      </w:r>
      <w:r>
        <w:rPr>
          <w:sz w:val="20"/>
          <w:szCs w:val="20"/>
          <w:color w:val="auto"/>
        </w:rPr>
        <w:tab/>
      </w:r>
      <w:r>
        <w:rPr>
          <w:rFonts w:ascii="Times New Roman" w:cs="Times New Roman" w:eastAsia="Times New Roman" w:hAnsi="Times New Roman"/>
          <w:sz w:val="21"/>
          <w:szCs w:val="21"/>
          <w:b w:val="1"/>
          <w:bCs w:val="1"/>
          <w:i w:val="1"/>
          <w:iCs w:val="1"/>
          <w:color w:val="auto"/>
        </w:rPr>
        <w:t>Commitments</w:t>
      </w:r>
    </w:p>
    <w:p>
      <w:pPr>
        <w:spacing w:after="0" w:line="226" w:lineRule="exact"/>
        <w:rPr>
          <w:sz w:val="20"/>
          <w:szCs w:val="20"/>
          <w:color w:val="auto"/>
        </w:rPr>
      </w:pPr>
    </w:p>
    <w:p>
      <w:pPr>
        <w:ind w:left="760" w:hanging="104"/>
        <w:spacing w:after="0"/>
        <w:tabs>
          <w:tab w:leader="none" w:pos="7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and relying upon the representations and warranties herein set forth:</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U.S. Revolving Lender agrees, severally and not jointly, to make U.S. Revolving Credit Loans in U.S. dollars to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at any time and from time to time on or after the Closing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9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Canadian Revolving Lender agrees, severally and not jointly, to make Canadian Revolving Credit Loans in Canadian dollars and/or U.S. dollars to the Parent Borrower </w:t>
      </w:r>
      <w:r>
        <w:rPr>
          <w:rFonts w:ascii="Times New Roman" w:cs="Times New Roman" w:eastAsia="Times New Roman" w:hAnsi="Times New Roman"/>
          <w:sz w:val="22"/>
          <w:szCs w:val="22"/>
          <w:u w:val="single" w:color="auto"/>
          <w:color w:val="0000FF"/>
          <w:highlight w:val="lightGray"/>
        </w:rPr>
        <w:t>and the U.S. Borrowers (with respect to U.S. dollar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denominated Canadian Revolving Credit Loans)</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at any time and from time to time on or after the Closing Date, and until the</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earlier of the Maturity Date and the termination of the Canadian Revolving Commitment of such Lender in accordance with the terms hereof, in an aggregate principal amount at any time outstanding that will not result in such Lender’s Canadian Revolving Credit Exposure exceeding such Lender’s Canadian Revolving Commitment;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each Canadian Term Lender agrees, severally and not jointly, to make Canadian Term Loan in Canadian dollars to the Parent Borrower on the Closing Date, in a principal amount not to exceed such Lender’s Canadian Term Commitment;</w:t>
      </w:r>
      <w:r>
        <w:rPr>
          <w:rFonts w:ascii="Times New Roman" w:cs="Times New Roman" w:eastAsia="Times New Roman" w:hAnsi="Times New Roman"/>
          <w:sz w:val="22"/>
          <w:szCs w:val="22"/>
          <w:u w:val="single" w:color="auto"/>
          <w:color w:val="0000FF"/>
          <w:highlight w:val="lightGray"/>
          <w:strike w:val="1"/>
        </w:rPr>
        <w:t>[reserved];</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8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Australian Lender agrees, severally and not jointly, to make Australian Revolving Credit Loans in Australian dollars and/or U.S. dollars to the Australian Borrower at any time and from time to time on or after the Closing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97" w:name="page98"/>
    <w:bookmarkEnd w:id="97"/>
    <w:p>
      <w:pPr>
        <w:ind w:firstLine="1304"/>
        <w:spacing w:after="0" w:line="271" w:lineRule="auto"/>
        <w:tabs>
          <w:tab w:leader="none" w:pos="18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Swing Line Lender agrees to make Swing Line Loans in U.S. dollars to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in accordance with Section 2.23;</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7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Canadian Swing Line Lender agrees to make Swing Line Loans in Canadian dollars or U.S. dollars to the Parent Borrower in accordance with Section 2.23; and</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8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limits set forth in the preceding sentence and subject to the terms, conditions and limitations set forth herein, the Borrowers may borrow, prepay and reborrow Revolving Credit Loans.</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2.02</w:t>
      </w:r>
      <w:r>
        <w:rPr>
          <w:sz w:val="20"/>
          <w:szCs w:val="20"/>
          <w:color w:val="auto"/>
        </w:rPr>
        <w:tab/>
      </w:r>
      <w:r>
        <w:rPr>
          <w:rFonts w:ascii="Times New Roman" w:cs="Times New Roman" w:eastAsia="Times New Roman" w:hAnsi="Times New Roman"/>
          <w:sz w:val="21"/>
          <w:szCs w:val="21"/>
          <w:b w:val="1"/>
          <w:bCs w:val="1"/>
          <w:i w:val="1"/>
          <w:iCs w:val="1"/>
          <w:color w:val="auto"/>
        </w:rPr>
        <w:t>Loans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33" w:lineRule="exact"/>
        <w:rPr>
          <w:sz w:val="20"/>
          <w:szCs w:val="20"/>
          <w:color w:val="auto"/>
        </w:rPr>
      </w:pPr>
    </w:p>
    <w:p>
      <w:pPr>
        <w:jc w:val="both"/>
        <w:ind w:firstLine="1304"/>
        <w:spacing w:after="0" w:line="248" w:lineRule="auto"/>
        <w:tabs>
          <w:tab w:leader="none" w:pos="1431" w:val="left"/>
        </w:tabs>
        <w:numPr>
          <w:ilvl w:val="0"/>
          <w:numId w:val="4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 xml:space="preserve">(a) Each Loan shall be made as part of a Borrowing consisting of Loans made by the Applicable Lenders ratably in accordance with their Applicable Pro Rata Percentages of the applicable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SOFR Loans, an integral multiple of U.S.$1,000,000 and in a minimum amount of U.S.$3,000,000, (iii) in case of Canadian dollar-denominated Term CORRA Loans, an integral multiple of C$100,000 and in a minimum amount of C$1,000,000, (iv) in the case of Canadian dollar-denominated Loans (other than Term CORRA Loans), an integral multiple of C$100,000 and in a minimum amount of C$1,000,000, (v) in the case of Australian dollar-denominated Loans, an integral multiple of AUD$100,000 and in a minimum amount of AUD$1,000,000 or (vi) equal to the remaining available balance of the applicable Commitment.</w:t>
      </w:r>
    </w:p>
    <w:p>
      <w:pPr>
        <w:spacing w:after="0" w:line="184" w:lineRule="exact"/>
        <w:rPr>
          <w:sz w:val="20"/>
          <w:szCs w:val="20"/>
          <w:color w:val="auto"/>
        </w:rPr>
      </w:pPr>
    </w:p>
    <w:p>
      <w:pPr>
        <w:jc w:val="both"/>
        <w:ind w:firstLine="1304"/>
        <w:spacing w:after="0" w:line="248" w:lineRule="auto"/>
        <w:tabs>
          <w:tab w:leader="none" w:pos="179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Sections 2.08 and 2.14, (i) each Borrowing (other than a Swing Line Borrowing) denominated in U.S. dollars shall be comprised entirely of ABR Loans (if made to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xml:space="preserve"> U.S. Borrower), U.S. Base Rate Loans (if made to the Parent Borrower) or SOFR Loans as the Applicable Borrower may request pursuant to Section 2.03, (ii) each Borrowing (other than a Swing Line Borrowing) denominated in Canadian dollars shall be comprised entirely of Term CORRA Loans or Canadian Prime Rate Loans as the Parent Borrower may request pursuant to Section 2.03 and (iii) each Borrowing denominated in Australian dollars shall be comprised entirely of BBSY Rate Loans. Each Lender may at its option make any SOFR Loan, Canadian Revolving Credit Loan or Australian Revolving Credit Loan denominated in U.S. dollars by causing any domestic or foreign branch or Affiliate of such Lender to make such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Borrowers shall not be entitled to request any Borrowing that, if made, would</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22"/>
          <w:szCs w:val="22"/>
          <w:color w:val="auto"/>
        </w:rPr>
        <w:t>result in more than ten SOFR Borrowings outstanding hereunder at any time, more than ten Term CORRA Borrowings outstanding hereunder at any time, or more than ten BBSY Rate Borrowings outstanding hereunder at any time. For purposes of the foregoing, SOFR Borrowings, BBSY Rate Borrowings or Term CORRA Borrowings having different Interest Periods, regardless of whether they commence on the same date, shall be considered separate Borrowings.</w:t>
      </w:r>
    </w:p>
    <w:p>
      <w:pPr>
        <w:spacing w:after="0" w:line="176" w:lineRule="exact"/>
        <w:rPr>
          <w:sz w:val="20"/>
          <w:szCs w:val="20"/>
          <w:color w:val="auto"/>
        </w:rPr>
      </w:pPr>
    </w:p>
    <w:p>
      <w:pPr>
        <w:jc w:val="both"/>
        <w:ind w:firstLine="1304"/>
        <w:spacing w:after="0" w:line="247" w:lineRule="auto"/>
        <w:tabs>
          <w:tab w:leader="none" w:pos="200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Loans made pursuant to Section 2.02(g), each U.S. Lender making Loans denominated in U.S. dollars to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xml:space="preserve"> U.S. Borrower shall make each such Loan to be made by it hereunder on the proposed date thereof by wire transfer of immediately available funds to such account as the Administrative Agent may designate not later than 1:00 p.m. (Standard Time) in the case of a SOFR Borrowing, or 1:00 p.m. (Standard Time) in the case of an ABR Borrowing, and the Administrative Agent shall promptly credit the amounts so received to an account designated by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such</w:t>
      </w:r>
      <w:r>
        <w:rPr>
          <w:rFonts w:ascii="Times New Roman" w:cs="Times New Roman" w:eastAsia="Times New Roman" w:hAnsi="Times New Roman"/>
          <w:sz w:val="22"/>
          <w:szCs w:val="22"/>
          <w:color w:val="auto"/>
        </w:rPr>
        <w:t xml:space="preserve"> U.S. Borrower in the applicable Borrowing Request. Except with respect to Loans made pursuant to Section 2.02(g), each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making Loans to the Parent Borrower </w:t>
      </w:r>
      <w:r>
        <w:rPr>
          <w:rFonts w:ascii="Times New Roman" w:cs="Times New Roman" w:eastAsia="Times New Roman" w:hAnsi="Times New Roman"/>
          <w:sz w:val="22"/>
          <w:szCs w:val="22"/>
          <w:u w:val="single" w:color="auto"/>
          <w:color w:val="0000FF"/>
          <w:highlight w:val="lightGray"/>
        </w:rPr>
        <w:t>or to a U.S. Borrower (with respect to U.S. dollar denominated Loans)</w:t>
      </w:r>
      <w:r>
        <w:rPr>
          <w:rFonts w:ascii="Times New Roman" w:cs="Times New Roman" w:eastAsia="Times New Roman" w:hAnsi="Times New Roman"/>
          <w:sz w:val="22"/>
          <w:szCs w:val="22"/>
          <w:color w:val="auto"/>
        </w:rPr>
        <w:t xml:space="preserve"> shall make each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 to be made by it hereunder on the proposed date thereof by wire transfer of immediately available funds to such account in Toronto, Ontario as the Canadian Administrative Agent may designate not later than 1:00 p.m. (Standard Time) in the case of a SOFR Borrowing or a Term CORRA Borrowing, or 1:00 p.m. (Standard Time) in the case of a Canadian Prime Rate Borrowing or U.S. Base Rate Borrowing, and the Canadian Administrative Agent shall promptly credit the amounts so received to an account designated by the Parent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19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does not constitute a waiver by any Borrower of any claim for damages permitted hereunder and attributable to such Lender. Any payment by a Borrower shall be without prejudice to any claim any Borrower may have against a Lender that shall have failed to make such payment to the Applicable Administrative Agent.</w:t>
      </w:r>
    </w:p>
    <w:p>
      <w:pPr>
        <w:spacing w:after="0" w:line="183" w:lineRule="exact"/>
        <w:rPr>
          <w:sz w:val="20"/>
          <w:szCs w:val="20"/>
          <w:color w:val="auto"/>
        </w:rPr>
      </w:pPr>
    </w:p>
    <w:p>
      <w:pPr>
        <w:jc w:val="both"/>
        <w:ind w:firstLine="1304"/>
        <w:spacing w:after="0" w:line="248" w:lineRule="auto"/>
        <w:tabs>
          <w:tab w:leader="none" w:pos="17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184" w:lineRule="exact"/>
        <w:rPr>
          <w:rFonts w:ascii="Times New Roman" w:cs="Times New Roman" w:eastAsia="Times New Roman" w:hAnsi="Times New Roman"/>
          <w:sz w:val="22"/>
          <w:szCs w:val="22"/>
          <w:color w:val="auto"/>
        </w:rPr>
      </w:pPr>
    </w:p>
    <w:p>
      <w:pPr>
        <w:ind w:right="20" w:firstLine="1304"/>
        <w:spacing w:after="0" w:line="271" w:lineRule="auto"/>
        <w:tabs>
          <w:tab w:leader="none" w:pos="180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Borrowers shall not be entitled to request any Borrowing if the Interest Period requested with respect thereto would end after the Maturity Date.</w:t>
      </w:r>
    </w:p>
    <w:p>
      <w:pPr>
        <w:spacing w:after="0" w:line="17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1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Issuing Bank shall not have received from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the Parent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Revolving Lender or Australian Lender, as applicable, of the U.S. Dollar Equivalent of such L/C Disbursement and its U.S. Revolving Pro Rata Percentage, Canadian Revolving Pro Rata Percentage or Australian Revolving Pro Rata Percentage, as applicable, thereof. Each such Revolving Lender shall pay by wire transfer of immediately available funds to the Applicable Administrative Agent not later than 2:00 p.m. (Standard Time)</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on such date (or, if such Revolving Lender shall have received such notice later than 12:00 p.m. (Standard Time) on any day, not later than 11:00 a.m. (Standard Time) on the immediately following Business Day), an amount equal to such Lender’s U.S. Revolving Pro Rata Percentage, Canadian Revolving Pro Rata Percentage or Australian Revolving Pro Rata Percentage, as applicable, of the U.S. Dollar Equivalent of such L/C 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Revolving Pro Rata Percentage or Australian Revolving Pro Rata Percentage, as applicable, of such L/C Disbursement available to the Applicable Administrative Agent as provided above, such Lender and the Borrower for whose (or for whose Subsidiary’s)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Revolving Lender, an Australian Lender or the Borrower for whose (or for whose Subsidiary’s) account such L/C Disbursement was made), the Borrower for whose (or for whose Subsidiary’s) account such L/C Disbursement was made covenants and agrees to pay, or cause to be paid, such additional amounts, if any, as may be necessary to ensure that the amount paid in U.S. dollars,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20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2.03</w:t>
      </w:r>
      <w:r>
        <w:rPr>
          <w:sz w:val="20"/>
          <w:szCs w:val="20"/>
          <w:color w:val="auto"/>
        </w:rPr>
        <w:tab/>
      </w:r>
      <w:r>
        <w:rPr>
          <w:rFonts w:ascii="Times New Roman" w:cs="Times New Roman" w:eastAsia="Times New Roman" w:hAnsi="Times New Roman"/>
          <w:sz w:val="21"/>
          <w:szCs w:val="21"/>
          <w:b w:val="1"/>
          <w:bCs w:val="1"/>
          <w:i w:val="1"/>
          <w:iCs w:val="1"/>
          <w:color w:val="auto"/>
        </w:rPr>
        <w:t>Borrowing Procedure</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59" w:lineRule="auto"/>
        <w:tabs>
          <w:tab w:leader="none" w:pos="1417" w:val="left"/>
        </w:tabs>
        <w:numPr>
          <w:ilvl w:val="0"/>
          <w:numId w:val="5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auto"/>
        </w:rPr>
        <w:t xml:space="preserve">(a) In order to request a Borrowing (other than a deemed Borrowing pursuant to Section 2.02(g) or a Swing Line Borrowing as to which this Section 2.03(a) shall not apply), the applicable U.S. Borrower (or the Parent Borrower on its behalf) shall hand deliver, fax or send by electronic communication (e-mail) (or by telephone notice promptly confirmed by a written, fax or electronic communication (e-mail)) to the Administrative Agent a duly completed Borrowing Request (x) in the case of a SOFR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such U.S. Borrower (or the Parent Borrower on its behalf) and shall specify the following information: (i) [reserved], (ii) whether such Borrowing is to be a SOFR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SOFR Borrowing, the Interest Period with respect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SOFR Borrowing is specified in any such notice, then the Parent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187" w:lineRule="exact"/>
        <w:rPr>
          <w:sz w:val="20"/>
          <w:szCs w:val="20"/>
          <w:color w:val="auto"/>
        </w:rPr>
      </w:pPr>
    </w:p>
    <w:p>
      <w:pPr>
        <w:jc w:val="both"/>
        <w:ind w:firstLine="1304"/>
        <w:spacing w:after="0" w:line="248" w:lineRule="auto"/>
        <w:tabs>
          <w:tab w:leader="none" w:pos="176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request a Borrowing (other than a deemed Borrowing pursuant to Section 2.02(g) or a Swing Line Borrowing as to which Section 2.03(b) shall not apply), the Parent Borrower shall hand deliver, fax or send by electronic communication (e-mail) (or by telephone notice promptly confirmed by a written, fax or electronic communication (e-mail)) to the Canadian Administrative Agent a duly completed Borrowing Request (x) in the case of a Term CORRA Borrowing or a SOFR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Parent Borrower and shall specify the following information: (i) in the case of a Canadian Revolving Borrowing, whether the Borrowing then being requested is to be denominated in Canadian dollars or U.S. dollars; (ii) whether such Borrowing is to be a Canadian Prime Rate Borrowing, a Term CORRA Borrowing, a U.S. Base Rate Borrowing or a SOFR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Term CORRA Borrowing or a SOFR Borrowing, the Interest Period therefor;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notwithstanding any contrary specification in any Borrowing Request, each requested Borrowing shall comply with</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2" w:name="page103"/>
    <w:bookmarkEnd w:id="102"/>
    <w:p>
      <w:pPr>
        <w:jc w:val="both"/>
        <w:spacing w:after="0" w:line="251" w:lineRule="auto"/>
        <w:rPr>
          <w:sz w:val="20"/>
          <w:szCs w:val="20"/>
          <w:color w:val="auto"/>
        </w:rPr>
      </w:pPr>
      <w:r>
        <w:rPr>
          <w:rFonts w:ascii="Times New Roman" w:cs="Times New Roman" w:eastAsia="Times New Roman" w:hAnsi="Times New Roman"/>
          <w:sz w:val="22"/>
          <w:szCs w:val="22"/>
          <w:color w:val="auto"/>
        </w:rPr>
        <w:t>the requirements set forth in Section 2.02. If no election as to the Type of Borrowing is specified in any such notice, then the requested Borrowing shall be a Canadian Prime Rate Borrowing (if denominated in Canadian dollars) or a U.S. Base Rate Borrowing (if denominated in U.S. dollars). If no Interest Period with respect to a Term CORRA Borrowing or SOFR Borrowing has been specified in any such notice, then the Parent Borrower shall be deemed to have selected an Interest Period of one month’s duration. The Canadian Administrative Agent shall promptly advise the Applicable Lenders of any notice given pursuant to this Section 2.03(b) (and the contents thereof), and of each Lender’s portion of the requested Borrowing.</w:t>
      </w:r>
    </w:p>
    <w:p>
      <w:pPr>
        <w:spacing w:after="0" w:line="181" w:lineRule="exact"/>
        <w:rPr>
          <w:sz w:val="20"/>
          <w:szCs w:val="20"/>
          <w:color w:val="auto"/>
        </w:rPr>
      </w:pPr>
    </w:p>
    <w:p>
      <w:pPr>
        <w:jc w:val="both"/>
        <w:ind w:firstLine="1304"/>
        <w:spacing w:after="0" w:line="248" w:lineRule="auto"/>
        <w:tabs>
          <w:tab w:leader="none" w:pos="175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request a Borrowing (other than a deemed Borrowing pursuant to Section 2.02(g), as to which this Section 2.03(c) shall not apply), the Australian Borrower (or the Parent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Parent Borrower on its behalf) and shall specify the following information: (i) whether the Borrowing then being requested is to be a BBSY Rate Borrowing denominated in Australian dollars or a SOFR Borrowing denominated in U.S. dollars; (ii) the date of such Borrowing (which shall be a Business Day); (iii) the number and location of the account to which funds are to be disbursed (which shall be an account that complies with the requirements of Section 2.02(c)); (iv) the amount of such Borrowing; and (v) the Interest Period therefor;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notwithstanding any contrary specification in any Borrowing Request, each requested Borrowing shall 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17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2.04</w:t>
      </w:r>
      <w:r>
        <w:rPr>
          <w:sz w:val="20"/>
          <w:szCs w:val="20"/>
          <w:color w:val="auto"/>
        </w:rPr>
        <w:tab/>
      </w:r>
      <w:r>
        <w:rPr>
          <w:rFonts w:ascii="Times New Roman" w:cs="Times New Roman" w:eastAsia="Times New Roman" w:hAnsi="Times New Roman"/>
          <w:sz w:val="21"/>
          <w:szCs w:val="21"/>
          <w:b w:val="1"/>
          <w:bCs w:val="1"/>
          <w:i w:val="1"/>
          <w:iCs w:val="1"/>
          <w:color w:val="auto"/>
        </w:rPr>
        <w:t>Evidence of Debt; Repayment of Loans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64" w:lineRule="auto"/>
        <w:tabs>
          <w:tab w:leader="none" w:pos="176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FF0000"/>
          <w:strike w:val="1"/>
        </w:rPr>
        <w:t>The</w:t>
      </w:r>
      <w:r>
        <w:rPr>
          <w:rFonts w:ascii="Times New Roman" w:cs="Times New Roman" w:eastAsia="Times New Roman" w:hAnsi="Times New Roman"/>
          <w:sz w:val="21"/>
          <w:szCs w:val="21"/>
          <w:u w:val="single" w:color="auto"/>
          <w:color w:val="0000FF"/>
          <w:highlight w:val="lightGray"/>
        </w:rPr>
        <w:t>Each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U.S. Borrower hereby unconditionally promises to pay to the Administrative Agent for the account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of each U.S. Revolving Lender holding U.S. Revolving Credit Loans the then unpaid principal amount of each such Revolving Credit Loan of such Lender on the Maturity Date. The Parent Borrower hereby unconditionally promises to pay to the Canadian Administrative Agent for the account of each Canadian Revolving Lender holding Canadian Revolving Credit Loans made to such Parent Borrower, the then unpaid principal amount of each such Revolving Credit Loan of such Canadian </w:t>
      </w:r>
      <w:r>
        <w:rPr>
          <w:rFonts w:ascii="Times New Roman" w:cs="Times New Roman" w:eastAsia="Times New Roman" w:hAnsi="Times New Roman"/>
          <w:sz w:val="21"/>
          <w:szCs w:val="21"/>
          <w:u w:val="single" w:color="auto"/>
          <w:color w:val="0000FF"/>
          <w:highlight w:val="lightGray"/>
        </w:rPr>
        <w:t>Revolving Lender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on the Maturity Date. Each U.S. Borrower hereby unconditionally promises to pay to the Canadian Administrative Agent for the account of each Canadian Revolving Lender holding Canadian Revolving Credit Loans denominated in U.S. dollars made to such U.S. Borrower, the then unpaid principal amount of each such Revolving Credit Loan of such Canadian Revolving</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75" w:lineRule="auto"/>
        <w:rPr>
          <w:sz w:val="20"/>
          <w:szCs w:val="20"/>
          <w:color w:val="auto"/>
        </w:rPr>
      </w:pPr>
      <w:r>
        <w:rPr>
          <w:rFonts w:ascii="Times New Roman" w:cs="Times New Roman" w:eastAsia="Times New Roman" w:hAnsi="Times New Roman"/>
          <w:sz w:val="21"/>
          <w:szCs w:val="21"/>
          <w:color w:val="auto"/>
        </w:rPr>
        <w:t>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69" w:lineRule="exact"/>
        <w:rPr>
          <w:sz w:val="20"/>
          <w:szCs w:val="20"/>
          <w:color w:val="auto"/>
        </w:rPr>
      </w:pPr>
    </w:p>
    <w:p>
      <w:pPr>
        <w:jc w:val="both"/>
        <w:ind w:firstLine="1304"/>
        <w:spacing w:after="0" w:line="250" w:lineRule="auto"/>
        <w:tabs>
          <w:tab w:leader="none" w:pos="19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 xml:space="preserve">The Parent Borrower hereby unconditionally promises to pay in Canadian Dollars to the Canadian Administrative Agent for the account of each Canadian Term Lender holding Canadian Term Loans the principal amounts set forth in Schedule 2.04 on each corresponding date set forth on such schedule;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that the Canadian Administrative Agent shall promptly update Schedule 2.04 upon any repayment or prepayment of Canadian Term Loans, which updated schedule shall become effective upon delivery to the Parent Borrower.</w:t>
      </w:r>
      <w:r>
        <w:rPr>
          <w:rFonts w:ascii="Times New Roman" w:cs="Times New Roman" w:eastAsia="Times New Roman" w:hAnsi="Times New Roman"/>
          <w:sz w:val="22"/>
          <w:szCs w:val="22"/>
          <w:u w:val="single" w:color="auto"/>
          <w:color w:val="0000FF"/>
          <w:highlight w:val="lightGray"/>
          <w:strike w:val="1"/>
        </w:rPr>
        <w:t>[reserved].</w:t>
      </w:r>
    </w:p>
    <w:p>
      <w:pPr>
        <w:spacing w:after="0" w:line="194" w:lineRule="exact"/>
        <w:rPr>
          <w:rFonts w:ascii="Times New Roman" w:cs="Times New Roman" w:eastAsia="Times New Roman" w:hAnsi="Times New Roman"/>
          <w:sz w:val="22"/>
          <w:szCs w:val="22"/>
          <w:color w:val="auto"/>
        </w:rPr>
      </w:pPr>
    </w:p>
    <w:p>
      <w:pPr>
        <w:ind w:firstLine="1304"/>
        <w:spacing w:after="0" w:line="271" w:lineRule="auto"/>
        <w:tabs>
          <w:tab w:leader="none" w:pos="1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Each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U.S. Borrower shall repay each U.S. Swing Line Loan on the Swing Line Payment Date.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Parent Borrower shall repay each Canadian Swing Line Loan on the Swing Line Payment Date.</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7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shall bear interest from and including the date made on the outstanding principal balance thereof as set forth in Section 2.06.</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174"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2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paragraphs (e) and (f) above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existence and amounts of the obligations therein recorded;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failure of any Lender or the Administrative Agents to maintain such accounts or any error therein shall not in any manner affect the obligations of the Borrowers to repay the Loans in accordance with the terms of this Agreement.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hereunder be evidenced by a promissory note (a “</w:t>
      </w: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4" w:name="page105"/>
    <w:bookmarkEnd w:id="104"/>
    <w:p>
      <w:pPr>
        <w:spacing w:after="0" w:line="271" w:lineRule="auto"/>
        <w:rPr>
          <w:sz w:val="20"/>
          <w:szCs w:val="20"/>
          <w:color w:val="auto"/>
        </w:rPr>
      </w:pPr>
      <w:r>
        <w:rPr>
          <w:rFonts w:ascii="Times New Roman" w:cs="Times New Roman" w:eastAsia="Times New Roman" w:hAnsi="Times New Roman"/>
          <w:sz w:val="22"/>
          <w:szCs w:val="22"/>
          <w:color w:val="auto"/>
        </w:rPr>
        <w:t>(including after any assignment of all or part of such interests pursuant to Section 9.04) be represented by one or more Notes payable to the payee named therein or its registered assigns.</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2.05</w:t>
      </w:r>
      <w:r>
        <w:rPr>
          <w:sz w:val="20"/>
          <w:szCs w:val="20"/>
          <w:color w:val="auto"/>
        </w:rPr>
        <w:tab/>
      </w:r>
      <w:r>
        <w:rPr>
          <w:rFonts w:ascii="Times New Roman" w:cs="Times New Roman" w:eastAsia="Times New Roman" w:hAnsi="Times New Roman"/>
          <w:sz w:val="21"/>
          <w:szCs w:val="21"/>
          <w:b w:val="1"/>
          <w:bCs w:val="1"/>
          <w:i w:val="1"/>
          <w:iCs w:val="1"/>
          <w:color w:val="auto"/>
        </w:rPr>
        <w:t>Fees</w:t>
      </w:r>
    </w:p>
    <w:p>
      <w:pPr>
        <w:spacing w:after="0" w:line="239" w:lineRule="exact"/>
        <w:rPr>
          <w:sz w:val="20"/>
          <w:szCs w:val="20"/>
          <w:color w:val="auto"/>
        </w:rPr>
      </w:pPr>
    </w:p>
    <w:p>
      <w:pPr>
        <w:jc w:val="both"/>
        <w:ind w:firstLine="656"/>
        <w:spacing w:after="0" w:line="250" w:lineRule="auto"/>
        <w:tabs>
          <w:tab w:leader="none" w:pos="7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agree</w:t>
      </w:r>
      <w:r>
        <w:rPr>
          <w:rFonts w:ascii="Times New Roman" w:cs="Times New Roman" w:eastAsia="Times New Roman" w:hAnsi="Times New Roman"/>
          <w:sz w:val="22"/>
          <w:szCs w:val="22"/>
          <w:color w:val="FF0000"/>
          <w:strike w:val="1"/>
        </w:rPr>
        <w:t>s</w:t>
      </w:r>
      <w:r>
        <w:rPr>
          <w:rFonts w:ascii="Times New Roman" w:cs="Times New Roman" w:eastAsia="Times New Roman" w:hAnsi="Times New Roman"/>
          <w:sz w:val="22"/>
          <w:szCs w:val="22"/>
          <w:color w:val="auto"/>
        </w:rPr>
        <w:t xml:space="preserve"> to pay to each U.S. Revolving Lender, through the Administrative Agent, on the last Business Day of March, June, September and December in each year, a commitment fee (the “U.S. Commitment Fee”) equal to the Applicable Percentage on the daily unused amount of the U.S. Revolving Commitments of such U.S. Revolving Lender to make U.S. Revolving Credit Loans to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during the preceding quarter. The U.S. Commitment Fee shall be computed on the basis of the actual number of days elapsed in a year of 360 days.</w:t>
      </w:r>
    </w:p>
    <w:p>
      <w:pPr>
        <w:spacing w:after="0" w:line="194"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591"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agrees to pay to each Canadian Revolving Lender, through the Canadian Administrative Agent, on the last Business Day of March, June, September and December in each year, a commitment fee (the “</w:t>
      </w:r>
      <w:r>
        <w:rPr>
          <w:rFonts w:ascii="Times New Roman" w:cs="Times New Roman" w:eastAsia="Times New Roman" w:hAnsi="Times New Roman"/>
          <w:sz w:val="22"/>
          <w:szCs w:val="22"/>
          <w:i w:val="1"/>
          <w:iCs w:val="1"/>
          <w:color w:val="auto"/>
        </w:rPr>
        <w:t>Canadian Commitment Fee</w:t>
      </w:r>
      <w:r>
        <w:rPr>
          <w:rFonts w:ascii="Times New Roman" w:cs="Times New Roman" w:eastAsia="Times New Roman" w:hAnsi="Times New Roman"/>
          <w:sz w:val="22"/>
          <w:szCs w:val="22"/>
          <w:color w:val="auto"/>
        </w:rPr>
        <w:t xml:space="preserve">”) equal to the Applicable Percentage on the daily unused amount of the Canadian Revolving Commitments of such Canadian Revolving Lender to make Canadian Revolving Credit Loans to the Parent Borrower </w:t>
      </w:r>
      <w:r>
        <w:rPr>
          <w:rFonts w:ascii="Times New Roman" w:cs="Times New Roman" w:eastAsia="Times New Roman" w:hAnsi="Times New Roman"/>
          <w:sz w:val="22"/>
          <w:szCs w:val="22"/>
          <w:u w:val="single" w:color="auto"/>
          <w:color w:val="0000FF"/>
          <w:highlight w:val="lightGray"/>
        </w:rPr>
        <w:t>and the U.S. Borrowers</w:t>
      </w:r>
      <w:r>
        <w:rPr>
          <w:rFonts w:ascii="Times New Roman" w:cs="Times New Roman" w:eastAsia="Times New Roman" w:hAnsi="Times New Roman"/>
          <w:sz w:val="22"/>
          <w:szCs w:val="22"/>
          <w:color w:val="auto"/>
        </w:rPr>
        <w:t xml:space="preserve"> during the preceding quarter. The Canadian Commitment Fees shall be computed on the basis of the actual number of days elapsed in a year of 365 or 366 days, as the case may be.</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755"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Australian Borrower agrees to pay to each Australian Lender, through the Australian Administrative Agent, on the last Business Day of March, June, September and December in each year, a commitment fee (the “</w:t>
      </w:r>
      <w:r>
        <w:rPr>
          <w:rFonts w:ascii="Times New Roman" w:cs="Times New Roman" w:eastAsia="Times New Roman" w:hAnsi="Times New Roman"/>
          <w:sz w:val="22"/>
          <w:szCs w:val="22"/>
          <w:i w:val="1"/>
          <w:iCs w:val="1"/>
          <w:color w:val="auto"/>
        </w:rPr>
        <w:t>Australian Commitment Fee</w:t>
      </w:r>
      <w:r>
        <w:rPr>
          <w:rFonts w:ascii="Times New Roman" w:cs="Times New Roman" w:eastAsia="Times New Roman" w:hAnsi="Times New Roman"/>
          <w:sz w:val="22"/>
          <w:szCs w:val="22"/>
          <w:color w:val="auto"/>
        </w:rPr>
        <w:t>”; together with the U.S. Commitment Fee and the Canadian Commitment Fees, the “</w:t>
      </w:r>
      <w:r>
        <w:rPr>
          <w:rFonts w:ascii="Times New Roman" w:cs="Times New Roman" w:eastAsia="Times New Roman" w:hAnsi="Times New Roman"/>
          <w:sz w:val="22"/>
          <w:szCs w:val="22"/>
          <w:i w:val="1"/>
          <w:iCs w:val="1"/>
          <w:color w:val="auto"/>
        </w:rPr>
        <w:t>Commitment Fees</w:t>
      </w:r>
      <w:r>
        <w:rPr>
          <w:rFonts w:ascii="Times New Roman" w:cs="Times New Roman" w:eastAsia="Times New Roman" w:hAnsi="Times New Roman"/>
          <w:sz w:val="22"/>
          <w:szCs w:val="22"/>
          <w:color w:val="auto"/>
        </w:rPr>
        <w:t>”) 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491"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Fees due to each Revolving Lender shall commence to accrue on the Closing Date and shall, in each case, cease to accrue on the date on which the applicable 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Revolving Commitments when calculating the Canadian Commitment Fees under this Section 2.05(a).</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3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5" w:name="page106"/>
    <w:bookmarkEnd w:id="105"/>
    <w:p>
      <w:pPr>
        <w:jc w:val="both"/>
        <w:ind w:firstLine="1304"/>
        <w:spacing w:after="0" w:line="258" w:lineRule="auto"/>
        <w:tabs>
          <w:tab w:leader="none" w:pos="177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Borrower</w:t>
      </w:r>
      <w:r>
        <w:rPr>
          <w:rFonts w:ascii="Times New Roman" w:cs="Times New Roman" w:eastAsia="Times New Roman" w:hAnsi="Times New Roman"/>
          <w:sz w:val="21"/>
          <w:szCs w:val="21"/>
          <w:u w:val="single" w:color="auto"/>
          <w:color w:val="0000FF"/>
          <w:highlight w:val="lightGray"/>
        </w:rPr>
        <w:t>s</w:t>
      </w:r>
      <w:r>
        <w:rPr>
          <w:rFonts w:ascii="Times New Roman" w:cs="Times New Roman" w:eastAsia="Times New Roman" w:hAnsi="Times New Roman"/>
          <w:sz w:val="21"/>
          <w:szCs w:val="21"/>
          <w:color w:val="auto"/>
        </w:rPr>
        <w:t xml:space="preserve"> agree</w:t>
      </w:r>
      <w:r>
        <w:rPr>
          <w:rFonts w:ascii="Times New Roman" w:cs="Times New Roman" w:eastAsia="Times New Roman" w:hAnsi="Times New Roman"/>
          <w:sz w:val="21"/>
          <w:szCs w:val="21"/>
          <w:color w:val="FF0000"/>
          <w:strike w:val="1"/>
        </w:rPr>
        <w:t>s</w:t>
      </w:r>
      <w:r>
        <w:rPr>
          <w:rFonts w:ascii="Times New Roman" w:cs="Times New Roman" w:eastAsia="Times New Roman" w:hAnsi="Times New Roman"/>
          <w:sz w:val="21"/>
          <w:szCs w:val="21"/>
          <w:color w:val="auto"/>
        </w:rPr>
        <w:t xml:space="preserve"> to pay to each U.S. Revolving Lender, through the Administrative Agent, on the last Business Day of March, June, September and December of each year, commencing with the first such date to occur after the Closing Date, and on the date on which the U.S. Revolving Commitment of such Revolving Lender shall be terminated as provided herein, a fee (the “</w:t>
      </w:r>
      <w:r>
        <w:rPr>
          <w:rFonts w:ascii="Times New Roman" w:cs="Times New Roman" w:eastAsia="Times New Roman" w:hAnsi="Times New Roman"/>
          <w:sz w:val="21"/>
          <w:szCs w:val="21"/>
          <w:i w:val="1"/>
          <w:iCs w:val="1"/>
          <w:color w:val="auto"/>
        </w:rPr>
        <w:t>U.S. L/C Participation Fee</w:t>
      </w:r>
      <w:r>
        <w:rPr>
          <w:rFonts w:ascii="Times New Roman" w:cs="Times New Roman" w:eastAsia="Times New Roman" w:hAnsi="Times New Roman"/>
          <w:sz w:val="21"/>
          <w:szCs w:val="21"/>
          <w:color w:val="auto"/>
        </w:rPr>
        <w:t>”)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SOFR Loans pursuant to Section 2.06. The Parent Borrower agrees to pay to each Canadian Revolving Lender, through the Canadian Administrative Agent, on the last Business Day of March, June, September and December of each year, commencing with the first such date to occur after the Closing Date, and on the date on which the Canadian Revolving Commitment of such Revolving Lender shall be terminated as provided herein, a fee (the “</w:t>
      </w:r>
      <w:r>
        <w:rPr>
          <w:rFonts w:ascii="Times New Roman" w:cs="Times New Roman" w:eastAsia="Times New Roman" w:hAnsi="Times New Roman"/>
          <w:sz w:val="21"/>
          <w:szCs w:val="21"/>
          <w:i w:val="1"/>
          <w:iCs w:val="1"/>
          <w:color w:val="auto"/>
        </w:rPr>
        <w:t>Canadian L/C Participation Fee</w:t>
      </w:r>
      <w:r>
        <w:rPr>
          <w:rFonts w:ascii="Times New Roman" w:cs="Times New Roman" w:eastAsia="Times New Roman" w:hAnsi="Times New Roman"/>
          <w:sz w:val="21"/>
          <w:szCs w:val="21"/>
          <w:color w:val="auto"/>
        </w:rPr>
        <w:t>”) calculated on such Lender’s Canadian Revolving Pro Rata Percentage of the daily aggregate Canadian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SOFR Loans pursuant to Section 2.06. The Australian Borrower agrees to pay to each Australian Lender, through the Australian Administrative Agent, on the last Business Day of March, June, September and December of each year, commencing with the first such date to occur after the Closing Date, and on the date on which the Australian Revolving Commitment of such Revolving Lender shall be terminated as provided herein, a fee (the “</w:t>
      </w:r>
      <w:r>
        <w:rPr>
          <w:rFonts w:ascii="Times New Roman" w:cs="Times New Roman" w:eastAsia="Times New Roman" w:hAnsi="Times New Roman"/>
          <w:sz w:val="21"/>
          <w:szCs w:val="21"/>
          <w:i w:val="1"/>
          <w:iCs w:val="1"/>
          <w:color w:val="auto"/>
        </w:rPr>
        <w:t>Australian L/C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Participation Fee</w:t>
      </w:r>
      <w:r>
        <w:rPr>
          <w:rFonts w:ascii="Times New Roman" w:cs="Times New Roman" w:eastAsia="Times New Roman" w:hAnsi="Times New Roman"/>
          <w:sz w:val="21"/>
          <w:szCs w:val="21"/>
          <w:color w:val="auto"/>
        </w:rPr>
        <w:t>”; together with the U.S. L/C Participation Fee and the Canadian L/C Participation Fees, the “</w:t>
      </w:r>
      <w:r>
        <w:rPr>
          <w:rFonts w:ascii="Times New Roman" w:cs="Times New Roman" w:eastAsia="Times New Roman" w:hAnsi="Times New Roman"/>
          <w:sz w:val="21"/>
          <w:szCs w:val="21"/>
          <w:i w:val="1"/>
          <w:iCs w:val="1"/>
          <w:color w:val="auto"/>
        </w:rPr>
        <w:t>L/C Participation Fees</w:t>
      </w:r>
      <w:r>
        <w:rPr>
          <w:rFonts w:ascii="Times New Roman" w:cs="Times New Roman" w:eastAsia="Times New Roman" w:hAnsi="Times New Roman"/>
          <w:sz w:val="21"/>
          <w:szCs w:val="21"/>
          <w:color w:val="auto"/>
        </w:rPr>
        <w:t>”) calculated on such Lender’s Australian Revolving Pro Rata Percentage of the daily aggregate Australian L/C Exposure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Rate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Times New Roman" w:cs="Times New Roman" w:eastAsia="Times New Roman" w:hAnsi="Times New Roman"/>
          <w:sz w:val="21"/>
          <w:szCs w:val="21"/>
          <w:i w:val="1"/>
          <w:iCs w:val="1"/>
          <w:color w:val="auto"/>
        </w:rPr>
        <w:t>Issuing Bank Fees</w:t>
      </w:r>
      <w:r>
        <w:rPr>
          <w:rFonts w:ascii="Times New Roman" w:cs="Times New Roman" w:eastAsia="Times New Roman" w:hAnsi="Times New Roman"/>
          <w:sz w:val="21"/>
          <w:szCs w:val="21"/>
          <w:color w:val="auto"/>
        </w:rPr>
        <w:t>”). All U.S. L/C Participation Fees and, unless otherwise agreed by the Applicable Issuing Bank, Issuing</w:t>
      </w: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22"/>
          <w:szCs w:val="22"/>
          <w:color w:val="auto"/>
        </w:rPr>
        <w:t>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176" w:lineRule="exact"/>
        <w:rPr>
          <w:sz w:val="20"/>
          <w:szCs w:val="20"/>
          <w:color w:val="auto"/>
        </w:rPr>
      </w:pPr>
    </w:p>
    <w:p>
      <w:pPr>
        <w:jc w:val="both"/>
        <w:ind w:firstLine="1304"/>
        <w:spacing w:after="0" w:line="250" w:lineRule="auto"/>
        <w:tabs>
          <w:tab w:leader="none" w:pos="17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shall be paid on the dates due, in immediately available U.S. dollars (except with respect to (i) L/C Participation Fees and Issuing Bank Fees in respect of Letters of Credit denominated in Canadian dollars, each of which shall be payable in immediately available Canadian dollars and (ii) L/C Participation Fees and Issuing Bank Fees in respect of Letters of Credit denominated in Australian dollars,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17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2.06</w:t>
      </w:r>
      <w:r>
        <w:rPr>
          <w:sz w:val="20"/>
          <w:szCs w:val="20"/>
          <w:color w:val="auto"/>
        </w:rPr>
        <w:tab/>
      </w:r>
      <w:r>
        <w:rPr>
          <w:rFonts w:ascii="Times New Roman" w:cs="Times New Roman" w:eastAsia="Times New Roman" w:hAnsi="Times New Roman"/>
          <w:sz w:val="21"/>
          <w:szCs w:val="21"/>
          <w:b w:val="1"/>
          <w:bCs w:val="1"/>
          <w:i w:val="1"/>
          <w:iCs w:val="1"/>
          <w:color w:val="auto"/>
        </w:rPr>
        <w:t>Interest on Loans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53" w:lineRule="auto"/>
        <w:tabs>
          <w:tab w:leader="none" w:pos="1417" w:val="left"/>
        </w:tabs>
        <w:numPr>
          <w:ilvl w:val="0"/>
          <w:numId w:val="59"/>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Subject to the provisions of Section 9.09, the Loans comprising each ABR Borrowing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79" w:lineRule="exact"/>
        <w:rPr>
          <w:sz w:val="20"/>
          <w:szCs w:val="20"/>
          <w:color w:val="auto"/>
        </w:rPr>
      </w:pPr>
    </w:p>
    <w:p>
      <w:pPr>
        <w:jc w:val="both"/>
        <w:ind w:firstLine="1304"/>
        <w:spacing w:after="0" w:line="256" w:lineRule="auto"/>
        <w:tabs>
          <w:tab w:leader="none" w:pos="18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SOFR Borrowing shall bear interest (computed on the basis of the actual number of days elapsed over a year of 360 days) at a rate per annum equal to Adjusted Term SOFR for the Interest Period in effect for such Borrowing plus the Applicable Percentage in respect of SOFR Loans in effect from time to time.</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Section 9.09, the Loans comprising each Term CORRA Borrowing shall bear interest (computed on the basis of the actual number of days elapsed over a year of 365 </w:t>
      </w:r>
      <w:r>
        <w:rPr>
          <w:rFonts w:ascii="Times New Roman" w:cs="Times New Roman" w:eastAsia="Times New Roman" w:hAnsi="Times New Roman"/>
          <w:sz w:val="22"/>
          <w:szCs w:val="22"/>
          <w:color w:val="FF0000"/>
          <w:strike w:val="1"/>
        </w:rPr>
        <w:t>or 366</w:t>
      </w:r>
      <w:r>
        <w:rPr>
          <w:rFonts w:ascii="Times New Roman" w:cs="Times New Roman" w:eastAsia="Times New Roman" w:hAnsi="Times New Roman"/>
          <w:sz w:val="22"/>
          <w:szCs w:val="22"/>
          <w:color w:val="auto"/>
        </w:rPr>
        <w:t xml:space="preserve"> days</w:t>
      </w:r>
      <w:r>
        <w:rPr>
          <w:rFonts w:ascii="Times New Roman" w:cs="Times New Roman" w:eastAsia="Times New Roman" w:hAnsi="Times New Roman"/>
          <w:sz w:val="22"/>
          <w:szCs w:val="22"/>
          <w:color w:val="FF0000"/>
          <w:strike w:val="1"/>
        </w:rPr>
        <w:t>, as the case may be</w:t>
      </w:r>
      <w:r>
        <w:rPr>
          <w:rFonts w:ascii="Times New Roman" w:cs="Times New Roman" w:eastAsia="Times New Roman" w:hAnsi="Times New Roman"/>
          <w:sz w:val="22"/>
          <w:szCs w:val="22"/>
          <w:color w:val="auto"/>
        </w:rPr>
        <w:t>) at a rate per annum equal to Adjusted Term CORRA for the Interest Period in effect for such Borrowing plus the Applicable Percentage in respect of Term CORRA Loans in effect from time to time.</w:t>
      </w:r>
    </w:p>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7" w:name="page108"/>
    <w:bookmarkEnd w:id="107"/>
    <w:p>
      <w:pPr>
        <w:jc w:val="both"/>
        <w:ind w:firstLine="1304"/>
        <w:spacing w:after="0" w:line="256" w:lineRule="auto"/>
        <w:tabs>
          <w:tab w:leader="none" w:pos="181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80" w:lineRule="exact"/>
        <w:rPr>
          <w:rFonts w:ascii="Times New Roman" w:cs="Times New Roman" w:eastAsia="Times New Roman" w:hAnsi="Times New Roman"/>
          <w:sz w:val="22"/>
          <w:szCs w:val="22"/>
          <w:color w:val="auto"/>
        </w:rPr>
      </w:pPr>
    </w:p>
    <w:p>
      <w:pPr>
        <w:jc w:val="both"/>
        <w:ind w:firstLine="1304"/>
        <w:spacing w:after="0" w:line="266" w:lineRule="auto"/>
        <w:tabs>
          <w:tab w:leader="none" w:pos="180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165"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3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payable to the Applicable Administrative Agent on the Interest Payment Dates applicable to such Loan except as otherwise provided in this Agreement. The applicable Alternate Base Rate, Adjusted Term SOFR, BBSY Rate, Adjusted Term CORRA, Canadian Prime Rate and U.S. Base Rate shall be determined by the Applicable Administrative Agent, and such determination shall be conclusive absent manifest error.</w:t>
      </w:r>
    </w:p>
    <w:p>
      <w:pPr>
        <w:spacing w:after="0" w:line="18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8" w:name="page109"/>
    <w:bookmarkEnd w:id="10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effective rates or yields. The principle of deemed reinvestment of interest does not apply to any interest calculation under this Agreement. Each Borrower confirms that it fully understands and is able to calculate the rate of interest applicable to the Facilities based on the methodology for calculating per annum rates provided for in this Agreement. Each Agent agrees that, if requested in writing by any Borrower, it will calculate the nominal and effective per annum rate of interest on any Loan outstanding at the time of such request and provide such information to such Borrower within a reasonable time following such request; provided that any error in any such calculation, or any failure to provide such information on request, shall not relieve any Borrower of any of its obligations under this Agreement or any other Loan Document, nor result in any liability to any Agent or any Lender. Each Borrower hereby irrevocably agrees not to plead or assert, whether by way of defense or otherwise, in any proceeding relating to the Loan Documents, that the interest payable under this Agreement and the calculation thereof has not been adequately disclosed to any Borrower, whether pursuant to section 4 of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or any other applicable law or legal principle.</w:t>
      </w:r>
    </w:p>
    <w:p>
      <w:pPr>
        <w:spacing w:after="0" w:line="189" w:lineRule="exact"/>
        <w:rPr>
          <w:sz w:val="20"/>
          <w:szCs w:val="20"/>
          <w:color w:val="auto"/>
        </w:rPr>
      </w:pPr>
    </w:p>
    <w:p>
      <w:pPr>
        <w:jc w:val="both"/>
        <w:ind w:firstLine="1304"/>
        <w:spacing w:after="0" w:line="251" w:lineRule="auto"/>
        <w:tabs>
          <w:tab w:leader="none" w:pos="176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or administration of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SOFR or Term SOFR, as applicable.</w:t>
      </w:r>
    </w:p>
    <w:p>
      <w:pPr>
        <w:spacing w:after="0" w:line="17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2.07</w:t>
      </w:r>
      <w:r>
        <w:rPr>
          <w:sz w:val="20"/>
          <w:szCs w:val="20"/>
          <w:color w:val="auto"/>
        </w:rPr>
        <w:tab/>
      </w:r>
      <w:r>
        <w:rPr>
          <w:rFonts w:ascii="Times New Roman" w:cs="Times New Roman" w:eastAsia="Times New Roman" w:hAnsi="Times New Roman"/>
          <w:sz w:val="21"/>
          <w:szCs w:val="21"/>
          <w:b w:val="1"/>
          <w:bCs w:val="1"/>
          <w:i w:val="1"/>
          <w:iCs w:val="1"/>
          <w:color w:val="auto"/>
        </w:rPr>
        <w:t>Default Interest</w:t>
      </w:r>
    </w:p>
    <w:p>
      <w:pPr>
        <w:spacing w:after="0" w:line="226" w:lineRule="exact"/>
        <w:rPr>
          <w:sz w:val="20"/>
          <w:szCs w:val="20"/>
          <w:color w:val="auto"/>
        </w:rPr>
      </w:pPr>
    </w:p>
    <w:p>
      <w:pPr>
        <w:jc w:val="both"/>
        <w:ind w:firstLine="656"/>
        <w:spacing w:after="0" w:line="263" w:lineRule="auto"/>
        <w:tabs>
          <w:tab w:leader="none" w:pos="75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Borrower shall default in the payment of the principal of or interest on any Loan or any other amount becoming 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Parent Borrower, or a BBSY Rate Loan, in the case of the Australian Borrower) plus 2.00% (subject to Section 9.09).</w:t>
      </w:r>
    </w:p>
    <w:p>
      <w:pPr>
        <w:spacing w:after="0" w:line="16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2.08</w:t>
      </w:r>
      <w:r>
        <w:rPr>
          <w:sz w:val="20"/>
          <w:szCs w:val="20"/>
          <w:color w:val="auto"/>
        </w:rPr>
        <w:tab/>
      </w:r>
      <w:r>
        <w:rPr>
          <w:rFonts w:ascii="Times New Roman" w:cs="Times New Roman" w:eastAsia="Times New Roman" w:hAnsi="Times New Roman"/>
          <w:sz w:val="21"/>
          <w:szCs w:val="21"/>
          <w:b w:val="1"/>
          <w:bCs w:val="1"/>
          <w:i w:val="1"/>
          <w:iCs w:val="1"/>
          <w:color w:val="auto"/>
        </w:rPr>
        <w:t>Alternate Rate of Interest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ind w:firstLine="1304"/>
        <w:spacing w:after="0" w:line="284" w:lineRule="auto"/>
        <w:tabs>
          <w:tab w:leader="none" w:pos="1404" w:val="left"/>
        </w:tabs>
        <w:numPr>
          <w:ilvl w:val="0"/>
          <w:numId w:val="6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In the event, and on each occasion, that (i) on the day two Business Days prior to the commencement of any Interest Period for a SOFR Borrowing the Applicable</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09" w:name="page110"/>
    <w:bookmarkEnd w:id="109"/>
    <w:p>
      <w:pPr>
        <w:jc w:val="both"/>
        <w:spacing w:after="0" w:line="248" w:lineRule="auto"/>
        <w:rPr>
          <w:sz w:val="20"/>
          <w:szCs w:val="20"/>
          <w:color w:val="auto"/>
        </w:rPr>
      </w:pPr>
      <w:r>
        <w:rPr>
          <w:rFonts w:ascii="Times New Roman" w:cs="Times New Roman" w:eastAsia="Times New Roman" w:hAnsi="Times New Roman"/>
          <w:sz w:val="22"/>
          <w:szCs w:val="22"/>
          <w:color w:val="auto"/>
        </w:rPr>
        <w:t>Administrative Agent is unable to determine Adjusted Term SOFR for SOFR Loans comprising any requested Borrowing, or (ii) if the Applicable Required Lenders shall, by 11:00 a.m. (Standard Time) at least one (1) Business Day before the date of any requested Borrowing, notify the Applicable Administrative Agent that Adjusted Term SOFR for SOFR Loans comprising such Borrowing will not adequately and fairly reflect the cost to any Lender of making or maintaining its SOFR Loan, during such Interest Period, then the Applicable Administrative Agent shall, as soon as practicable thereafter, give written, fax or electronic communication (e-mail) (or telephone notice promptly confirmed by a written, fax or electronic communication (e-mail)) notice of such determination to each Applicable Borrower and each Applicable Lender. In the event of any such determination, until the Applicable Administrative Agent shall have advised the Applicable Borrowers and the Applicable Lenders that the circumstances giving rise to such notice no longer exist, any request by such Borrower for a SOFR Borrowing (other than a SOFR Borrowing under the Australian Revolving Credit Facility) pursuant to Section 2.03 or 2.10 shall be deemed to be a request for an ABR Borrowing (or, in the case of a request by the Parent Borrower, a U.S. Base Rate Borrowing). Each determination by the Applicable Administrative Agent hereunder shall be conclusive absent manifest error.</w:t>
      </w:r>
    </w:p>
    <w:p>
      <w:pPr>
        <w:spacing w:after="0" w:line="184" w:lineRule="exact"/>
        <w:rPr>
          <w:sz w:val="20"/>
          <w:szCs w:val="20"/>
          <w:color w:val="auto"/>
        </w:rPr>
      </w:pPr>
    </w:p>
    <w:p>
      <w:pPr>
        <w:jc w:val="both"/>
        <w:ind w:firstLine="1304"/>
        <w:spacing w:after="0" w:line="247" w:lineRule="auto"/>
        <w:tabs>
          <w:tab w:leader="none" w:pos="17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Applicable Administrative Agent (i) determines that the circumstances described in clause (a)(i) of this Section 2.08 have arisen and such circumstances are unlikely to be temporary, (ii) determines that the circumstances described in clause (a)(i) of this Section 2.08 have not arisen but the supervisor for the administrator of Term SOFR or a Governmental Authority having jurisdiction over the Applicable Administrative Agent has made a public statement identifying a specific date after which Term SOFR shall no longer be used for determining interest rates for loans, (iii) is advised by the Applicable Required Lenders of their determination in accordance with clause (a)(ii) of this Section 2.08, or (iv) new syndicated loans have started to adopt a new benchmark interest rate, then the Applicable Administrative Agent and the Applicable Borrower shall endeavor to establish an alternate rate of interest to Term SOFR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to the extent that the Applicable Administrative Agent determines that adoption of any portion of such market convention is not administratively feasible or that no market convention for the administration of such alternate rate of interest exists, the Applicable Administrative Agent shall administer such alternate rate of interest in a manner acceptable by the Applicable Administrative Agent and the Borrower. Notwithstanding anything to the contrary in Section 9.08, such amendment shall become effective without any further action or consent of any other party to this Agreement so long as the Applicable Administrative Agent shall not have received, within five (5) Business Days of the date notice of such alternate rate of interest is provided to the Applicable Lenders, a written notice from the Applicable Required Lenders stating that such Applicable Required Lenders object to such amendment. If a notice of an alternate rate of interest has been given and no such alternate rate of interest has been determined, and (x) the circumstances under clause (i) or (iii) above exist or (y) the specific date referred to in clause (ii) has occurred (as applicable), Alternate Base Rate shall apply without regard to clause (c) of the definition thereof. Provided</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271" w:lineRule="auto"/>
        <w:rPr>
          <w:sz w:val="20"/>
          <w:szCs w:val="20"/>
          <w:color w:val="auto"/>
        </w:rPr>
      </w:pPr>
      <w:r>
        <w:rPr>
          <w:rFonts w:ascii="Times New Roman" w:cs="Times New Roman" w:eastAsia="Times New Roman" w:hAnsi="Times New Roman"/>
          <w:sz w:val="22"/>
          <w:szCs w:val="22"/>
          <w:color w:val="auto"/>
        </w:rPr>
        <w:t>that, if such alternate rate of interest shall be less than zero, such rate shall be deemed to be zero for the purposes of this Agreement.</w:t>
      </w:r>
    </w:p>
    <w:p>
      <w:pPr>
        <w:spacing w:after="0" w:line="158" w:lineRule="exact"/>
        <w:rPr>
          <w:sz w:val="20"/>
          <w:szCs w:val="20"/>
          <w:color w:val="auto"/>
        </w:rPr>
      </w:pPr>
    </w:p>
    <w:p>
      <w:pPr>
        <w:jc w:val="both"/>
        <w:ind w:firstLine="1304"/>
        <w:spacing w:after="0" w:line="264" w:lineRule="auto"/>
        <w:tabs>
          <w:tab w:leader="none" w:pos="179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2.27, if, on or prior to the first day of any Interest Period for any Term CORRA Loan (i) the Applicable Administrative Agent determines (which determination shall be conclusive and binding absent manifest error) that “Adjusted Term CORRA” cannot be determined pursuant to the definition thereof, for reasons other than a Canadian Benchmark Transition Event or (ii) the Applicable Required Lenders determine that for any reason in connection with any request for a Term CORRA Loan, or a conversion thereto or a continuation thereof that Term CORRA for any requested Interest Period with respect to a proposed Term CORRA Loan does not adequately and fairly reflect the cost to such Lenders of making and maintaining such Loan, and the Applicable Required Lenders have provided notice of such determination to the Applicable Administrative Agent, the Applicable Administrative Agent will promptly so notify the Applicable Borrower and each Applicable Lender.</w:t>
      </w:r>
    </w:p>
    <w:p>
      <w:pPr>
        <w:spacing w:after="0" w:line="169"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6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of such notice by the Applicable Administrative Agent to the Applicable Borrower under Section 2.08(c), any obligation of the Applicable Lenders to make Term CORRA Loans and any right of the Applicable Borrower to continue Term CORRA Loans or to convert Canadian Prime Rate Loans to Term CORRA Loans shall be suspended (to the extent of the affected Term CORRA Loans or affected Interest Periods) until the Applicable Administrative Agent (with respect to Section 2.08(c)(ii), at the instruction of the Applicable Required Lenders) revokes such notice. Upon receipt of such notice by the Applicable Administrative Agent to the Applicable Borrower, the Applicable Borrower may revoke any pending request for a borrowing of, conversion to or continuation of Term CORRA Loans (to the extent of the affected Term CORRA Loans or affected Interest Periods), and failing such revocation, the Applicable Borrower will be deemed to have converted any such request into a request for a Borrowing of or conversion to Canadian Prime Rate Loans, in the amount specified therein. Upon any such conversion, the Applicable Borrower shall also pay accrued interest on the amount so converted, together with any additional amounts required pursuant to Section 2.15.</w:t>
      </w:r>
    </w:p>
    <w:p>
      <w:pPr>
        <w:spacing w:after="0" w:line="18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2.09</w:t>
      </w:r>
      <w:r>
        <w:rPr>
          <w:sz w:val="20"/>
          <w:szCs w:val="20"/>
          <w:color w:val="auto"/>
        </w:rPr>
        <w:tab/>
      </w:r>
      <w:r>
        <w:rPr>
          <w:rFonts w:ascii="Times New Roman" w:cs="Times New Roman" w:eastAsia="Times New Roman" w:hAnsi="Times New Roman"/>
          <w:sz w:val="21"/>
          <w:szCs w:val="21"/>
          <w:b w:val="1"/>
          <w:bCs w:val="1"/>
          <w:i w:val="1"/>
          <w:iCs w:val="1"/>
          <w:color w:val="auto"/>
        </w:rPr>
        <w:t>Termination and Reduction of Commitments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ind w:left="1440" w:hanging="136"/>
        <w:spacing w:after="0"/>
        <w:tabs>
          <w:tab w:leader="none" w:pos="1440" w:val="left"/>
        </w:tabs>
        <w:numPr>
          <w:ilvl w:val="0"/>
          <w:numId w:val="67"/>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The Revolving Commitments and the L/C Commitments shall automatically terminate on the Maturity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7" w:lineRule="exact"/>
        <w:rPr>
          <w:sz w:val="20"/>
          <w:szCs w:val="20"/>
          <w:color w:val="auto"/>
        </w:rPr>
      </w:pPr>
    </w:p>
    <w:p>
      <w:pPr>
        <w:ind w:firstLine="1304"/>
        <w:spacing w:after="0" w:line="271" w:lineRule="auto"/>
        <w:tabs>
          <w:tab w:leader="none" w:pos="17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The Canadian Term Commitments shall automatically terminate on the Closing Date immediately following the making of the Canadian Term Loan on such date</w:t>
      </w:r>
      <w:r>
        <w:rPr>
          <w:rFonts w:ascii="Times New Roman" w:cs="Times New Roman" w:eastAsia="Times New Roman" w:hAnsi="Times New Roman"/>
          <w:sz w:val="22"/>
          <w:szCs w:val="22"/>
          <w:u w:val="single" w:color="auto"/>
          <w:color w:val="0000FF"/>
          <w:highlight w:val="lightGray"/>
          <w:strike w:val="1"/>
        </w:rPr>
        <w:t>[reserved]</w:t>
      </w:r>
      <w:r>
        <w:rPr>
          <w:rFonts w:ascii="Times New Roman" w:cs="Times New Roman" w:eastAsia="Times New Roman" w:hAnsi="Times New Roman"/>
          <w:sz w:val="22"/>
          <w:szCs w:val="22"/>
          <w:color w:val="000000"/>
          <w:strike w:val="1"/>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at least three Business Days’ prior irrevocable written, fax or electronic communication (e-mail) (or by telephone notice promptly confirmed by a written, fax or electronic communication (e-mail)) notice to the Applicable Administrative Agent,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the Parent Borrower or the Australian Borrower, as the case may be, may at any time in whole permanently terminate, or from time to time in part permanently reduce, any Class of</w:t>
      </w:r>
    </w:p>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1" w:name="page112"/>
    <w:bookmarkEnd w:id="111"/>
    <w:p>
      <w:pPr>
        <w:spacing w:after="0" w:line="275" w:lineRule="auto"/>
        <w:rPr>
          <w:sz w:val="20"/>
          <w:szCs w:val="20"/>
          <w:color w:val="auto"/>
        </w:rPr>
      </w:pPr>
      <w:r>
        <w:rPr>
          <w:rFonts w:ascii="Times New Roman" w:cs="Times New Roman" w:eastAsia="Times New Roman" w:hAnsi="Times New Roman"/>
          <w:sz w:val="22"/>
          <w:szCs w:val="22"/>
          <w:color w:val="auto"/>
        </w:rPr>
        <w:t xml:space="preserve">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partial reduction of any Class of Commitments shall be in an integral multiple of U.S.$1,000,000.</w:t>
      </w:r>
    </w:p>
    <w:p>
      <w:pPr>
        <w:spacing w:after="0" w:line="153" w:lineRule="exact"/>
        <w:rPr>
          <w:sz w:val="20"/>
          <w:szCs w:val="20"/>
          <w:color w:val="auto"/>
        </w:rPr>
      </w:pPr>
    </w:p>
    <w:p>
      <w:pPr>
        <w:jc w:val="both"/>
        <w:ind w:firstLine="1304"/>
        <w:spacing w:after="0" w:line="253" w:lineRule="auto"/>
        <w:tabs>
          <w:tab w:leader="none" w:pos="17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voluntary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2.10</w:t>
      </w:r>
      <w:r>
        <w:rPr>
          <w:sz w:val="20"/>
          <w:szCs w:val="20"/>
          <w:color w:val="auto"/>
        </w:rPr>
        <w:tab/>
      </w:r>
      <w:r>
        <w:rPr>
          <w:rFonts w:ascii="Times New Roman" w:cs="Times New Roman" w:eastAsia="Times New Roman" w:hAnsi="Times New Roman"/>
          <w:sz w:val="21"/>
          <w:szCs w:val="21"/>
          <w:b w:val="1"/>
          <w:bCs w:val="1"/>
          <w:i w:val="1"/>
          <w:iCs w:val="1"/>
          <w:color w:val="auto"/>
        </w:rPr>
        <w:t>Conversion and Continuation of Borrowings</w:t>
      </w:r>
    </w:p>
    <w:p>
      <w:pPr>
        <w:spacing w:after="0" w:line="239" w:lineRule="exact"/>
        <w:rPr>
          <w:sz w:val="20"/>
          <w:szCs w:val="20"/>
          <w:color w:val="auto"/>
        </w:rPr>
      </w:pPr>
    </w:p>
    <w:p>
      <w:pPr>
        <w:jc w:val="both"/>
        <w:ind w:firstLine="656"/>
        <w:spacing w:after="0" w:line="262" w:lineRule="auto"/>
        <w:tabs>
          <w:tab w:leader="none" w:pos="756" w:val="left"/>
        </w:tabs>
        <w:numPr>
          <w:ilvl w:val="1"/>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Borrowers shall have the right at any time upon prior irrevocable notice to the Applicable Administrative Agent (a) not later than 1:00 p.m. (Standard Time) one Business Day before the proposed conversion, to convert any SOFR Borrowing under a Class of U.S. Revolving Commitments into an ABR Borrowing under the same Class of U.S. Revolving Commitments,</w:t>
      </w:r>
    </w:p>
    <w:p>
      <w:pPr>
        <w:spacing w:after="0" w:line="2" w:lineRule="exact"/>
        <w:rPr>
          <w:rFonts w:ascii="Times New Roman" w:cs="Times New Roman" w:eastAsia="Times New Roman" w:hAnsi="Times New Roman"/>
          <w:sz w:val="21"/>
          <w:szCs w:val="21"/>
          <w:b w:val="1"/>
          <w:bCs w:val="1"/>
          <w:color w:val="auto"/>
        </w:rPr>
      </w:pPr>
    </w:p>
    <w:p>
      <w:pPr>
        <w:jc w:val="both"/>
        <w:ind w:firstLine="8"/>
        <w:spacing w:after="0" w:line="246" w:lineRule="auto"/>
        <w:tabs>
          <w:tab w:leader="none" w:pos="32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1:00 p.m. (Standard Time) one Business Day before the proposed conversion, to convert any Term CORRA Borrowing under </w:t>
      </w:r>
      <w:r>
        <w:rPr>
          <w:rFonts w:ascii="Times New Roman" w:cs="Times New Roman" w:eastAsia="Times New Roman" w:hAnsi="Times New Roman"/>
          <w:sz w:val="22"/>
          <w:szCs w:val="22"/>
          <w:color w:val="FF0000"/>
          <w:strike w:val="1"/>
        </w:rPr>
        <w:t>one</w:t>
      </w:r>
      <w:r>
        <w:rPr>
          <w:rFonts w:ascii="Times New Roman" w:cs="Times New Roman" w:eastAsia="Times New Roman" w:hAnsi="Times New Roman"/>
          <w:sz w:val="22"/>
          <w:szCs w:val="22"/>
          <w:u w:val="single" w:color="auto"/>
          <w:color w:val="0000FF"/>
          <w:highlight w:val="lightGray"/>
        </w:rPr>
        <w:t>the</w:t>
      </w:r>
      <w:r>
        <w:rPr>
          <w:rFonts w:ascii="Times New Roman" w:cs="Times New Roman" w:eastAsia="Times New Roman" w:hAnsi="Times New Roman"/>
          <w:sz w:val="22"/>
          <w:szCs w:val="22"/>
          <w:color w:val="auto"/>
        </w:rPr>
        <w:t xml:space="preserv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Facility into a Canadian Prime Rate Borrowing under the </w:t>
      </w:r>
      <w:r>
        <w:rPr>
          <w:rFonts w:ascii="Times New Roman" w:cs="Times New Roman" w:eastAsia="Times New Roman" w:hAnsi="Times New Roman"/>
          <w:sz w:val="22"/>
          <w:szCs w:val="22"/>
          <w:color w:val="FF0000"/>
          <w:strike w:val="1"/>
        </w:rPr>
        <w:t>same</w:t>
      </w:r>
      <w:r>
        <w:rPr>
          <w:rFonts w:ascii="Times New Roman" w:cs="Times New Roman" w:eastAsia="Times New Roman" w:hAnsi="Times New Roman"/>
          <w:sz w:val="22"/>
          <w:szCs w:val="22"/>
          <w:color w:val="auto"/>
        </w:rPr>
        <w:t xml:space="preserv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Facility, (c) not later than 1:00 p.m. (Standard Time) three Business Days prior to conversion or continuation, to</w:t>
      </w:r>
      <w:r>
        <w:rPr>
          <w:rFonts w:ascii="Times New Roman" w:cs="Times New Roman" w:eastAsia="Times New Roman" w:hAnsi="Times New Roman"/>
          <w:sz w:val="22"/>
          <w:szCs w:val="22"/>
          <w:color w:val="0000FF"/>
          <w:highlight w:val="lightGray"/>
        </w:rPr>
        <w:t xml:space="preserve"> </w:t>
      </w:r>
      <w:r>
        <w:rPr>
          <w:rFonts w:ascii="Times New Roman" w:cs="Times New Roman" w:eastAsia="Times New Roman" w:hAnsi="Times New Roman"/>
          <w:sz w:val="22"/>
          <w:szCs w:val="22"/>
          <w:color w:val="000000"/>
        </w:rPr>
        <w:t xml:space="preserve">convert any ABR Borrowing under a Class of U.S. Revolving Commitments or U.S. Base Rate Borrowing under a Class of Canadian Revolving Commitments into a SOFR Borrowing under the same Class of Commitments or to continue any SOFR Borrowing under a Class of U.S. Revolving Commitments or Canadian Revolving Commitments as a SOFR Borrowing under the same Class of Commitments for an additional Interest Period, (d) not later than 3:00 p.m. (Sydney time) three Business Days prior to continuation, to continue any SOFR Borrowing under the Australian Revolving Commitments as a SOFR Borrowing under the Australian Revolving Commitments for an additional Interest Period, (e) not later than 1:00 p.m. (Standard Time) three Business Days prior to conversion, to convert the Interest Period with respect to any SOFR Borrowing under a Class of U.S. Revolving Commitments or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under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u w:val="single" w:color="auto"/>
          <w:color w:val="0000FF"/>
          <w:highlight w:val="lightGray"/>
        </w:rPr>
        <w:t>the</w:t>
      </w:r>
      <w:r>
        <w:rPr>
          <w:rFonts w:ascii="Times New Roman" w:cs="Times New Roman" w:eastAsia="Times New Roman" w:hAnsi="Times New Roman"/>
          <w:sz w:val="22"/>
          <w:szCs w:val="22"/>
          <w:color w:val="000000"/>
        </w:rPr>
        <w:t xml:space="preserv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000000"/>
        </w:rPr>
        <w:t xml:space="preserve"> Facility to a Term CORRA Borrowing under the </w:t>
      </w:r>
      <w:r>
        <w:rPr>
          <w:rFonts w:ascii="Times New Roman" w:cs="Times New Roman" w:eastAsia="Times New Roman" w:hAnsi="Times New Roman"/>
          <w:sz w:val="22"/>
          <w:szCs w:val="22"/>
          <w:color w:val="FF0000"/>
          <w:strike w:val="1"/>
        </w:rPr>
        <w:t>same</w:t>
      </w:r>
      <w:r>
        <w:rPr>
          <w:rFonts w:ascii="Times New Roman" w:cs="Times New Roman" w:eastAsia="Times New Roman" w:hAnsi="Times New Roman"/>
          <w:sz w:val="22"/>
          <w:szCs w:val="22"/>
          <w:color w:val="000000"/>
        </w:rPr>
        <w:t xml:space="preserv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000000"/>
        </w:rPr>
        <w:t xml:space="preserve"> Facility or to continue any Term CORRA Borrowing under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u w:val="single" w:color="auto"/>
          <w:color w:val="0000FF"/>
          <w:highlight w:val="lightGray"/>
        </w:rPr>
        <w:t>the</w:t>
      </w:r>
      <w:r>
        <w:rPr>
          <w:rFonts w:ascii="Times New Roman" w:cs="Times New Roman" w:eastAsia="Times New Roman" w:hAnsi="Times New Roman"/>
          <w:sz w:val="22"/>
          <w:szCs w:val="22"/>
          <w:color w:val="000000"/>
        </w:rPr>
        <w:t xml:space="preserv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000000"/>
        </w:rPr>
        <w:t xml:space="preserve"> Facility as a Term CORRA Borrowing under the </w:t>
      </w:r>
      <w:r>
        <w:rPr>
          <w:rFonts w:ascii="Times New Roman" w:cs="Times New Roman" w:eastAsia="Times New Roman" w:hAnsi="Times New Roman"/>
          <w:sz w:val="22"/>
          <w:szCs w:val="22"/>
          <w:color w:val="FF0000"/>
          <w:strike w:val="1"/>
        </w:rPr>
        <w:t>same</w:t>
      </w:r>
      <w:r>
        <w:rPr>
          <w:rFonts w:ascii="Times New Roman" w:cs="Times New Roman" w:eastAsia="Times New Roman" w:hAnsi="Times New Roman"/>
          <w:sz w:val="22"/>
          <w:szCs w:val="22"/>
          <w:color w:val="000000"/>
        </w:rPr>
        <w:t xml:space="preserv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000000"/>
        </w:rPr>
        <w:t xml:space="preserve"> Facility for an additional Interest Period, subject in each case to the following:</w:t>
      </w:r>
    </w:p>
    <w:p>
      <w:pPr>
        <w:spacing w:after="0" w:line="184" w:lineRule="exact"/>
        <w:rPr>
          <w:rFonts w:ascii="Times New Roman" w:cs="Times New Roman" w:eastAsia="Times New Roman" w:hAnsi="Times New Roman"/>
          <w:sz w:val="22"/>
          <w:szCs w:val="22"/>
          <w:color w:val="auto"/>
        </w:rPr>
      </w:pPr>
    </w:p>
    <w:p>
      <w:pPr>
        <w:ind w:left="660" w:firstLine="1292"/>
        <w:spacing w:after="0" w:line="271" w:lineRule="auto"/>
        <w:tabs>
          <w:tab w:leader="none" w:pos="2415"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conversion or continuation shall be made pro rata among the Applicable Lenders in accordance with the respective principal amounts of the Loans comprising the converted or continued Borrowing;</w:t>
      </w:r>
    </w:p>
    <w:p>
      <w:pPr>
        <w:spacing w:after="0" w:line="171" w:lineRule="exact"/>
        <w:rPr>
          <w:rFonts w:ascii="Times New Roman" w:cs="Times New Roman" w:eastAsia="Times New Roman" w:hAnsi="Times New Roman"/>
          <w:sz w:val="22"/>
          <w:szCs w:val="22"/>
          <w:color w:val="auto"/>
        </w:rPr>
      </w:pPr>
    </w:p>
    <w:p>
      <w:pPr>
        <w:ind w:left="660" w:firstLine="1292"/>
        <w:spacing w:after="0" w:line="271" w:lineRule="auto"/>
        <w:tabs>
          <w:tab w:leader="none" w:pos="2496"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the outstanding principal amount of any Borrowing shall be converted or continued, then each resulting Borrowing shall satisfy the</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112" w:name="page113"/>
    <w:bookmarkEnd w:id="112"/>
    <w:p>
      <w:pPr>
        <w:ind w:left="660"/>
        <w:spacing w:after="0" w:line="271" w:lineRule="auto"/>
        <w:rPr>
          <w:sz w:val="20"/>
          <w:szCs w:val="20"/>
          <w:color w:val="auto"/>
        </w:rPr>
      </w:pPr>
      <w:r>
        <w:rPr>
          <w:rFonts w:ascii="Times New Roman" w:cs="Times New Roman" w:eastAsia="Times New Roman" w:hAnsi="Times New Roman"/>
          <w:sz w:val="22"/>
          <w:szCs w:val="22"/>
          <w:color w:val="auto"/>
        </w:rPr>
        <w:t>limitations specified in Sections 2.02(a) and 2.02(b), regarding the principal amount and maximum number of Borrowings of the relevant Type;</w:t>
      </w:r>
    </w:p>
    <w:p>
      <w:pPr>
        <w:spacing w:after="0" w:line="158" w:lineRule="exact"/>
        <w:rPr>
          <w:sz w:val="20"/>
          <w:szCs w:val="20"/>
          <w:color w:val="auto"/>
        </w:rPr>
      </w:pPr>
    </w:p>
    <w:p>
      <w:pPr>
        <w:jc w:val="both"/>
        <w:ind w:left="660" w:firstLine="1292"/>
        <w:spacing w:after="0" w:line="256" w:lineRule="auto"/>
        <w:tabs>
          <w:tab w:leader="none" w:pos="261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conversion shall be effected by each Applicable Lender and the Applicable Administrative Agent by recording for the account of such Lender the new Type and/or Interest Period for such Borrowing resulting from such conversion; accrued interest on any SOFR Loan, Term CORRA Loan or BBSY Rate Loan (or, in each case, any portion thereof) being converted shall be paid by the Applicable Borrower at the time of conversion;</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1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SOFR Borrowing, BBSY Rate Borrowing or Term CORRA Borrowing is converted at a time other than the end of the Interest Period applicable thereto, the Applicable Borrower shall pay, upon demand, any amounts due to the Applicable Lenders pursuant to Section 2.15;</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5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a Borrowing maturing or required to be repaid in less than one month may not be converted into or continued as a SOFR Borrowing, a BBSY Rate Borrowing or a Term CORRA Borrowing;</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5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a SOFR Borrowing (other than a SOFR Borrowing under the Australian Revolving Credit Facility) or a Term CORRA Borrowing that cannot be converted into or continued as a SOFR Borrowing or a Term CORRA Borrowing, respectively, by reason of the immediately preceding clause shall be automatically converted at the end of the Interest Period in effect for such Borrowing into an ABR Borrowing, a U.S. Base Rate Borrowing or a Canadian Prime Rate Borrowing, as the case may be;</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62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notice to each Applicable Borrower from the Applicable Administrative Agent given at the request of the Applicable Required Lenders after the occurrence and during the continuance of a Default or Event of Default, no outstanding Loan owing to such Lenders may be converted into, or continued as, a SOFR Loan, a BBSY Rate Loan or a Term CORRA Loan, as applicable; and</w:t>
      </w:r>
    </w:p>
    <w:p>
      <w:pPr>
        <w:spacing w:after="0" w:line="176" w:lineRule="exact"/>
        <w:rPr>
          <w:rFonts w:ascii="Times New Roman" w:cs="Times New Roman" w:eastAsia="Times New Roman" w:hAnsi="Times New Roman"/>
          <w:sz w:val="22"/>
          <w:szCs w:val="22"/>
          <w:color w:val="auto"/>
        </w:rPr>
      </w:pPr>
    </w:p>
    <w:p>
      <w:pPr>
        <w:ind w:left="2700" w:hanging="748"/>
        <w:spacing w:after="0"/>
        <w:tabs>
          <w:tab w:leader="none" w:pos="2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 Swing Line Loan may not be converted to a</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SOFR Loan.</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notice pursuant to this Section 2.10 shall be irrevocable, shall be hand delivered, faxed or sent by electronic communication (e-mail) (or by telephone notice promptly confirmed by a written, fax or electronic communication (e-mail)), shall refer to this Agreement, shall be substantially in the form of Exhibit B-6 and specify (i) the identity and amount of the Borrowing that the Applicable Borrower requests be converted or continued, (ii) whether such Borrowing is to be converted to or continued as a SOFR Borrowing, an ABR Borrowing, a Term CORRA Borrowing, a U.S. Base Rate Borrowing, a Canadian Prime Rate Borrowing or a BBSY Rate Borrowing, (iii) if such notice requests a conversion, the date of such conversion (which shall be a Business Day) and (iv) if such Borrowing is to be converted to or continued as a SOFR Borrowing, a BBSY Rate Borrowing or a Term CORRA Borrowing, the Interest Period with</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50" w:lineRule="auto"/>
        <w:rPr>
          <w:sz w:val="20"/>
          <w:szCs w:val="20"/>
          <w:color w:val="auto"/>
        </w:rPr>
      </w:pPr>
      <w:r>
        <w:rPr>
          <w:rFonts w:ascii="Times New Roman" w:cs="Times New Roman" w:eastAsia="Times New Roman" w:hAnsi="Times New Roman"/>
          <w:sz w:val="22"/>
          <w:szCs w:val="22"/>
          <w:color w:val="auto"/>
        </w:rPr>
        <w:t>respect thereto. If no Interest Period is specified in any such notice with respect to any conversion to or continuation as a SOFR Borrowing, a BBSY Rate Borrowing or a Term CORRA Borrowing, the Applicable Borrower shall be deemed to have selected an Interest Period of one month’s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SOFR Borrowing (other than a SOFR Borrowing under the Australian Revolving Credit Facility) or Term CORRA Borrowing into a subsequent Interest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w:t>
      </w:r>
    </w:p>
    <w:p>
      <w:pPr>
        <w:spacing w:after="0" w:line="17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2.11</w:t>
      </w:r>
      <w:r>
        <w:rPr>
          <w:sz w:val="20"/>
          <w:szCs w:val="20"/>
          <w:color w:val="auto"/>
        </w:rPr>
        <w:tab/>
      </w:r>
      <w:r>
        <w:rPr>
          <w:rFonts w:ascii="Times New Roman" w:cs="Times New Roman" w:eastAsia="Times New Roman" w:hAnsi="Times New Roman"/>
          <w:sz w:val="21"/>
          <w:szCs w:val="21"/>
          <w:b w:val="1"/>
          <w:bCs w:val="1"/>
          <w:i w:val="1"/>
          <w:iCs w:val="1"/>
          <w:color w:val="auto"/>
        </w:rPr>
        <w:t>Optional Prepayment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59" w:lineRule="auto"/>
        <w:tabs>
          <w:tab w:leader="none" w:pos="1404" w:val="left"/>
        </w:tabs>
        <w:numPr>
          <w:ilvl w:val="0"/>
          <w:numId w:val="72"/>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auto"/>
        </w:rPr>
        <w:t xml:space="preserve">(a) Each Borrower shall have the right at any time and from time to time to prepay any Borrowing, in whole or in part, upon written, fax or electronic communication (e-mail) (or by telephone notice promptly confirmed by written, fax or electronic communication (e-mail)), substantially in the form of Exhibit B-5, delivered to the Applicable Administrative Agent by (i) 1:00 p.m. (Standard Time) at least three Business Days prior to the date designated for such prepayment, in the case of any prepayment of a SOFR Borrowing, Term CORRA Borrowing or a BBSY Rate Borrowing, (ii) 1:00 p.m. (Standard Time) on the date designated for such prepayment in the case of any prepayment of an ABR Borrowing under the U.S. Revolving Commitments, or (iii) 1:00 p.m. (Standard Time) one Business Day prior to the date designated for such prepayment, in the case of a U.S. Base Rate Borrowing or a Canadian Prime Rate Borrowing under the Canadian Revolving Commitments </w:t>
      </w:r>
      <w:r>
        <w:rPr>
          <w:rFonts w:ascii="Times New Roman" w:cs="Times New Roman" w:eastAsia="Times New Roman" w:hAnsi="Times New Roman"/>
          <w:sz w:val="21"/>
          <w:szCs w:val="21"/>
          <w:color w:val="FF0000"/>
        </w:rPr>
        <w:t>or Canadian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Term Loans</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i w:val="1"/>
          <w:iCs w:val="1"/>
          <w:color w:val="000000"/>
        </w:rPr>
        <w:t>however</w:t>
      </w:r>
      <w:r>
        <w:rPr>
          <w:rFonts w:ascii="Times New Roman" w:cs="Times New Roman" w:eastAsia="Times New Roman" w:hAnsi="Times New Roman"/>
          <w:sz w:val="21"/>
          <w:szCs w:val="21"/>
          <w:color w:val="000000"/>
        </w:rPr>
        <w:t>, that each partial prepayment shall be in an amount that is a minimum amount of U.S.$500,000</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or an integral multiple of U.S.$100,000 in excess thereof (or C$500,000 and C$100,000, respectively, in the case of Borrowings denominated in Canadian dollars or AUD$500,000 and AUD$100,000, respectively, in the case of Borrowings denominated in Australian dollars); and </w:t>
      </w:r>
      <w:r>
        <w:rPr>
          <w:rFonts w:ascii="Times New Roman" w:cs="Times New Roman" w:eastAsia="Times New Roman" w:hAnsi="Times New Roman"/>
          <w:sz w:val="21"/>
          <w:szCs w:val="21"/>
          <w:i w:val="1"/>
          <w:iCs w:val="1"/>
          <w:color w:val="000000"/>
        </w:rPr>
        <w:t>provided further</w:t>
      </w:r>
      <w:r>
        <w:rPr>
          <w:rFonts w:ascii="Times New Roman" w:cs="Times New Roman" w:eastAsia="Times New Roman" w:hAnsi="Times New Roman"/>
          <w:sz w:val="21"/>
          <w:szCs w:val="21"/>
          <w:color w:val="000000"/>
        </w:rPr>
        <w:t xml:space="preserve"> that the Applicable Borrower may defease any BBSY Rate Loan by depositing with the Applicable Administrative Agent an amount that, together with interest accruing on such amount to the end of the Interest Period for such BBSY Rate Loan is sufficient to pay such maturing BBSY Rate Loans when due. Such deposited cash collateral shall be assigned to the Applicable Administrative Agent as security for the obligations of the Parent Borrower in relation to such BBSY Rate Loan and the Lien of the Applicable Administrative Agent thereby created therein shall rank in priority to all other Liens and adverse claims against deposited cash collateral. The Applicable Administrative Agent shall promptly advise the Applicable Lenders of any notice given pursuant to this Section 2.11 and of each Lender’s portion of such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-1734820</wp:posOffset>
            </wp:positionV>
            <wp:extent cx="7181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85" cy="8255"/>
                    </a:xfrm>
                    <a:prstGeom prst="rect">
                      <a:avLst/>
                    </a:prstGeom>
                    <a:noFill/>
                  </pic:spPr>
                </pic:pic>
              </a:graphicData>
            </a:graphic>
          </wp:anchor>
        </w:drawing>
      </w: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4" w:name="page115"/>
    <w:bookmarkEnd w:id="114"/>
    <w:p>
      <w:pPr>
        <w:jc w:val="both"/>
        <w:ind w:firstLine="1304"/>
        <w:spacing w:after="0" w:line="253" w:lineRule="auto"/>
        <w:tabs>
          <w:tab w:leader="none" w:pos="185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may, upon notice to the U.S. Swing Line Lender (with a copy to the Administrative Agent), at any time or from time to time, voluntarily prepay U.S. Swing Line Loans in whole or in part without premium or penalty;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notice must be received by the U.S. Swing Line Lender and the Administrative Agent not later than 1:00 p.m. (Standard Time) on the date of the prepayment, and (B) any such prepayment shall be in a minimum principal amount of $100,000.</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Borrower may, upon notice to the Canadian Swing Line Lender (with a copy to the Canadian Administrative Agent), at any time or from time to time, voluntarily prepay Canadian Swing Line Loans in whole or in part without premium or penalty;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1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w:t>
      </w:r>
      <w:r>
        <w:rPr>
          <w:rFonts w:ascii="Times New Roman" w:cs="Times New Roman" w:eastAsia="Times New Roman" w:hAnsi="Times New Roman"/>
          <w:sz w:val="22"/>
          <w:szCs w:val="22"/>
          <w:color w:val="FF0000"/>
          <w:strike w:val="1"/>
        </w:rPr>
        <w:t>Each prepayment of outstanding Canadian Term Loans, pursuant to this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2.11 shall be applied to the principal repayment installments thereof in direct order of maturity.</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2.12</w:t>
      </w:r>
      <w:r>
        <w:rPr>
          <w:sz w:val="20"/>
          <w:szCs w:val="20"/>
          <w:color w:val="auto"/>
        </w:rPr>
        <w:tab/>
      </w:r>
      <w:r>
        <w:rPr>
          <w:rFonts w:ascii="Times New Roman" w:cs="Times New Roman" w:eastAsia="Times New Roman" w:hAnsi="Times New Roman"/>
          <w:sz w:val="21"/>
          <w:szCs w:val="21"/>
          <w:b w:val="1"/>
          <w:bCs w:val="1"/>
          <w:i w:val="1"/>
          <w:iCs w:val="1"/>
          <w:color w:val="auto"/>
        </w:rPr>
        <w:t>Mandatory Prepayments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48" w:lineRule="auto"/>
        <w:tabs>
          <w:tab w:leader="none" w:pos="1404" w:val="left"/>
        </w:tabs>
        <w:numPr>
          <w:ilvl w:val="0"/>
          <w:numId w:val="7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In the event of any termination of all the U.S. Revolving Commitments, Canadian Revolving Commitments or Australian Revolving Commitments, each Applicable Borrower shall, on the date of such termination, repay or prepay all its outstanding U.S. Revolving Credit Loans, Canadian Revolving Credit Loans or Australian Revolving Credit Loans, as applicable, and replace all outstanding U.S. Letters of Credit, Canadian Letters of Credit or Australian Letters of Credit, as applicable, and/or deposit an amount equal to the sum of the U.S. L/C Exposure, the Canadian L/C Exposure or the Australian L/C Exposure, as applicable, in cash in a cash collateral account established with the Applicable Collateral Agent for the benefit of the Secured Parties. In the event of any partial reduction of the U.S. Revolving Commitments, the Canadian Revolving Commitments or the Australian Revolving Commitments, then (i) at or prior to the effective date of such reduction, the Applicable Administrative Agent shall notify each of the Applicable Borrowers and Applicable Lenders of the aggregate U.S. Revolving Credit Exposure, the aggregate Canadian Revolving Credit Exposure or the aggregate Australian Revolving Credit Exposure, as the case may be, after giving effect thereto, and (ii) if the aggregate U.S. Revolving Credit Exposure, the aggregate Canadian Revolving Credit Exposure or the Australian Revolving Credit Exposure, as the case may be, would exceed the Total U.S. Revolving Commitment, Total Canadian Revolving Commitment or Total Australian Revolving Commitment, respectively, after giving effect to such reduction, then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the Parent Borrower, or the Australian Borrower, as the case may be, shall, on the date of such reduction, repay or prepay Borrowings of Revolving</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61" w:lineRule="auto"/>
        <w:rPr>
          <w:sz w:val="20"/>
          <w:szCs w:val="20"/>
          <w:color w:val="auto"/>
        </w:rPr>
      </w:pPr>
      <w:r>
        <w:rPr>
          <w:rFonts w:ascii="Times New Roman" w:cs="Times New Roman" w:eastAsia="Times New Roman" w:hAnsi="Times New Roman"/>
          <w:sz w:val="21"/>
          <w:szCs w:val="21"/>
          <w:color w:val="auto"/>
        </w:rPr>
        <w:t>Credit Loans (or defease BBSY Rate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w:t>
      </w:r>
      <w:r>
        <w:rPr>
          <w:rFonts w:ascii="Times New Roman" w:cs="Times New Roman" w:eastAsia="Times New Roman" w:hAnsi="Times New Roman"/>
          <w:sz w:val="21"/>
          <w:szCs w:val="21"/>
          <w:u w:val="single" w:color="auto"/>
          <w:color w:val="0000FF"/>
          <w:highlight w:val="lightGray"/>
        </w:rPr>
        <w:t>s</w:t>
      </w:r>
      <w:r>
        <w:rPr>
          <w:rFonts w:ascii="Times New Roman" w:cs="Times New Roman" w:eastAsia="Times New Roman" w:hAnsi="Times New Roman"/>
          <w:sz w:val="21"/>
          <w:szCs w:val="21"/>
          <w:color w:val="auto"/>
        </w:rPr>
        <w:t xml:space="preserve"> shall repay or prepay U.S. Revolving Borrowings and/or replace or cash collateralize outstanding U.S. Letters of Credit in an amount sufficient to eliminate such excess. If on any date, the aggregate Canadian Revolving Credit Exposure exceeds the Total Canadian Revolving Commitment, then within two Business Days following such date, the Parent Borrower shall repay or prepay Canadian Revolving Borrowings and/or replace or cash collateralize outstanding Canadian Letters of Credit in an amount sufficient to eliminate such excess. If on any date, the aggregate Australian Revolving Credit Exposure exceeds the Total Australian Revolving Commitment, then within two Business Days following such date, the Australian Borrower shall repay or prepay Australian Revolving Borrowings (or defease BBSY Rate Borrowings as described in Section 2.11(a)) and/or replace or cash collateralize outstanding Australian Letters of Credit in an amount sufficient to eliminate such excess.</w:t>
      </w:r>
    </w:p>
    <w:p>
      <w:pPr>
        <w:spacing w:after="0" w:line="176" w:lineRule="exact"/>
        <w:rPr>
          <w:sz w:val="20"/>
          <w:szCs w:val="20"/>
          <w:color w:val="auto"/>
        </w:rPr>
      </w:pPr>
    </w:p>
    <w:p>
      <w:pPr>
        <w:jc w:val="both"/>
        <w:ind w:firstLine="1304"/>
        <w:spacing w:after="0" w:line="248" w:lineRule="auto"/>
        <w:tabs>
          <w:tab w:leader="none" w:pos="176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 xml:space="preserve">If on any date the Parent Borrower or any of its Subsidiaries shall receive Net Cash Proceeds from any Asset Sale and the aggregate amount of all such Net Cash Proceeds received since the later of the Closing Date and the date on which the last prepayment under this Section 2.12(b) was made exceeds C$5,000,000, the Canadian Term Loans shall be prepaid on or before the date which is not more than five (5) Business Days following the date of receipt of such Net Cash Proceeds by an amount equal to 100% of the amount of such Net Cash Proceeds; </w:t>
      </w:r>
      <w:r>
        <w:rPr>
          <w:rFonts w:ascii="Times New Roman" w:cs="Times New Roman" w:eastAsia="Times New Roman" w:hAnsi="Times New Roman"/>
          <w:sz w:val="22"/>
          <w:szCs w:val="22"/>
          <w:i w:val="1"/>
          <w:iCs w:val="1"/>
          <w:color w:val="FF0000"/>
          <w:strike w:val="1"/>
        </w:rPr>
        <w:t>provided that</w:t>
      </w:r>
      <w:r>
        <w:rPr>
          <w:rFonts w:ascii="Times New Roman" w:cs="Times New Roman" w:eastAsia="Times New Roman" w:hAnsi="Times New Roman"/>
          <w:sz w:val="22"/>
          <w:szCs w:val="22"/>
          <w:color w:val="FF0000"/>
          <w:strike w:val="1"/>
        </w:rPr>
        <w:t xml:space="preserve"> no prepayment shall be required under this Section 2.12(b) to the extent that, if no Event of Default has occurred and is then continuing, the Parent Borrower delivers a certificate to the Administrative Agent prior to the date of any such required prepayment stating that the Parent Borrower or such Subsidiary intends to reinvest such Net Cash Proceeds in assets used or useful in the business of the Parent Borrower and its Subsidiaries within twelve months after receipt of such Net Cash Proceeds by the Parent Borrower or such Subsidiary;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i w:val="1"/>
          <w:iCs w:val="1"/>
          <w:color w:val="FF0000"/>
          <w:strike w:val="1"/>
        </w:rPr>
        <w:t>further</w:t>
      </w:r>
      <w:r>
        <w:rPr>
          <w:rFonts w:ascii="Times New Roman" w:cs="Times New Roman" w:eastAsia="Times New Roman" w:hAnsi="Times New Roman"/>
          <w:sz w:val="22"/>
          <w:szCs w:val="22"/>
          <w:color w:val="FF0000"/>
          <w:strike w:val="1"/>
        </w:rPr>
        <w:t>, however, that any Net Cash Proceeds not so reinvested within such twelve month period shall be immediately applied to</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color w:val="FF0000"/>
          <w:strike w:val="1"/>
        </w:rPr>
        <w:t>the prepayment of the Canadian Term Loans as set forth in this Section 2.12(b).</w:t>
      </w:r>
      <w:r>
        <w:rPr>
          <w:rFonts w:ascii="Times New Roman" w:cs="Times New Roman" w:eastAsia="Times New Roman" w:hAnsi="Times New Roman"/>
          <w:sz w:val="22"/>
          <w:szCs w:val="22"/>
          <w:u w:val="single" w:color="auto"/>
          <w:color w:val="0000FF"/>
          <w:highlight w:val="lightGray"/>
          <w:strike w:val="1"/>
        </w:rPr>
        <w:t>[reserved].</w:t>
      </w:r>
    </w:p>
    <w:p>
      <w:pPr>
        <w:spacing w:after="0" w:line="18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If on any date the Parent Borrower or any of its Subsidiaries shall receive Net Cash Proceeds from the issuance or incurrence of Indebtedness for borrowed money (other than any cash proceeds from the issuance of Indebtedness permitted pursuant to Section 6.01 (other than Section 6.01(e) excluding any Permitted Refinancing Indebtedness in respect of previously incurred Indebtedness pursuant to Section 6.01(e)), the Canadian Term Loans shall be prepaid, substantially simultaneously with (and in any event not later than the third Business Day next following) the date of receipt of such Net Cash Proceeds by an amount equal to 100% of the amount of such Net Cash Proceeds.</w:t>
      </w:r>
      <w:r>
        <w:rPr>
          <w:rFonts w:ascii="Times New Roman" w:cs="Times New Roman" w:eastAsia="Times New Roman" w:hAnsi="Times New Roman"/>
          <w:sz w:val="22"/>
          <w:szCs w:val="22"/>
          <w:u w:val="single" w:color="auto"/>
          <w:color w:val="0000FF"/>
          <w:highlight w:val="lightGray"/>
          <w:strike w:val="1"/>
        </w:rPr>
        <w:t>[reserved].</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7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at any time there are any Canadian Revolving Credit Loans or U.S. Revolving Credit Loans then outstanding, Excess Cash on deposit in Canada and the United States exceeds $15,000,000 for a period of more than five consecutive Business Days, the Borrowers shall make mandatory prepayments of Canadian Revolving Credit Loans and U.S.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49" w:lineRule="auto"/>
        <w:rPr>
          <w:sz w:val="20"/>
          <w:szCs w:val="20"/>
          <w:color w:val="auto"/>
        </w:rPr>
      </w:pPr>
      <w:r>
        <w:rPr>
          <w:rFonts w:ascii="Times New Roman" w:cs="Times New Roman" w:eastAsia="Times New Roman" w:hAnsi="Times New Roman"/>
          <w:sz w:val="22"/>
          <w:szCs w:val="22"/>
          <w:color w:val="auto"/>
        </w:rPr>
        <w:t>Revolving Credit Loans in an amount equal to the lesser of (A) an amount sufficient to reduce the aggregate amount of Excess Cash on deposit in Canada and the United States after such prepayment to below $15,000,000 or (B) an amount sufficient to repay all Canadian Revolving Credit Loans and U.S. Revolving Credit Loans outstanding hereunder, in each case, such prepayment shall be made within five Business Days or (ii) at any time there are Australian Revolving Credit Loans then outstanding, Excess Cash on deposit in Australia exceeds AUS$15,000,000 for a period of more than five consecutive Business Days, the Australian Borrower shall make mandatory prepayments of Australian Revolving Credit Loans (or, in respect of BBSY Rate Loans, defease such BBSY Rate Loans in accordance with the procedures set forth in Section 2.11(a)) in an amount equal to the lesser of (A) an amount sufficient to reduce the aggregate amount of Excess Cash on deposit in Australia after such prepayment to below $15,000,000 or (B) an amount sufficient to repay all Australian Revolving Credit Loans outstanding hereunder, in each case, such prepayment shall be made within five Business Days.</w:t>
      </w:r>
    </w:p>
    <w:p>
      <w:pPr>
        <w:spacing w:after="0" w:line="17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2.13</w:t>
      </w:r>
      <w:r>
        <w:rPr>
          <w:sz w:val="20"/>
          <w:szCs w:val="20"/>
          <w:color w:val="auto"/>
        </w:rPr>
        <w:tab/>
      </w:r>
      <w:r>
        <w:rPr>
          <w:rFonts w:ascii="Times New Roman" w:cs="Times New Roman" w:eastAsia="Times New Roman" w:hAnsi="Times New Roman"/>
          <w:sz w:val="21"/>
          <w:szCs w:val="21"/>
          <w:b w:val="1"/>
          <w:bCs w:val="1"/>
          <w:i w:val="1"/>
          <w:iCs w:val="1"/>
          <w:color w:val="auto"/>
        </w:rPr>
        <w:t>Increased Costs; Capital Requirements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47" w:lineRule="auto"/>
        <w:tabs>
          <w:tab w:leader="none" w:pos="1404" w:val="left"/>
        </w:tabs>
        <w:numPr>
          <w:ilvl w:val="0"/>
          <w:numId w:val="7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Notwithstanding any other provision of this Agreement, if any Change in Law shall (i) 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Adjusted Term SOFR, Adjusted Term CORRA or the BBSY Rate), (ii) subject any Lender or any Issuing Bank to any Taxes (other than (A) Indemnified Taxes, (B) Taxes described in clauses (b) through (h) of the definition of Excluded Taxes and (C) Connection Income Taxes) on its loans, loan principal, letters of credit, commitments, or other obligations, or its deposits, reserves, other liabilities or capital attributable thereto; or (iii) impose on any Lender or Issuing Bank, any other condition, cost or expense (other than Taxes) affecting this Agreement or SOFR Loans, Term CORRA Loans or BBSY Rate Loans made by such Lender or any Letter of Credit or participation therein, and the result of any of the foregoing shall be to increase the cost to such Lender or Issuing Bank of making or maintaining any SOFR Loan, Term CORRA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191" w:lineRule="exact"/>
        <w:rPr>
          <w:sz w:val="20"/>
          <w:szCs w:val="20"/>
          <w:color w:val="auto"/>
        </w:rPr>
      </w:pPr>
    </w:p>
    <w:p>
      <w:pPr>
        <w:jc w:val="both"/>
        <w:ind w:firstLine="1304"/>
        <w:spacing w:after="0" w:line="263" w:lineRule="auto"/>
        <w:tabs>
          <w:tab w:leader="none" w:pos="18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63" w:lineRule="auto"/>
        <w:rPr>
          <w:sz w:val="20"/>
          <w:szCs w:val="20"/>
          <w:color w:val="auto"/>
        </w:rPr>
      </w:pPr>
      <w:r>
        <w:rPr>
          <w:rFonts w:ascii="Times New Roman" w:cs="Times New Roman" w:eastAsia="Times New Roman" w:hAnsi="Times New Roman"/>
          <w:sz w:val="21"/>
          <w:szCs w:val="21"/>
          <w:color w:val="auto"/>
        </w:rPr>
        <w:t>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170" w:lineRule="exact"/>
        <w:rPr>
          <w:sz w:val="20"/>
          <w:szCs w:val="20"/>
          <w:color w:val="auto"/>
        </w:rPr>
      </w:pPr>
    </w:p>
    <w:p>
      <w:pPr>
        <w:jc w:val="both"/>
        <w:ind w:firstLine="1304"/>
        <w:spacing w:after="0" w:line="252" w:lineRule="auto"/>
        <w:tabs>
          <w:tab w:leader="none" w:pos="177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179"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9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16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2.14</w:t>
      </w:r>
      <w:r>
        <w:rPr>
          <w:sz w:val="20"/>
          <w:szCs w:val="20"/>
          <w:color w:val="auto"/>
        </w:rPr>
        <w:tab/>
      </w:r>
      <w:r>
        <w:rPr>
          <w:rFonts w:ascii="Times New Roman" w:cs="Times New Roman" w:eastAsia="Times New Roman" w:hAnsi="Times New Roman"/>
          <w:sz w:val="21"/>
          <w:szCs w:val="21"/>
          <w:b w:val="1"/>
          <w:bCs w:val="1"/>
          <w:i w:val="1"/>
          <w:iCs w:val="1"/>
          <w:color w:val="auto"/>
        </w:rPr>
        <w:t>Change in Legality</w:t>
      </w:r>
    </w:p>
    <w:p>
      <w:pPr>
        <w:spacing w:after="0" w:line="239" w:lineRule="exact"/>
        <w:rPr>
          <w:sz w:val="20"/>
          <w:szCs w:val="20"/>
          <w:color w:val="auto"/>
        </w:rPr>
      </w:pPr>
    </w:p>
    <w:p>
      <w:pPr>
        <w:jc w:val="both"/>
        <w:ind w:firstLine="656"/>
        <w:spacing w:after="0" w:line="248" w:lineRule="auto"/>
        <w:tabs>
          <w:tab w:leader="none" w:pos="81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if any Change in Law shall make it unlawful, or any Governmental Authority has asserted that it is unlawful, for any Lender to make, maintain or fund Loans whose interest is determined by reference to SOFR, Term SOFR or Adjusted Term CORRA, or to determine or charge interest rates based upon SOFR, Term SOFR or Adjusted Term CORRA, then, upon notice thereof by such Lender to the Borrowers (through the Administrative Agent) (such notice, an “</w:t>
      </w:r>
      <w:r>
        <w:rPr>
          <w:rFonts w:ascii="Times New Roman" w:cs="Times New Roman" w:eastAsia="Times New Roman" w:hAnsi="Times New Roman"/>
          <w:sz w:val="22"/>
          <w:szCs w:val="22"/>
          <w:i w:val="1"/>
          <w:iCs w:val="1"/>
          <w:color w:val="auto"/>
        </w:rPr>
        <w:t>Illegality Notice</w:t>
      </w:r>
      <w:r>
        <w:rPr>
          <w:rFonts w:ascii="Times New Roman" w:cs="Times New Roman" w:eastAsia="Times New Roman" w:hAnsi="Times New Roman"/>
          <w:sz w:val="22"/>
          <w:szCs w:val="22"/>
          <w:color w:val="auto"/>
        </w:rPr>
        <w:t>”), (a) any obligation of such Lender to make or continue SOFR Loans or Term CORRA Loans, as applicable, or to convert ABR Loans or U.S. Base Rate Loans to SOFR Loans or to convert</w:t>
      </w: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47" w:lineRule="auto"/>
        <w:rPr>
          <w:sz w:val="20"/>
          <w:szCs w:val="20"/>
          <w:color w:val="auto"/>
        </w:rPr>
      </w:pPr>
      <w:r>
        <w:rPr>
          <w:rFonts w:ascii="Times New Roman" w:cs="Times New Roman" w:eastAsia="Times New Roman" w:hAnsi="Times New Roman"/>
          <w:sz w:val="22"/>
          <w:szCs w:val="22"/>
          <w:color w:val="auto"/>
        </w:rPr>
        <w:t>Canadian Prime Rate Loans to Term CORRA Loans shall be suspended, and (b) if such notice asserts the illegality of such Lender making or maintaining ABR Loans or U.S. Base Rate Loans the interest rate on which is determined by reference to the Term SOFR component of Alternate Base Rate or U.S. Base Rate, the interest rate on which ABR Loans or U.S. Base Rate Loans of such Lender shall, if necessary to avoid such illegality, be determined by the Administrative Agent without reference to the Term SOFR component of Alternate Base Rate or U.S. Base Rate, and (c) if such notice asserts the illegality of such Lender making or maintaining Canadian Prime Rate Loans the interest rate on which is determined by reference to the Term CORRA component of Canadian Prime Rate, the interest rate on which Canadian Prime Rate Loans of such Lender shall, if necessary to avoid such illegality, be determined by the Applicable Administrative Agent without reference to the Term CORRA component of Canadian Prime Rate, in each case, until such Lender notifies the Administrative Agent and the Borrowers that the circumstances giving rise to such determination no longer exist. Upon receipt of an Illegality Notice, the Borrowers shall prepay or, if applicable, convert (i) all SOFR Loans to ABR Loans or U.S. Base Rate Loans (the interest rate on which ABR Loans or U.S. Base Rate Loans shall, if necessary to avoid such illegality, be determined by the Administrative Agent without reference to the Term SOFR component of Alternate Base Rate or U.S. Base Rate), either on the last day of the Interest Period therefor, if all affected Lenders may lawfully continue to maintain such SOFR Loan to such day, or immediately, if all affected Lenders may not lawfully continue to maintain such SOFR Loan and all Term CORRA Loans of such Lender to Canadian Prime Rate Loans, either on the last day of the Interest Period, if such Lender may lawfully continue to maintain such Term CORRA Loans to such day, or immediately, if such Lender may not lawfully continue to maintain such Term CORRA Loans, in each case, until the Administrative Agent is advised in writing by each affected Lender that it is no longer illegal for such Lender to determine or charge interest rates based upon SOFR, the Term SOFR Reference Rate, Adjusted Term SOFR, Term SOFR, Term CORRA or Adjusted Term CORRA, as appliable. Upon any such prepayment or conversion following receipt of an Illegality Notice, the Borrower shall also pay accrued interest on the amount so prepaid or converted, together with any additional amounts required pursuant to Section 2.13 and Section 2.15.</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2.15</w:t>
      </w:r>
      <w:r>
        <w:rPr>
          <w:sz w:val="20"/>
          <w:szCs w:val="20"/>
          <w:color w:val="auto"/>
        </w:rPr>
        <w:tab/>
      </w:r>
      <w:r>
        <w:rPr>
          <w:rFonts w:ascii="Times New Roman" w:cs="Times New Roman" w:eastAsia="Times New Roman" w:hAnsi="Times New Roman"/>
          <w:sz w:val="21"/>
          <w:szCs w:val="21"/>
          <w:b w:val="1"/>
          <w:bCs w:val="1"/>
          <w:i w:val="1"/>
          <w:iCs w:val="1"/>
          <w:color w:val="auto"/>
        </w:rPr>
        <w:t>Breakage Costs</w:t>
      </w:r>
    </w:p>
    <w:p>
      <w:pPr>
        <w:spacing w:after="0" w:line="226" w:lineRule="exact"/>
        <w:rPr>
          <w:sz w:val="20"/>
          <w:szCs w:val="20"/>
          <w:color w:val="auto"/>
        </w:rPr>
      </w:pPr>
    </w:p>
    <w:p>
      <w:pPr>
        <w:jc w:val="both"/>
        <w:ind w:firstLine="656"/>
        <w:spacing w:after="0" w:line="249" w:lineRule="auto"/>
        <w:tabs>
          <w:tab w:leader="none" w:pos="769"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Borrowers hereby severally indemnify each Lender against any loss or expense that such Lender may sustain or incur as a consequence of (a) any event, other than a default by such Lender in the performance of its obligations hereunder, which results in (i) such Lender receiving or being deemed to receive any amount on account of the principal of any SOFR Loan, Term CORRA Loan or BBSY Rate Loan prior to the end of the Interest Period in effect therefor, including, without limitation, as a result of any prepayment, the acceleration of the maturity of the Obligations or for any other reason, (ii) the conversion of any SOFR Loan to an ABR Loan or U.S. Base Rate Loans, the conversion of any Term CORRA Loan to a Canadian Prime Rate Loan or the conversion of the Interest Period with respect to any SOFR Loan, Term CORRA Loan or BBSY Rate Loan, in each case other than on the last day of the Interest Period in effect therefor, (iii) any SOFR Loan, Term CORRA Loan or BBSY Rate Loan to be made by such Lender (including any SOFR Loan, Term CORRA Loan or BBSY Rate Loan to be made pursuant to a conversion or continuation under Section 2.10) not being made after notice of such</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19" w:name="page120"/>
    <w:bookmarkEnd w:id="119"/>
    <w:p>
      <w:pPr>
        <w:jc w:val="both"/>
        <w:spacing w:after="0" w:line="262" w:lineRule="auto"/>
        <w:rPr>
          <w:sz w:val="20"/>
          <w:szCs w:val="20"/>
          <w:color w:val="auto"/>
        </w:rPr>
      </w:pPr>
      <w:r>
        <w:rPr>
          <w:rFonts w:ascii="Times New Roman" w:cs="Times New Roman" w:eastAsia="Times New Roman" w:hAnsi="Times New Roman"/>
          <w:sz w:val="21"/>
          <w:szCs w:val="21"/>
          <w:color w:val="auto"/>
        </w:rPr>
        <w:t>Loan shall have been given by a Borrower hereunder or (iv) other than with respect to any Defaulting Lender, any assignment of a SOFR Loan, Term CORRA Loan or BBSY Rate Loan is made other than on the last day of the Interest Period for such Loan as a result of a request by the Applicable Borrower pursuant to Section 2.20 (any of the events referred to in this clause (a) being called a “</w:t>
      </w:r>
      <w:r>
        <w:rPr>
          <w:rFonts w:ascii="Times New Roman" w:cs="Times New Roman" w:eastAsia="Times New Roman" w:hAnsi="Times New Roman"/>
          <w:sz w:val="21"/>
          <w:szCs w:val="21"/>
          <w:i w:val="1"/>
          <w:iCs w:val="1"/>
          <w:color w:val="auto"/>
        </w:rPr>
        <w:t>Breakage Event</w:t>
      </w:r>
      <w:r>
        <w:rPr>
          <w:rFonts w:ascii="Times New Roman" w:cs="Times New Roman" w:eastAsia="Times New Roman" w:hAnsi="Times New Roman"/>
          <w:sz w:val="21"/>
          <w:szCs w:val="21"/>
          <w:color w:val="auto"/>
        </w:rPr>
        <w:t>”) or (b) any default in the making of any payment or prepayment required to be made hereunder. In the case of any Breakage Event, such loss shall include an amount equal to the excess, as reasonably determined by such Lender, of</w:t>
      </w:r>
    </w:p>
    <w:p>
      <w:pPr>
        <w:spacing w:after="0" w:line="2" w:lineRule="exact"/>
        <w:rPr>
          <w:sz w:val="20"/>
          <w:szCs w:val="20"/>
          <w:color w:val="auto"/>
        </w:rPr>
      </w:pPr>
    </w:p>
    <w:p>
      <w:pPr>
        <w:jc w:val="both"/>
        <w:ind w:firstLine="8"/>
        <w:spacing w:after="0" w:line="246" w:lineRule="auto"/>
        <w:tabs>
          <w:tab w:leader="none" w:pos="26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cost of obtaining funds for the SOFR Loan, Term CORRA Loan or BBSY Rate Loan that is the subject of such Breakage Event for the period from the date of such Breakage Event to the last day of the Interest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18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2.16</w:t>
      </w:r>
      <w:r>
        <w:rPr>
          <w:sz w:val="20"/>
          <w:szCs w:val="20"/>
          <w:color w:val="auto"/>
        </w:rPr>
        <w:tab/>
      </w:r>
      <w:r>
        <w:rPr>
          <w:rFonts w:ascii="Times New Roman" w:cs="Times New Roman" w:eastAsia="Times New Roman" w:hAnsi="Times New Roman"/>
          <w:sz w:val="21"/>
          <w:szCs w:val="21"/>
          <w:b w:val="1"/>
          <w:bCs w:val="1"/>
          <w:i w:val="1"/>
          <w:iCs w:val="1"/>
          <w:color w:val="auto"/>
        </w:rPr>
        <w:t>Pro Rata Treatment</w:t>
      </w:r>
    </w:p>
    <w:p>
      <w:pPr>
        <w:spacing w:after="0" w:line="226" w:lineRule="exact"/>
        <w:rPr>
          <w:sz w:val="20"/>
          <w:szCs w:val="20"/>
          <w:color w:val="auto"/>
        </w:rPr>
      </w:pPr>
    </w:p>
    <w:p>
      <w:pPr>
        <w:jc w:val="both"/>
        <w:ind w:firstLine="656"/>
        <w:spacing w:after="0" w:line="272" w:lineRule="auto"/>
        <w:tabs>
          <w:tab w:leader="none" w:pos="76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under Section 2.14, each Borrowing, each payment or prepayment of principal of any Borrowing, each payment of interest on any Class of Loans, each payment of the Commitment Fees with respect to any Class of Loans, each reduction of the Commitments and each conversion of any Borrowing to or continuation of any Borrowing as a Borrowing of any Type shall be allocated pro rata among the Applicable Lenders in accordance with their Applicable Pro Rata Percentages.</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2.17</w:t>
      </w:r>
      <w:r>
        <w:rPr>
          <w:sz w:val="20"/>
          <w:szCs w:val="20"/>
          <w:color w:val="auto"/>
        </w:rPr>
        <w:tab/>
      </w:r>
      <w:r>
        <w:rPr>
          <w:rFonts w:ascii="Times New Roman" w:cs="Times New Roman" w:eastAsia="Times New Roman" w:hAnsi="Times New Roman"/>
          <w:sz w:val="21"/>
          <w:szCs w:val="21"/>
          <w:b w:val="1"/>
          <w:bCs w:val="1"/>
          <w:i w:val="1"/>
          <w:iCs w:val="1"/>
          <w:color w:val="auto"/>
        </w:rPr>
        <w:t>Sharing of Setoffs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33" w:lineRule="exact"/>
        <w:rPr>
          <w:sz w:val="20"/>
          <w:szCs w:val="20"/>
          <w:color w:val="auto"/>
        </w:rPr>
      </w:pPr>
    </w:p>
    <w:p>
      <w:pPr>
        <w:jc w:val="both"/>
        <w:ind w:firstLine="1304"/>
        <w:spacing w:after="0" w:line="248" w:lineRule="auto"/>
        <w:tabs>
          <w:tab w:leader="none" w:pos="1417" w:val="left"/>
        </w:tabs>
        <w:numPr>
          <w:ilvl w:val="0"/>
          <w:numId w:val="83"/>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 xml:space="preserve">(a) Each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agrees that if it shall, through the exercise of a right of banker’s lien, setoff or counterclaim against a Borrower or any other Loan Party, or pursuant to a secured claim or other security or interest arising from, or in lieu of, such secured claim, received by such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under any applicable Insolvency Law or otherwise, or by any other means, obtain payment (voluntary or involuntary) in respect of any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 as a result of which the unpaid portion of its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Loans shall be proportionately less than the unpaid portion of the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Loans of any other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of the same Class, it shall (i) notify the Applicable Administrative Agent of such fact and (ii) be deemed simultaneously to have purchased from such other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at face value, and shall promptly pay to such other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the purchase price for, a participation in the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Loans of the same Class of such other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and, if applicable, subparticipations in Canadian L/C Exposure and Canadian Swing Line Loans of such other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or make such other adjustments as shall be equitable, so that the aggregate unpaid amount of the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Loans and participations in Canadian L/C Exposure and Canadian Swing Line Loans held by each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Lender shall be in</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the same proportion to the aggregate unpaid amount of all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Loans, Canadian L/C Exposure and Canadian Swing Line Loans then outstanding of the same Class as the amount of its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Loans, Canadian L/C Exposure and Canadian Swing Line Loans prior to such exercise of banker’s lien, setoff or counterclaim or other event was to the amount of all Canadian </w:t>
      </w:r>
      <w:r>
        <w:rPr>
          <w:rFonts w:ascii="Times New Roman" w:cs="Times New Roman" w:eastAsia="Times New Roman" w:hAnsi="Times New Roman"/>
          <w:sz w:val="22"/>
          <w:szCs w:val="22"/>
          <w:u w:val="single" w:color="auto"/>
          <w:color w:val="0000FF"/>
          <w:highlight w:val="lightGray"/>
        </w:rPr>
        <w:t>Revolving</w:t>
      </w:r>
      <w:r>
        <w:rPr>
          <w:rFonts w:ascii="Times New Roman" w:cs="Times New Roman" w:eastAsia="Times New Roman" w:hAnsi="Times New Roman"/>
          <w:sz w:val="22"/>
          <w:szCs w:val="22"/>
          <w:color w:val="auto"/>
        </w:rPr>
        <w:t xml:space="preserve"> Loans, Canadian L/C Exposure and Canadian Swing Line Loans outstanding prior to such exercise of banker’s lien, setoff or counterclaim or other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r>
        <w:rPr>
          <w:rFonts w:ascii="Times New Roman" w:cs="Times New Roman" w:eastAsia="Times New Roman" w:hAnsi="Times New Roman"/>
          <w:sz w:val="22"/>
          <w:szCs w:val="22"/>
          <w:color w:val="FF0000"/>
          <w:strike w:val="1"/>
        </w:rPr>
        <w:t>.</w:t>
      </w:r>
    </w:p>
    <w:p>
      <w:pPr>
        <w:spacing w:after="0" w:line="195" w:lineRule="exact"/>
        <w:rPr>
          <w:sz w:val="20"/>
          <w:szCs w:val="20"/>
          <w:color w:val="auto"/>
        </w:rPr>
      </w:pPr>
    </w:p>
    <w:p>
      <w:pPr>
        <w:jc w:val="both"/>
        <w:ind w:firstLine="1304"/>
        <w:spacing w:after="0" w:line="247" w:lineRule="auto"/>
        <w:tabs>
          <w:tab w:leader="none" w:pos="17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 (i) 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any such purchase, purchases, subparticipations or adjustments shall be made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2.17(b)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8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1" w:name="page122"/>
    <w:bookmarkEnd w:id="12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such purchase, purchases, subparticipations or adjustments shall be made pursuant to this Section 2.17(c)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89" w:lineRule="exact"/>
        <w:rPr>
          <w:sz w:val="20"/>
          <w:szCs w:val="20"/>
          <w:color w:val="auto"/>
        </w:rPr>
      </w:pPr>
    </w:p>
    <w:p>
      <w:pPr>
        <w:jc w:val="both"/>
        <w:ind w:firstLine="1304"/>
        <w:spacing w:after="0" w:line="256" w:lineRule="auto"/>
        <w:tabs>
          <w:tab w:leader="none" w:pos="181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Bilateral Lender (in such capacity as the lender under the Bilateral Agreement and not in its capacity as a Lender under this Agreement) receives or recovers any money in respect of any sum due from an Australian Loan Party and applies such amounts against the Bilateral Obligations (including recoveries by way of set off) (“</w:t>
      </w:r>
      <w:r>
        <w:rPr>
          <w:rFonts w:ascii="Times New Roman" w:cs="Times New Roman" w:eastAsia="Times New Roman" w:hAnsi="Times New Roman"/>
          <w:sz w:val="22"/>
          <w:szCs w:val="22"/>
          <w:i w:val="1"/>
          <w:iCs w:val="1"/>
          <w:color w:val="auto"/>
        </w:rPr>
        <w:t>Turnover Money</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37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Default has occurred and is continuing under this Agreement and the Australian Collateral Agent has enforced its rights and remedies under the Australian Security Documents as contemplated by Sections 7.02 or 7.03; or</w:t>
      </w:r>
    </w:p>
    <w:p>
      <w:pPr>
        <w:spacing w:after="0" w:line="172"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paragraph (i) above does not apply, but an Event of Default has occurred and is continuing under</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w:t>
      </w:r>
    </w:p>
    <w:p>
      <w:pPr>
        <w:spacing w:after="0" w:line="28" w:lineRule="exact"/>
        <w:rPr>
          <w:sz w:val="20"/>
          <w:szCs w:val="20"/>
          <w:color w:val="auto"/>
        </w:rPr>
      </w:pPr>
    </w:p>
    <w:p>
      <w:pPr>
        <w:ind w:left="2500" w:hanging="548"/>
        <w:spacing w:after="0"/>
        <w:tabs>
          <w:tab w:leader="none" w:pos="2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paragraph (i) above:</w:t>
      </w:r>
    </w:p>
    <w:p>
      <w:pPr>
        <w:spacing w:after="0" w:line="195" w:lineRule="exact"/>
        <w:rPr>
          <w:rFonts w:ascii="Times New Roman" w:cs="Times New Roman" w:eastAsia="Times New Roman" w:hAnsi="Times New Roman"/>
          <w:sz w:val="22"/>
          <w:szCs w:val="22"/>
          <w:color w:val="auto"/>
        </w:rPr>
      </w:pPr>
    </w:p>
    <w:p>
      <w:pPr>
        <w:jc w:val="both"/>
        <w:ind w:left="1300" w:firstLine="1300"/>
        <w:spacing w:after="0" w:line="263" w:lineRule="auto"/>
        <w:tabs>
          <w:tab w:leader="none" w:pos="312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Bilateral Lender will promptly notify the Australian Collateral Agent and pay an amount equal to the Turnover Money to the Australian Collateral Agent (unless the Australian Collateral Agent directs otherwise on the instructions of the Applicable Required Lenders); and</w:t>
      </w:r>
    </w:p>
    <w:p>
      <w:pPr>
        <w:spacing w:after="0" w:line="167" w:lineRule="exact"/>
        <w:rPr>
          <w:rFonts w:ascii="Times New Roman" w:cs="Times New Roman" w:eastAsia="Times New Roman" w:hAnsi="Times New Roman"/>
          <w:sz w:val="20"/>
          <w:szCs w:val="20"/>
          <w:color w:val="auto"/>
        </w:rPr>
      </w:pPr>
    </w:p>
    <w:p>
      <w:pPr>
        <w:ind w:left="1300" w:right="20" w:firstLine="1300"/>
        <w:spacing w:after="0" w:line="284" w:lineRule="auto"/>
        <w:tabs>
          <w:tab w:leader="none" w:pos="309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Australian Collateral Agent will deal with the Turnover Money as if it were a payment by the Australian Loan Parties under this Agreement; and</w:t>
      </w:r>
    </w:p>
    <w:p>
      <w:pPr>
        <w:spacing w:after="0" w:line="143"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paragraph (ii) above:</w:t>
      </w:r>
    </w:p>
    <w:p>
      <w:pPr>
        <w:spacing w:after="0" w:line="219" w:lineRule="exact"/>
        <w:rPr>
          <w:rFonts w:ascii="Times New Roman" w:cs="Times New Roman" w:eastAsia="Times New Roman" w:hAnsi="Times New Roman"/>
          <w:sz w:val="22"/>
          <w:szCs w:val="22"/>
          <w:color w:val="auto"/>
        </w:rPr>
      </w:pPr>
    </w:p>
    <w:p>
      <w:pPr>
        <w:ind w:left="1300" w:firstLine="1300"/>
        <w:spacing w:after="0" w:line="284" w:lineRule="auto"/>
        <w:tabs>
          <w:tab w:leader="none" w:pos="319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Bilateral Lender will promptly notify the Australian Administrative Agent and pay an amount equal to the Turnover Money to the</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2" w:name="page123"/>
    <w:bookmarkEnd w:id="122"/>
    <w:p>
      <w:pPr>
        <w:ind w:left="1300"/>
        <w:spacing w:after="0" w:line="271" w:lineRule="auto"/>
        <w:rPr>
          <w:sz w:val="20"/>
          <w:szCs w:val="20"/>
          <w:color w:val="auto"/>
        </w:rPr>
      </w:pPr>
      <w:r>
        <w:rPr>
          <w:rFonts w:ascii="Times New Roman" w:cs="Times New Roman" w:eastAsia="Times New Roman" w:hAnsi="Times New Roman"/>
          <w:sz w:val="22"/>
          <w:szCs w:val="22"/>
          <w:color w:val="auto"/>
        </w:rPr>
        <w:t>Australian Administrative Agent (unless the Australian Administrative Agent directs otherwise on the instructions of the Applicable Required Lenders); and</w:t>
      </w:r>
    </w:p>
    <w:p>
      <w:pPr>
        <w:spacing w:after="0" w:line="158" w:lineRule="exact"/>
        <w:rPr>
          <w:sz w:val="20"/>
          <w:szCs w:val="20"/>
          <w:color w:val="auto"/>
        </w:rPr>
      </w:pPr>
    </w:p>
    <w:p>
      <w:pPr>
        <w:ind w:left="3100" w:hanging="500"/>
        <w:spacing w:after="0"/>
        <w:tabs>
          <w:tab w:leader="none" w:pos="310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Australian Administrative Agent will hold the Turnover Money paid to it under paragraph</w:t>
      </w:r>
    </w:p>
    <w:p>
      <w:pPr>
        <w:spacing w:after="0" w:line="40" w:lineRule="exact"/>
        <w:rPr>
          <w:rFonts w:ascii="Times New Roman" w:cs="Times New Roman" w:eastAsia="Times New Roman" w:hAnsi="Times New Roman"/>
          <w:sz w:val="19"/>
          <w:szCs w:val="19"/>
          <w:color w:val="auto"/>
        </w:rPr>
      </w:pPr>
    </w:p>
    <w:p>
      <w:pPr>
        <w:ind w:left="1300" w:right="20" w:firstLine="4"/>
        <w:spacing w:after="0" w:line="259" w:lineRule="auto"/>
        <w:tabs>
          <w:tab w:leader="none" w:pos="170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no greater than 15 Business Days (“</w:t>
      </w:r>
      <w:r>
        <w:rPr>
          <w:rFonts w:ascii="Times New Roman" w:cs="Times New Roman" w:eastAsia="Times New Roman" w:hAnsi="Times New Roman"/>
          <w:sz w:val="22"/>
          <w:szCs w:val="22"/>
          <w:i w:val="1"/>
          <w:iCs w:val="1"/>
          <w:color w:val="auto"/>
        </w:rPr>
        <w:t>Decision Period</w:t>
      </w:r>
      <w:r>
        <w:rPr>
          <w:rFonts w:ascii="Times New Roman" w:cs="Times New Roman" w:eastAsia="Times New Roman" w:hAnsi="Times New Roman"/>
          <w:sz w:val="22"/>
          <w:szCs w:val="22"/>
          <w:color w:val="auto"/>
        </w:rPr>
        <w:t>”) to be applied by the Australian Administrative Agent as follows:</w:t>
      </w:r>
    </w:p>
    <w:p>
      <w:pPr>
        <w:spacing w:after="0" w:line="170" w:lineRule="exact"/>
        <w:rPr>
          <w:rFonts w:ascii="Times New Roman" w:cs="Times New Roman" w:eastAsia="Times New Roman" w:hAnsi="Times New Roman"/>
          <w:sz w:val="22"/>
          <w:szCs w:val="22"/>
          <w:color w:val="auto"/>
        </w:rPr>
      </w:pPr>
    </w:p>
    <w:p>
      <w:pPr>
        <w:jc w:val="both"/>
        <w:ind w:left="1960" w:firstLine="1288"/>
        <w:spacing w:after="0" w:line="254" w:lineRule="auto"/>
        <w:tabs>
          <w:tab w:leader="none" w:pos="3748"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prior to the end of the Decision Period, an Event of Default occurs or has occurred and is continuing under this Agreement and the Australian Collateral Agent enforces its rights and remedies under the Australian Security Documents as contemplated by Section 7.02 or 7.03, the Australian Administrative Agent will immediately pay an amount equal to the Turnover Money to the Australian Collateral Agent on such enforcement and the Australian Collateral Agent shall deal with the Turnover Money as if it were a payment by the Australian Loan Parties under this Agreement; or</w:t>
      </w:r>
    </w:p>
    <w:p>
      <w:pPr>
        <w:spacing w:after="0" w:line="175" w:lineRule="exact"/>
        <w:rPr>
          <w:rFonts w:ascii="Times New Roman" w:cs="Times New Roman" w:eastAsia="Times New Roman" w:hAnsi="Times New Roman"/>
          <w:sz w:val="20"/>
          <w:szCs w:val="20"/>
          <w:color w:val="auto"/>
        </w:rPr>
      </w:pPr>
    </w:p>
    <w:p>
      <w:pPr>
        <w:ind w:left="1960" w:firstLine="1288"/>
        <w:spacing w:after="0" w:line="271" w:lineRule="auto"/>
        <w:tabs>
          <w:tab w:leader="none" w:pos="3769"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all other circumstances, it will return an amount equal to the Turnover Moneys to the Bilateral Lender for the Bilateral Lender to apply to the Bilateral Obligations.</w:t>
      </w:r>
    </w:p>
    <w:p>
      <w:pPr>
        <w:spacing w:after="0" w:line="171"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21"/>
          <w:szCs w:val="21"/>
          <w:color w:val="auto"/>
        </w:rPr>
        <w:t>The parties agree that the Turnover Money recovered by the Bilateral Lender that is ultimately distributed by the Australian Collateral Agent to the relevant Secured Parties will be taken to have been a payment for the account of the Australian Collateral Agent and not to the Bilateral Lender for its own account (and the liability of an Australian Loan Party to the Bilateral Lender will only be reduced to the extent the Turnover Money is returned the Bilateral Lender as contemplated by Section 2.17(d)(iv)(B)</w:t>
      </w:r>
    </w:p>
    <w:p>
      <w:pPr>
        <w:spacing w:after="0" w:line="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(2)). Without limiting this paragraph, the relevant Australian Loan Party shall indemnify the Bilateral Lender against a recovery by the Bilateral Lender of the Turnover Money to the extent that (despite this paragraph), the relevant Australian Loan Party’s liability has been discharged by the recovery or payment. For the avoidance of doubt, the Bilateral Lender’s obligations under this clause Section 2.17(d) to pay any Turnover Moneys to the Australian Administrative Agent or Australian Collateral Agent (as the case may be), is only enlivened when an Event of Default has occurred and is continuing.</w:t>
      </w:r>
    </w:p>
    <w:p>
      <w:pPr>
        <w:spacing w:after="0" w:line="213" w:lineRule="exact"/>
        <w:rPr>
          <w:sz w:val="20"/>
          <w:szCs w:val="20"/>
          <w:color w:val="auto"/>
        </w:rPr>
      </w:pPr>
    </w:p>
    <w:p>
      <w:pPr>
        <w:jc w:val="both"/>
        <w:ind w:firstLine="1304"/>
        <w:spacing w:after="0" w:line="253" w:lineRule="auto"/>
        <w:tabs>
          <w:tab w:leader="none" w:pos="175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2.17(a), (b), (c) and (d)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and (c) shall apply).</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expressly consents to the arrangements set forth in Section 2.17(a), (b), (c) and (d) above and agrees, to the extent it may effectively do so under applicable law, that any Lender holding a participation in a Loan or L/C Exposure pursuant to the foregoing arrangements may exercise against each Loan Party any and all rights of banker’s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271" w:lineRule="auto"/>
        <w:rPr>
          <w:sz w:val="20"/>
          <w:szCs w:val="20"/>
          <w:color w:val="auto"/>
        </w:rPr>
      </w:pPr>
      <w:r>
        <w:rPr>
          <w:rFonts w:ascii="Times New Roman" w:cs="Times New Roman" w:eastAsia="Times New Roman" w:hAnsi="Times New Roman"/>
          <w:sz w:val="22"/>
          <w:szCs w:val="22"/>
          <w:color w:val="auto"/>
        </w:rPr>
        <w:t>lien, setoff or counterclaim with respect to such participation as fully as if such Lender were a direct creditor of each Loan Party in the amount of such participation.</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2.18</w:t>
      </w:r>
      <w:r>
        <w:rPr>
          <w:sz w:val="20"/>
          <w:szCs w:val="20"/>
          <w:color w:val="auto"/>
        </w:rPr>
        <w:tab/>
      </w:r>
      <w:r>
        <w:rPr>
          <w:rFonts w:ascii="Times New Roman" w:cs="Times New Roman" w:eastAsia="Times New Roman" w:hAnsi="Times New Roman"/>
          <w:sz w:val="21"/>
          <w:szCs w:val="21"/>
          <w:b w:val="1"/>
          <w:bCs w:val="1"/>
          <w:i w:val="1"/>
          <w:iCs w:val="1"/>
          <w:color w:val="auto"/>
        </w:rPr>
        <w:t>Payments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47" w:lineRule="auto"/>
        <w:tabs>
          <w:tab w:leader="none" w:pos="1417" w:val="left"/>
        </w:tabs>
        <w:numPr>
          <w:ilvl w:val="0"/>
          <w:numId w:val="90"/>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The Borrowers shall make each payment (including principal of or interest on any Borrowing or any L/C 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189" w:lineRule="exact"/>
        <w:rPr>
          <w:sz w:val="20"/>
          <w:szCs w:val="20"/>
          <w:color w:val="auto"/>
        </w:rPr>
      </w:pPr>
    </w:p>
    <w:p>
      <w:pPr>
        <w:jc w:val="both"/>
        <w:ind w:firstLine="1304"/>
        <w:spacing w:after="0" w:line="256" w:lineRule="auto"/>
        <w:tabs>
          <w:tab w:leader="none" w:pos="179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2.19</w:t>
      </w:r>
      <w:r>
        <w:rPr>
          <w:sz w:val="20"/>
          <w:szCs w:val="20"/>
          <w:color w:val="auto"/>
        </w:rPr>
        <w:tab/>
      </w:r>
      <w:r>
        <w:rPr>
          <w:rFonts w:ascii="Times New Roman" w:cs="Times New Roman" w:eastAsia="Times New Roman" w:hAnsi="Times New Roman"/>
          <w:sz w:val="19"/>
          <w:szCs w:val="19"/>
          <w:b w:val="1"/>
          <w:bCs w:val="1"/>
          <w:i w:val="1"/>
          <w:iCs w:val="1"/>
          <w:color w:val="auto"/>
        </w:rPr>
        <w:t>Taxes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1304"/>
        <w:spacing w:after="0" w:line="271" w:lineRule="auto"/>
        <w:tabs>
          <w:tab w:leader="none" w:pos="184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2.19, the term “Lender” includes any Issuing Bank and the term “applicable law” includes FATCA.</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4" w:name="page125"/>
    <w:bookmarkEnd w:id="124"/>
    <w:p>
      <w:pPr>
        <w:jc w:val="both"/>
        <w:spacing w:after="0" w:line="251" w:lineRule="auto"/>
        <w:rPr>
          <w:sz w:val="20"/>
          <w:szCs w:val="20"/>
          <w:color w:val="auto"/>
        </w:rPr>
      </w:pPr>
      <w:r>
        <w:rPr>
          <w:rFonts w:ascii="Times New Roman" w:cs="Times New Roman" w:eastAsia="Times New Roman" w:hAnsi="Times New Roman"/>
          <w:sz w:val="22"/>
          <w:szCs w:val="22"/>
          <w:color w:val="auto"/>
        </w:rPr>
        <w:t>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81" w:lineRule="exact"/>
        <w:rPr>
          <w:sz w:val="20"/>
          <w:szCs w:val="20"/>
          <w:color w:val="auto"/>
        </w:rPr>
      </w:pPr>
    </w:p>
    <w:p>
      <w:pPr>
        <w:jc w:val="both"/>
        <w:ind w:right="20" w:firstLine="1304"/>
        <w:spacing w:after="0" w:line="263" w:lineRule="auto"/>
        <w:tabs>
          <w:tab w:leader="none" w:pos="175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Loan Parties shall pay any Other Taxes to the relevant Governmental Authority in accordance with applicable law or, at the option of the Applicable Administrative Agent, timely reimburse it for the payment of any Other Taxes.</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severally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2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18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reporting such payment or other evidence of such payment reasonably satisfactory to the Applicable Administrative Agent.</w:t>
      </w:r>
    </w:p>
    <w:p>
      <w:pPr>
        <w:spacing w:after="0" w:line="220" w:lineRule="exact"/>
        <w:rPr>
          <w:sz w:val="20"/>
          <w:szCs w:val="20"/>
          <w:color w:val="auto"/>
        </w:rPr>
      </w:pPr>
    </w:p>
    <w:p>
      <w:pPr>
        <w:jc w:val="both"/>
        <w:ind w:firstLine="1304"/>
        <w:spacing w:after="0" w:line="260" w:lineRule="auto"/>
        <w:tabs>
          <w:tab w:leader="none" w:pos="187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0" w:lineRule="exact"/>
        <w:rPr>
          <w:rFonts w:ascii="Times New Roman" w:cs="Times New Roman" w:eastAsia="Times New Roman" w:hAnsi="Times New Roman"/>
          <w:sz w:val="21"/>
          <w:szCs w:val="21"/>
          <w:color w:val="auto"/>
        </w:rPr>
      </w:pPr>
    </w:p>
    <w:p>
      <w:pPr>
        <w:ind w:left="660" w:firstLine="1292"/>
        <w:spacing w:after="0" w:line="271" w:lineRule="auto"/>
        <w:tabs>
          <w:tab w:leader="none" w:pos="255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Applicable Borrower with respect to such Lender is a U.S. Person:</w:t>
      </w:r>
    </w:p>
    <w:p>
      <w:pPr>
        <w:spacing w:after="0" w:line="157" w:lineRule="exact"/>
        <w:rPr>
          <w:rFonts w:ascii="Times New Roman" w:cs="Times New Roman" w:eastAsia="Times New Roman" w:hAnsi="Times New Roman"/>
          <w:sz w:val="22"/>
          <w:szCs w:val="22"/>
          <w:color w:val="auto"/>
        </w:rPr>
      </w:pPr>
    </w:p>
    <w:p>
      <w:pPr>
        <w:jc w:val="both"/>
        <w:ind w:left="1300" w:firstLine="1300"/>
        <w:spacing w:after="0" w:line="253" w:lineRule="auto"/>
        <w:tabs>
          <w:tab w:leader="none" w:pos="30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Lender with respect to such Borrower that is a U.S. Person shall deliver to such Borrower and the Applicable Administrative Agent on or prior to the date on which such Lender becomes a Lender under this Agreement (and from time to time thereafter upon the reasonable request of such Borrower or the Applicable Administrative Agent), executed originals of IRS Form W-9 certifying that such Lender is exempt from U.S. federal backup withholding tax;</w:t>
      </w:r>
    </w:p>
    <w:p>
      <w:pPr>
        <w:spacing w:after="0" w:line="178" w:lineRule="exact"/>
        <w:rPr>
          <w:rFonts w:ascii="Times New Roman" w:cs="Times New Roman" w:eastAsia="Times New Roman" w:hAnsi="Times New Roman"/>
          <w:sz w:val="20"/>
          <w:szCs w:val="20"/>
          <w:color w:val="auto"/>
        </w:rPr>
      </w:pPr>
    </w:p>
    <w:p>
      <w:pPr>
        <w:jc w:val="both"/>
        <w:ind w:left="1300" w:firstLine="1300"/>
        <w:spacing w:after="0" w:line="256" w:lineRule="auto"/>
        <w:tabs>
          <w:tab w:leader="none" w:pos="3175"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Foreign Lender with respect to such Borrower shall deliver to such Borrower and the Applicable Administrative Agent, in such number of copies as shall be requested by the recipient, (on or prior to the date on which such Foreign Lender becomes a Lender under this Agreement and from time to time thereafter upon the request of such Borrower or the Applicable Administrative Agent), but only if such Foreign Lender is legally entitled to do so, whichever of the following is applicable:</w:t>
      </w:r>
    </w:p>
    <w:p>
      <w:pPr>
        <w:spacing w:after="0" w:line="176" w:lineRule="exact"/>
        <w:rPr>
          <w:rFonts w:ascii="Times New Roman" w:cs="Times New Roman" w:eastAsia="Times New Roman" w:hAnsi="Times New Roman"/>
          <w:sz w:val="20"/>
          <w:szCs w:val="20"/>
          <w:color w:val="auto"/>
        </w:rPr>
      </w:pPr>
    </w:p>
    <w:p>
      <w:pPr>
        <w:jc w:val="both"/>
        <w:ind w:left="1960" w:firstLine="1288"/>
        <w:spacing w:after="0" w:line="256" w:lineRule="auto"/>
        <w:tabs>
          <w:tab w:leader="none" w:pos="3730" w:val="left"/>
        </w:tabs>
        <w:numPr>
          <w:ilvl w:val="3"/>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duly completed copies of an applicable IRS Form W-8BEN or W-8BEN-E establishing an exemption from, or reduction of, U.S. federal withholding</w:t>
      </w:r>
    </w:p>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6" w:name="page127"/>
    <w:bookmarkEnd w:id="126"/>
    <w:p>
      <w:pPr>
        <w:jc w:val="both"/>
        <w:ind w:left="1960"/>
        <w:spacing w:after="0" w:line="256" w:lineRule="auto"/>
        <w:rPr>
          <w:sz w:val="20"/>
          <w:szCs w:val="20"/>
          <w:color w:val="auto"/>
        </w:rPr>
      </w:pPr>
      <w:r>
        <w:rPr>
          <w:rFonts w:ascii="Times New Roman" w:cs="Times New Roman" w:eastAsia="Times New Roman" w:hAnsi="Times New Roman"/>
          <w:sz w:val="22"/>
          <w:szCs w:val="22"/>
          <w:color w:val="auto"/>
        </w:rPr>
        <w:t>Tax pursuant to the “interest” article of such tax treaty and (y) with respect to any other applicable payments under any Loan Document, an applicable IRS Form W-8BEN or W-8BEN-E establishing an exemption from, or reduction of, U.S. federal withholding Tax pursuant to the “business profits” or “other income” article of such tax treaty,</w:t>
      </w:r>
    </w:p>
    <w:p>
      <w:pPr>
        <w:spacing w:after="0" w:line="176" w:lineRule="exact"/>
        <w:rPr>
          <w:sz w:val="20"/>
          <w:szCs w:val="20"/>
          <w:color w:val="auto"/>
        </w:rPr>
      </w:pPr>
    </w:p>
    <w:p>
      <w:pPr>
        <w:ind w:left="3700" w:hanging="452"/>
        <w:spacing w:after="0"/>
        <w:tabs>
          <w:tab w:leader="none" w:pos="3700"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duly completed copies of IRS Form W-8ECI,</w:t>
      </w:r>
    </w:p>
    <w:p>
      <w:pPr>
        <w:spacing w:after="0" w:line="219" w:lineRule="exact"/>
        <w:rPr>
          <w:rFonts w:ascii="Times New Roman" w:cs="Times New Roman" w:eastAsia="Times New Roman" w:hAnsi="Times New Roman"/>
          <w:sz w:val="20"/>
          <w:szCs w:val="20"/>
          <w:color w:val="auto"/>
        </w:rPr>
      </w:pPr>
    </w:p>
    <w:p>
      <w:pPr>
        <w:jc w:val="both"/>
        <w:ind w:left="1960" w:firstLine="1288"/>
        <w:spacing w:after="0" w:line="267" w:lineRule="auto"/>
        <w:tabs>
          <w:tab w:leader="none" w:pos="3781"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w:t>
      </w:r>
    </w:p>
    <w:p>
      <w:pPr>
        <w:spacing w:after="0" w:line="1" w:lineRule="exact"/>
        <w:rPr>
          <w:rFonts w:ascii="Times New Roman" w:cs="Times New Roman" w:eastAsia="Times New Roman" w:hAnsi="Times New Roman"/>
          <w:sz w:val="19"/>
          <w:szCs w:val="19"/>
          <w:color w:val="auto"/>
        </w:rPr>
      </w:pPr>
    </w:p>
    <w:p>
      <w:pPr>
        <w:jc w:val="both"/>
        <w:ind w:left="1960"/>
        <w:spacing w:after="0" w:line="26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(3)(A) of the Code, (B) a “10 percent shareholder” of the Applicable Borrower within the meaning of Section 881(c)(3)(B) of the Code, or (C) a “controlled foreign corporation” described in Section 881(c)(3)</w:t>
      </w:r>
    </w:p>
    <w:p>
      <w:pPr>
        <w:spacing w:after="0" w:line="1" w:lineRule="exact"/>
        <w:rPr>
          <w:rFonts w:ascii="Times New Roman" w:cs="Times New Roman" w:eastAsia="Times New Roman" w:hAnsi="Times New Roman"/>
          <w:sz w:val="19"/>
          <w:szCs w:val="19"/>
          <w:color w:val="auto"/>
        </w:rPr>
      </w:pPr>
    </w:p>
    <w:p>
      <w:pPr>
        <w:ind w:left="1960" w:hanging="8"/>
        <w:spacing w:after="0" w:line="248" w:lineRule="auto"/>
        <w:tabs>
          <w:tab w:leader="none" w:pos="230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 “U.S. Tax Compliance Certificate”) and (y) duly completed copies of an applicable IRS Form W-8BEN or W-8BEN-E, or</w:t>
      </w:r>
    </w:p>
    <w:p>
      <w:pPr>
        <w:spacing w:after="0" w:line="182" w:lineRule="exact"/>
        <w:rPr>
          <w:rFonts w:ascii="Times New Roman" w:cs="Times New Roman" w:eastAsia="Times New Roman" w:hAnsi="Times New Roman"/>
          <w:sz w:val="22"/>
          <w:szCs w:val="22"/>
          <w:color w:val="auto"/>
        </w:rPr>
      </w:pPr>
    </w:p>
    <w:p>
      <w:pPr>
        <w:jc w:val="both"/>
        <w:ind w:left="1960" w:firstLine="1288"/>
        <w:spacing w:after="0" w:line="266" w:lineRule="auto"/>
        <w:tabs>
          <w:tab w:leader="none" w:pos="3772" w:val="left"/>
        </w:tabs>
        <w:numPr>
          <w:ilvl w:val="2"/>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to the extent a Foreign Lender is not the beneficial owner, duly completed copies of IRS Form W-8IMY, accompanied by IRS Form W-8ECI, an applicable IRS Form W-8BEN or W-8BEN-E,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65" w:lineRule="exact"/>
        <w:rPr>
          <w:rFonts w:ascii="Times New Roman" w:cs="Times New Roman" w:eastAsia="Times New Roman" w:hAnsi="Times New Roman"/>
          <w:sz w:val="19"/>
          <w:szCs w:val="19"/>
          <w:color w:val="auto"/>
        </w:rPr>
      </w:pPr>
    </w:p>
    <w:p>
      <w:pPr>
        <w:jc w:val="both"/>
        <w:ind w:left="1300" w:firstLine="1300"/>
        <w:spacing w:after="0" w:line="250" w:lineRule="auto"/>
        <w:tabs>
          <w:tab w:leader="none" w:pos="31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Lender shall, to the extent it is legally entitled to do so, deliver to such Borrower and the Applicable Administrative Agent (in such copies as shall be requested by the recipient) on or prior to the date on which such Lender becomes a Lender under this Agreement (and from time to time thereafter upon the reasonable request of such Borrower or the Applicable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186" w:lineRule="exact"/>
        <w:rPr>
          <w:rFonts w:ascii="Times New Roman" w:cs="Times New Roman" w:eastAsia="Times New Roman" w:hAnsi="Times New Roman"/>
          <w:sz w:val="20"/>
          <w:szCs w:val="20"/>
          <w:color w:val="auto"/>
        </w:rPr>
      </w:pPr>
    </w:p>
    <w:p>
      <w:pPr>
        <w:jc w:val="both"/>
        <w:ind w:left="1300" w:firstLine="1300"/>
        <w:spacing w:after="0" w:line="257" w:lineRule="auto"/>
        <w:tabs>
          <w:tab w:leader="none" w:pos="310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a payment made to an Agent, Lender or Issuing Bank under any Loan Document would be subject to U.S. Federal withholding tax imposed by FATCA if such Agent, Lender or Issuing Bank fails to comply with the applicable reporting requirements of FATCA (including those contained in</w:t>
      </w:r>
    </w:p>
    <w:p>
      <w:pPr>
        <w:spacing w:after="0" w:line="3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7" w:name="page128"/>
    <w:bookmarkEnd w:id="127"/>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Section 1471(b) or 1472(b) of the Code, as applicable), such Agent, Lender or Issuing Bank shall deliver to the Applicable Borrower or the Applicable Administrative Agent, at the time or times prescribed by law and at such time or times reasonably requested by the Applicable Borrower or the Applicable Administrative Agent, such documentation prescribed by applicable law (including as prescribed by Section 1471(b)(3)(C)(i) of the Code) and such additional documentation reasonably requested by the Applicable Borrower or the Applicable Administrative Agent as may be necessary for the Applicable Borrower or the Applicable Administrative Agent to comply with its obligations under FATCA, to determine that such Agent, Lender or Issuing Bank has complied with its obligations under FATCA or to determine the amount to deduct and withhold from any such payments. Solely for purposes of this paragraph (i), “</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shall include any amendments made to FATCA after the date of this Agreement.</w:t>
      </w:r>
    </w:p>
    <w:p>
      <w:pPr>
        <w:spacing w:after="0" w:line="183" w:lineRule="exact"/>
        <w:rPr>
          <w:sz w:val="20"/>
          <w:szCs w:val="20"/>
          <w:color w:val="auto"/>
        </w:rPr>
      </w:pPr>
    </w:p>
    <w:p>
      <w:pPr>
        <w:jc w:val="both"/>
        <w:ind w:left="1300" w:firstLine="1300"/>
        <w:spacing w:after="0" w:line="256" w:lineRule="auto"/>
        <w:tabs>
          <w:tab w:leader="none" w:pos="30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Solely for purposes of determining withholding Taxes imposed under FATCA, the Borrowers and the Administrative Agents shall treat (and the Lenders hereby authorize the Administrative Agents to treat) the Loans as not qualifying as a “grandfathered obligation” within the meaning of Treasury Regulation Section 1.1471-2(b)(2)(i).</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Parent Borrower and the Applicable Administrative Agent in writing of its legal inability to do so.</w:t>
      </w:r>
    </w:p>
    <w:p>
      <w:pPr>
        <w:spacing w:after="0" w:line="186" w:lineRule="exact"/>
        <w:rPr>
          <w:sz w:val="20"/>
          <w:szCs w:val="20"/>
          <w:color w:val="auto"/>
        </w:rPr>
      </w:pPr>
    </w:p>
    <w:p>
      <w:pPr>
        <w:jc w:val="both"/>
        <w:ind w:firstLine="1304"/>
        <w:spacing w:after="0" w:line="260" w:lineRule="auto"/>
        <w:tabs>
          <w:tab w:leader="none" w:pos="1808"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RBC, as Administrative Agent, shall deliver, on or before the date it becomes a party to this Agreement, to the U.S. Borrower</w:t>
      </w:r>
      <w:r>
        <w:rPr>
          <w:rFonts w:ascii="Times New Roman" w:cs="Times New Roman" w:eastAsia="Times New Roman" w:hAnsi="Times New Roman"/>
          <w:sz w:val="21"/>
          <w:szCs w:val="21"/>
          <w:u w:val="single" w:color="auto"/>
          <w:color w:val="0000FF"/>
          <w:highlight w:val="lightGray"/>
        </w:rPr>
        <w:t>s</w:t>
      </w:r>
      <w:r>
        <w:rPr>
          <w:rFonts w:ascii="Times New Roman" w:cs="Times New Roman" w:eastAsia="Times New Roman" w:hAnsi="Times New Roman"/>
          <w:sz w:val="21"/>
          <w:szCs w:val="21"/>
          <w:color w:val="auto"/>
        </w:rPr>
        <w:t xml:space="preserve"> a duly completed copy of IRS Form W-8IMY certifying that it is a “U.S. branch” of a foreign bank and that it agrees to be treated as a U.S. Person with respect to any payments made to it by the U.S. Borrower</w:t>
      </w:r>
      <w:r>
        <w:rPr>
          <w:rFonts w:ascii="Times New Roman" w:cs="Times New Roman" w:eastAsia="Times New Roman" w:hAnsi="Times New Roman"/>
          <w:sz w:val="21"/>
          <w:szCs w:val="21"/>
          <w:u w:val="single" w:color="auto"/>
          <w:color w:val="0000FF"/>
          <w:highlight w:val="lightGray"/>
        </w:rPr>
        <w:t>s</w:t>
      </w:r>
      <w:r>
        <w:rPr>
          <w:rFonts w:ascii="Times New Roman" w:cs="Times New Roman" w:eastAsia="Times New Roman" w:hAnsi="Times New Roman"/>
          <w:sz w:val="21"/>
          <w:szCs w:val="21"/>
          <w:color w:val="auto"/>
        </w:rPr>
        <w:t xml:space="preserve"> under any Loan Document. RBC, as Administrative Agent agrees that if such IRS Form W-8IMY previously delivered expires or becomes obsolete or inaccurate in any respect, it shall update such form if it is legally able to do so or promptly notify the Parent Borrower in writing of its legal inability to do so (including as a result of a change in RBC’s operations). If the Administrative Agent (i) fails to deliver the form required by this Section 2.19(h) or is legally unable to update such form as required by this Section 2.19(h) and</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32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fails to appoint as a sub-agent pursuant to Section 8.05 any Affiliate of the Administrative Agent that is a U.S. Person or that can deliver the form required by this Section 2.19(h), then the Parent Borrower shall have the right to require the appointment of an agent that is a U.S. Person solely for the purposes of receiving U.S. tax forms and administering any required withholding for U.S. Taxes under this Section 2.19;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appointment shall not otherwise affect the rights and obligations of the Administrative Agent set forth in this Agreement.</w:t>
      </w:r>
    </w:p>
    <w:p>
      <w:pPr>
        <w:spacing w:after="0" w:line="186" w:lineRule="exact"/>
        <w:rPr>
          <w:rFonts w:ascii="Times New Roman" w:cs="Times New Roman" w:eastAsia="Times New Roman" w:hAnsi="Times New Roman"/>
          <w:sz w:val="22"/>
          <w:szCs w:val="22"/>
          <w:color w:val="auto"/>
        </w:rPr>
      </w:pPr>
    </w:p>
    <w:p>
      <w:pPr>
        <w:ind w:right="20" w:firstLine="1304"/>
        <w:spacing w:after="0" w:line="271" w:lineRule="auto"/>
        <w:tabs>
          <w:tab w:leader="none" w:pos="180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determines, in its sole discretion exercised in good faith, that it has received a refund of any Taxes as to which it has been indemnified pursuant to this Section</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47" w:lineRule="auto"/>
        <w:rPr>
          <w:sz w:val="20"/>
          <w:szCs w:val="20"/>
          <w:color w:val="auto"/>
        </w:rPr>
      </w:pPr>
      <w:r>
        <w:rPr>
          <w:rFonts w:ascii="Times New Roman" w:cs="Times New Roman" w:eastAsia="Times New Roman" w:hAnsi="Times New Roman"/>
          <w:sz w:val="22"/>
          <w:szCs w:val="22"/>
          <w:color w:val="auto"/>
        </w:rPr>
        <w:t>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93" w:lineRule="exact"/>
        <w:rPr>
          <w:sz w:val="20"/>
          <w:szCs w:val="20"/>
          <w:color w:val="auto"/>
        </w:rPr>
      </w:pPr>
    </w:p>
    <w:p>
      <w:pPr>
        <w:jc w:val="both"/>
        <w:ind w:firstLine="1304"/>
        <w:spacing w:after="0" w:line="263" w:lineRule="auto"/>
        <w:tabs>
          <w:tab w:leader="none" w:pos="180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Unless expressly stated otherwise in the relevant Loan Document, the consideration payable for any supply made by or through a Lender or Issuing Bank under or in connection with any Loan Document does not include Australian GST.</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47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Australian GST is payable in respect of any supply made by or through a Lender or Issuing Bank (a “</w:t>
      </w:r>
      <w:r>
        <w:rPr>
          <w:rFonts w:ascii="Times New Roman" w:cs="Times New Roman" w:eastAsia="Times New Roman" w:hAnsi="Times New Roman"/>
          <w:sz w:val="22"/>
          <w:szCs w:val="22"/>
          <w:i w:val="1"/>
          <w:iCs w:val="1"/>
          <w:color w:val="auto"/>
        </w:rPr>
        <w:t>Supplier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under or in connection with any Loan Document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GST Liability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then:</w:t>
      </w:r>
    </w:p>
    <w:p>
      <w:pPr>
        <w:spacing w:after="0" w:line="153" w:lineRule="exact"/>
        <w:rPr>
          <w:rFonts w:ascii="Times New Roman" w:cs="Times New Roman" w:eastAsia="Times New Roman" w:hAnsi="Times New Roman"/>
          <w:sz w:val="22"/>
          <w:szCs w:val="22"/>
          <w:color w:val="auto"/>
        </w:rPr>
      </w:pPr>
    </w:p>
    <w:p>
      <w:pPr>
        <w:jc w:val="both"/>
        <w:ind w:left="1300" w:firstLine="1300"/>
        <w:spacing w:after="0" w:line="265" w:lineRule="auto"/>
        <w:tabs>
          <w:tab w:leader="none" w:pos="3131"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where consideration is provided by a party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Recipient Party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relation to that supply, the Recipient Party will pay an additional amount to the Supplier equal to the full amount of the Australian GST Liability; and</w:t>
      </w:r>
    </w:p>
    <w:p>
      <w:pPr>
        <w:spacing w:after="0" w:line="165" w:lineRule="exact"/>
        <w:rPr>
          <w:rFonts w:ascii="Times New Roman" w:cs="Times New Roman" w:eastAsia="Times New Roman" w:hAnsi="Times New Roman"/>
          <w:sz w:val="20"/>
          <w:szCs w:val="20"/>
          <w:color w:val="auto"/>
        </w:rPr>
      </w:pPr>
    </w:p>
    <w:p>
      <w:pPr>
        <w:ind w:left="1300" w:firstLine="1300"/>
        <w:spacing w:after="0" w:line="284" w:lineRule="auto"/>
        <w:tabs>
          <w:tab w:leader="none" w:pos="3147"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where the foregoing clause (A) applies, the Australian Borrower will indemnify and keep the Supplier indemnified for the full amount of the Australian GST Liability.</w:t>
      </w:r>
    </w:p>
    <w:p>
      <w:pPr>
        <w:spacing w:after="0" w:line="144"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1"/>
          <w:szCs w:val="21"/>
          <w:color w:val="auto"/>
        </w:rPr>
        <w:t>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2.20(j)(ii)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29" w:name="page130"/>
    <w:bookmarkEnd w:id="129"/>
    <w:p>
      <w:pPr>
        <w:jc w:val="both"/>
        <w:ind w:left="1300"/>
        <w:spacing w:after="0" w:line="268" w:lineRule="auto"/>
        <w:rPr>
          <w:sz w:val="20"/>
          <w:szCs w:val="20"/>
          <w:color w:val="auto"/>
        </w:rPr>
      </w:pPr>
      <w:r>
        <w:rPr>
          <w:rFonts w:ascii="Times New Roman" w:cs="Times New Roman" w:eastAsia="Times New Roman" w:hAnsi="Times New Roman"/>
          <w:sz w:val="21"/>
          <w:szCs w:val="21"/>
          <w:color w:val="auto"/>
        </w:rPr>
        <w:t>Recipient Party or the Supplier (as the case may be) must make any payments necessary to reflect the adjustment; and (3) this Section 2.20(j)(ii) does not apply to the extent that the Australian GST Liability on a supply made by or through a Lender or Issuing Bank under or in connection with any Loan Document is payable by the Recipient Party or the Australian Borrower, as appropriate, under Division 83 or 84 of the A New Tax System (</w:t>
      </w:r>
      <w:r>
        <w:rPr>
          <w:rFonts w:ascii="Times New Roman" w:cs="Times New Roman" w:eastAsia="Times New Roman" w:hAnsi="Times New Roman"/>
          <w:sz w:val="21"/>
          <w:szCs w:val="21"/>
          <w:i w:val="1"/>
          <w:iCs w:val="1"/>
          <w:color w:val="auto"/>
        </w:rPr>
        <w:t>Goods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Services Tax</w:t>
      </w:r>
      <w:r>
        <w:rPr>
          <w:rFonts w:ascii="Times New Roman" w:cs="Times New Roman" w:eastAsia="Times New Roman" w:hAnsi="Times New Roman"/>
          <w:sz w:val="21"/>
          <w:szCs w:val="21"/>
          <w:color w:val="auto"/>
        </w:rPr>
        <w:t>) Act 1999 (</w:t>
      </w:r>
      <w:r>
        <w:rPr>
          <w:rFonts w:ascii="Times New Roman" w:cs="Times New Roman" w:eastAsia="Times New Roman" w:hAnsi="Times New Roman"/>
          <w:sz w:val="21"/>
          <w:szCs w:val="21"/>
          <w:i w:val="1"/>
          <w:iCs w:val="1"/>
          <w:color w:val="auto"/>
        </w:rPr>
        <w:t>Cth</w:t>
      </w:r>
      <w:r>
        <w:rPr>
          <w:rFonts w:ascii="Times New Roman" w:cs="Times New Roman" w:eastAsia="Times New Roman" w:hAnsi="Times New Roman"/>
          <w:sz w:val="21"/>
          <w:szCs w:val="21"/>
          <w:color w:val="auto"/>
        </w:rPr>
        <w:t>) and the Lender or Issuing Bank has no liability at all in relation to that payment.</w:t>
      </w:r>
    </w:p>
    <w:p>
      <w:pPr>
        <w:spacing w:after="0" w:line="164" w:lineRule="exact"/>
        <w:rPr>
          <w:sz w:val="20"/>
          <w:szCs w:val="20"/>
          <w:color w:val="auto"/>
        </w:rPr>
      </w:pPr>
    </w:p>
    <w:p>
      <w:pPr>
        <w:jc w:val="both"/>
        <w:ind w:left="660" w:firstLine="1292"/>
        <w:spacing w:after="0" w:line="253" w:lineRule="auto"/>
        <w:tabs>
          <w:tab w:leader="none" w:pos="255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or reimbursement required to be made to a Lender or Issuing Bank under any Loan Document that is calculated by reference to a cost or other amount paid or incurred will be limited to the total cost or other amount less the amount of any input tax credit or other credit to which the relevant Lender or Issuing Bank (or the representative member for a Australian GST group of which the relevant Lender or Issuing Bank is a member) is entitled for the acquisition to which the cost or other amount relates.</w:t>
      </w:r>
    </w:p>
    <w:p>
      <w:pPr>
        <w:spacing w:after="0" w:line="178"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0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used in this Section 2.19(j) which are not defined in this agreement but which have a defined meaning in the GST Law have the same meaning as in the GST Law unless the contrary intention appears.</w:t>
      </w:r>
    </w:p>
    <w:p>
      <w:pPr>
        <w:spacing w:after="0" w:line="152"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u w:val="single" w:color="auto"/>
          <w:color w:val="auto"/>
        </w:rPr>
        <w:t>SECTION 2.20</w:t>
      </w:r>
      <w:r>
        <w:rPr>
          <w:sz w:val="20"/>
          <w:szCs w:val="20"/>
          <w:color w:val="auto"/>
        </w:rPr>
        <w:tab/>
      </w:r>
      <w:r>
        <w:rPr>
          <w:rFonts w:ascii="Times New Roman" w:cs="Times New Roman" w:eastAsia="Times New Roman" w:hAnsi="Times New Roman"/>
          <w:sz w:val="21"/>
          <w:szCs w:val="21"/>
          <w:b w:val="1"/>
          <w:bCs w:val="1"/>
          <w:i w:val="1"/>
          <w:iCs w:val="1"/>
          <w:color w:val="auto"/>
        </w:rPr>
        <w:t>Assignment of Commitments Under Certain Circumstances; Duty to Mitigate</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33" w:lineRule="exact"/>
        <w:rPr>
          <w:sz w:val="20"/>
          <w:szCs w:val="20"/>
          <w:color w:val="auto"/>
        </w:rPr>
      </w:pPr>
    </w:p>
    <w:p>
      <w:pPr>
        <w:jc w:val="both"/>
        <w:ind w:firstLine="1304"/>
        <w:spacing w:after="0" w:line="259" w:lineRule="auto"/>
        <w:tabs>
          <w:tab w:leader="none" w:pos="1431" w:val="left"/>
        </w:tabs>
        <w:numPr>
          <w:ilvl w:val="0"/>
          <w:numId w:val="102"/>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In the event (i) any Lender or Issuing Bank delivers a certificate requesting 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49" w:lineRule="auto"/>
        <w:rPr>
          <w:sz w:val="20"/>
          <w:szCs w:val="20"/>
          <w:color w:val="auto"/>
        </w:rPr>
      </w:pPr>
      <w:r>
        <w:rPr>
          <w:rFonts w:ascii="Times New Roman" w:cs="Times New Roman" w:eastAsia="Times New Roman" w:hAnsi="Times New Roman"/>
          <w:sz w:val="22"/>
          <w:szCs w:val="22"/>
          <w:color w:val="auto"/>
        </w:rPr>
        <w:t>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195" w:lineRule="exact"/>
        <w:rPr>
          <w:sz w:val="20"/>
          <w:szCs w:val="20"/>
          <w:color w:val="auto"/>
        </w:rPr>
      </w:pPr>
    </w:p>
    <w:p>
      <w:pPr>
        <w:jc w:val="both"/>
        <w:ind w:firstLine="1304"/>
        <w:spacing w:after="0" w:line="247" w:lineRule="auto"/>
        <w:tabs>
          <w:tab w:leader="none" w:pos="180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9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2.21</w:t>
      </w:r>
      <w:r>
        <w:rPr>
          <w:sz w:val="20"/>
          <w:szCs w:val="20"/>
          <w:color w:val="auto"/>
        </w:rPr>
        <w:tab/>
      </w:r>
      <w:r>
        <w:rPr>
          <w:rFonts w:ascii="Times New Roman" w:cs="Times New Roman" w:eastAsia="Times New Roman" w:hAnsi="Times New Roman"/>
          <w:sz w:val="21"/>
          <w:szCs w:val="21"/>
          <w:b w:val="1"/>
          <w:bCs w:val="1"/>
          <w:i w:val="1"/>
          <w:iCs w:val="1"/>
          <w:color w:val="auto"/>
        </w:rPr>
        <w:t>Letters of Credit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1304"/>
        <w:spacing w:after="0" w:line="250" w:lineRule="auto"/>
        <w:tabs>
          <w:tab w:leader="none" w:pos="192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Each Borrower may request the issuance of a Letter of Credit denominated in U.S. dollars,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Canadian dollars, Australian dollars or in 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7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Issuance, Amendment, Renewal, Extension; Certain Conditions</w:t>
      </w:r>
      <w:r>
        <w:rPr>
          <w:rFonts w:ascii="Times New Roman" w:cs="Times New Roman" w:eastAsia="Times New Roman" w:hAnsi="Times New Roman"/>
          <w:sz w:val="22"/>
          <w:szCs w:val="22"/>
          <w:color w:val="auto"/>
        </w:rPr>
        <w:t>. In order to request the issuance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Letter of Credit denominated in U.S. dollars, Canadian dollars, Australian dollars or an Alternative Currency (or to amend, renew or extend an existing Letter of Credit issued in U.S. dollars, Australian dollars, Canadian dollars or an Alternative</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46" w:lineRule="auto"/>
        <w:rPr>
          <w:sz w:val="20"/>
          <w:szCs w:val="20"/>
          <w:color w:val="auto"/>
        </w:rPr>
      </w:pPr>
      <w:r>
        <w:rPr>
          <w:rFonts w:ascii="Times New Roman" w:cs="Times New Roman" w:eastAsia="Times New Roman" w:hAnsi="Times New Roman"/>
          <w:sz w:val="22"/>
          <w:szCs w:val="22"/>
          <w:color w:val="auto"/>
        </w:rPr>
        <w:t>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 extension (which date shall be (x) 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whether the Letter of Credit is to be a U.S. Letter of Credit, a Canadian Letter of Credit or an Australian Letter of Credit, the name and address of the beneficiary thereof and such other information as shall be necessary to 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denominated in U.S. dollars or an Alternative Currency and shall be issued, amended, renewed or extended only if, and upon issuance, amendment, renewal or extension of each Letter of Credit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shall be deemed to represent and warrant that, after giving effect to such issuance, amendment, renewal or extension (i) the U.S. L/C Exposure shall not exceed U.S.$10,000,000, (ii) the aggregate U.S. Revolving Credit Exposure shall not exceed the Total U.S. Revolving Commitment, and (iii) the U.S. L/C Exposure related to U.S. Letters of Credit issued by an Issuing Bank shall not exceed an amount agreed to in writing between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and such Issuing Bank and notified to the Administrative Agent. A Canadian Letter of Credit shall be denominated in Canadian dollars and shall be issued, amended, renewed or extended only if, and upon issuance, amendment, renewal or extension of each Canadian Letter of Credit, such Parent Borrower shall be deemed to represent and warrant that after giving effect to such issuance, amendment, renewal or extension (i) the Canadian L/C Exposure shall not exceed the Canadian Dollar Equivalent of U.S.$</w:t>
      </w:r>
      <w:r>
        <w:rPr>
          <w:rFonts w:ascii="Times New Roman" w:cs="Times New Roman" w:eastAsia="Times New Roman" w:hAnsi="Times New Roman"/>
          <w:sz w:val="22"/>
          <w:szCs w:val="22"/>
          <w:color w:val="FF0000"/>
          <w:strike w:val="1"/>
        </w:rPr>
        <w:t>20,000,000</w:t>
      </w:r>
      <w:r>
        <w:rPr>
          <w:rFonts w:ascii="Times New Roman" w:cs="Times New Roman" w:eastAsia="Times New Roman" w:hAnsi="Times New Roman"/>
          <w:sz w:val="22"/>
          <w:szCs w:val="22"/>
          <w:u w:val="single" w:color="auto"/>
          <w:color w:val="0000FF"/>
          <w:highlight w:val="lightGray"/>
        </w:rPr>
        <w:t>25,000,000</w:t>
      </w:r>
      <w:r>
        <w:rPr>
          <w:rFonts w:ascii="Times New Roman" w:cs="Times New Roman" w:eastAsia="Times New Roman" w:hAnsi="Times New Roman"/>
          <w:sz w:val="22"/>
          <w:szCs w:val="22"/>
          <w:color w:val="auto"/>
        </w:rPr>
        <w:t>, (ii) the aggregate Canadian Revolving Credit Exposure shall not exceed the Total Canadian Revolving Commitment and (iii) the portion of the Canadian L/C Exposure attributable to Letters of Credit issued by such Applicable Issuing Bank will not, unless such Applicable Issuing Bank shall so agree in its sole discretion, exceed the L/C Issuance Limit of such Applicable Issuing Bank. An Australian Letter of Credit shall be denominated in Australian dollars and shall be issued, amended, renewed or extended only if, and upon issuance, amendment, renewal or extension of each Australian Letter of Credit, 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w:t>
      </w:r>
    </w:p>
    <w:p>
      <w:pPr>
        <w:spacing w:after="0" w:line="206" w:lineRule="exact"/>
        <w:rPr>
          <w:sz w:val="20"/>
          <w:szCs w:val="20"/>
          <w:color w:val="auto"/>
        </w:rPr>
      </w:pPr>
    </w:p>
    <w:p>
      <w:pPr>
        <w:jc w:val="both"/>
        <w:ind w:firstLine="1304"/>
        <w:spacing w:after="0" w:line="259" w:lineRule="auto"/>
        <w:tabs>
          <w:tab w:leader="none" w:pos="179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 Each U.S. Letter of Credit and Canadian Letter of Credit shall have an expiration date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later than the earlier of (y) three years after the date of the issuance of such Letter of Credit and (z) the date that is 24 months after the Maturity Date;</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60 days prior to the Maturity Date the Borrowers shall deposit in an account with the U.S. Collateral Agent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Canadian Collateral Agent, as the case may be, for the benefit of the U.S. Revolving Lenders or Canadian Revolving Lenders, as the case may be, an amount in cash equal to 105% of the U.S. L/C Exposure or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Event of Default has occurred and is continuing, be released to the Borrowers to the extent that the funds on deposit exceed 105% of the U.S. L/C Exposure or the Canadian L/C Exposure, respectively. Each Australian Letter of Credit shall have an expiration date not later than the Maturity Date.</w:t>
      </w:r>
    </w:p>
    <w:p>
      <w:pPr>
        <w:spacing w:after="0" w:line="191" w:lineRule="exact"/>
        <w:rPr>
          <w:sz w:val="20"/>
          <w:szCs w:val="20"/>
          <w:color w:val="auto"/>
        </w:rPr>
      </w:pPr>
    </w:p>
    <w:p>
      <w:pPr>
        <w:jc w:val="both"/>
        <w:ind w:firstLine="1304"/>
        <w:spacing w:after="0" w:line="248" w:lineRule="auto"/>
        <w:tabs>
          <w:tab w:leader="none" w:pos="17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By the issuance of a Letter of Credit and without any further action on the part of an Issuing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or the Lenders, the Applicable Issuing Bank hereby grants to each U.S. Revolving Lender, Canadian Revolving Lender or Australian Lender, as the case may be, and each such Revolving Lender hereby acquires from the Applicable Issuing Bank, a participation in such Letter of Credit equal to such Lender’s U.S. Revolving Pro Rata Percentage, Canadian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Revolving Pro Rata Percentage or Australian Revolving Pro Rata Percentage, as applicable, of the U.S. Dollar Equivalent of each L/C Disbursement (except (i) in the case of Canadian Letter of Credit, in which case such payment shall be made in Canadian dollars or (ii) in the case of an Australian Letter of Credit,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7" w:right="339" w:bottom="1440" w:gutter="0" w:footer="0" w:header="0"/>
        </w:sectPr>
      </w:pPr>
    </w:p>
    <w:bookmarkStart w:id="133" w:name="page134"/>
    <w:bookmarkEnd w:id="133"/>
    <w:p>
      <w:pPr>
        <w:spacing w:after="0" w:line="271" w:lineRule="auto"/>
        <w:rPr>
          <w:sz w:val="20"/>
          <w:szCs w:val="20"/>
          <w:color w:val="auto"/>
        </w:rPr>
      </w:pPr>
      <w:r>
        <w:rPr>
          <w:rFonts w:ascii="Times New Roman" w:cs="Times New Roman" w:eastAsia="Times New Roman" w:hAnsi="Times New Roman"/>
          <w:sz w:val="22"/>
          <w:szCs w:val="22"/>
          <w:color w:val="auto"/>
        </w:rPr>
        <w:t>occurrence and continuance of a Default or an Event of Default, and that each such payment shall be made without any offset, abatement, withholding or reduction whatsoever.</w:t>
      </w:r>
    </w:p>
    <w:p>
      <w:pPr>
        <w:spacing w:after="0" w:line="154" w:lineRule="exact"/>
        <w:rPr>
          <w:sz w:val="20"/>
          <w:szCs w:val="20"/>
          <w:color w:val="auto"/>
        </w:rPr>
      </w:pPr>
    </w:p>
    <w:p>
      <w:pPr>
        <w:jc w:val="both"/>
        <w:ind w:firstLine="1304"/>
        <w:spacing w:after="0" w:line="252" w:lineRule="auto"/>
        <w:tabs>
          <w:tab w:leader="none" w:pos="181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w:t>
      </w:r>
      <w:r>
        <w:rPr>
          <w:rFonts w:ascii="Times New Roman" w:cs="Times New Roman" w:eastAsia="Times New Roman" w:hAnsi="Times New Roman"/>
          <w:sz w:val="22"/>
          <w:szCs w:val="22"/>
          <w:color w:val="auto"/>
        </w:rPr>
        <w:t>. If an Issuing Bank shall make any L/C Disbursement in respect of a Letter of Credit,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Borrower shall pay to the Applicable Administrative Agent, for the account of the Applicable Issuing Bank, an 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7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Absolute</w:t>
      </w:r>
      <w:r>
        <w:rPr>
          <w:rFonts w:ascii="Times New Roman" w:cs="Times New Roman" w:eastAsia="Times New Roman" w:hAnsi="Times New Roman"/>
          <w:sz w:val="22"/>
          <w:szCs w:val="22"/>
          <w:color w:val="auto"/>
        </w:rPr>
        <w:t>. Each Borrower’s obligations to reimburse L/C Disbursements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(e) above shall be absolute, unconditional and irrevocable, and shall be performed strictly in accordance with the terms of this Agreement, under any and all circumstances whatsoever, and irrespective of:</w:t>
      </w:r>
    </w:p>
    <w:p>
      <w:pPr>
        <w:spacing w:after="0" w:line="17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 or any Loan Document, or any term or</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therein;</w:t>
      </w:r>
    </w:p>
    <w:p>
      <w:pPr>
        <w:spacing w:after="0" w:line="209"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1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or waiver of or any consent to departure from all or any of the provisions of any Letter of Credit or any Loan Document;</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13"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such Borrower, any other party guaranteeing, or otherwise obligated with, such Borrower, any subsidiary or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75" w:lineRule="auto"/>
        <w:tabs>
          <w:tab w:leader="none" w:pos="2589"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8" w:lineRule="exact"/>
        <w:rPr>
          <w:rFonts w:ascii="Times New Roman" w:cs="Times New Roman" w:eastAsia="Times New Roman" w:hAnsi="Times New Roman"/>
          <w:sz w:val="21"/>
          <w:szCs w:val="21"/>
          <w:color w:val="auto"/>
        </w:rPr>
      </w:pPr>
    </w:p>
    <w:p>
      <w:pPr>
        <w:jc w:val="both"/>
        <w:ind w:left="660" w:firstLine="1292"/>
        <w:spacing w:after="0" w:line="248" w:lineRule="auto"/>
        <w:tabs>
          <w:tab w:leader="none" w:pos="246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34" w:name="page135"/>
    <w:bookmarkEnd w:id="134"/>
    <w:p>
      <w:pPr>
        <w:ind w:left="660" w:right="20" w:firstLine="1292"/>
        <w:spacing w:after="0" w:line="271" w:lineRule="auto"/>
        <w:tabs>
          <w:tab w:leader="none" w:pos="254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adverse change in the relevant exchange rates or in the availability of the relevant Alternative Currency to any Borrower, any Subsidiary or any other person, or in the relevant currency markets generally; or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63" w:lineRule="exact"/>
        <w:rPr>
          <w:sz w:val="20"/>
          <w:szCs w:val="20"/>
          <w:color w:val="auto"/>
        </w:rPr>
      </w:pPr>
    </w:p>
    <w:p>
      <w:pPr>
        <w:jc w:val="both"/>
        <w:ind w:firstLine="1304"/>
        <w:spacing w:after="0" w:line="253" w:lineRule="auto"/>
        <w:tabs>
          <w:tab w:leader="none" w:pos="191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Role of Issuing Bank</w:t>
      </w:r>
      <w:r>
        <w:rPr>
          <w:rFonts w:ascii="Times New Roman" w:cs="Times New Roman" w:eastAsia="Times New Roman" w:hAnsi="Times New Roman"/>
          <w:sz w:val="22"/>
          <w:szCs w:val="22"/>
          <w:color w:val="auto"/>
        </w:rPr>
        <w:t>. Each Borrower assumes all risks of the acts or omissions of any beneficiary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transferee of any Letter of Credit with respect to its use of such Letter of Credit. None of the Issuing Banks, the Agents, any of their respective Related Parties or any correspondent, participant or assignee of any Issuing Bank shall be liable or responsible for:</w:t>
      </w:r>
    </w:p>
    <w:p>
      <w:pPr>
        <w:spacing w:after="0" w:line="179" w:lineRule="exact"/>
        <w:rPr>
          <w:rFonts w:ascii="Times New Roman" w:cs="Times New Roman" w:eastAsia="Times New Roman" w:hAnsi="Times New Roman"/>
          <w:sz w:val="22"/>
          <w:szCs w:val="22"/>
          <w:color w:val="auto"/>
        </w:rPr>
      </w:pPr>
    </w:p>
    <w:p>
      <w:pPr>
        <w:ind w:left="660" w:firstLine="1292"/>
        <w:spacing w:after="0" w:line="284" w:lineRule="auto"/>
        <w:tabs>
          <w:tab w:leader="none" w:pos="245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which may be made of any Letter of Credit or any acts or omissions of any beneficiary or transferee in connection therewith;</w:t>
      </w:r>
    </w:p>
    <w:p>
      <w:pPr>
        <w:spacing w:after="0" w:line="143" w:lineRule="exact"/>
        <w:rPr>
          <w:rFonts w:ascii="Times New Roman" w:cs="Times New Roman" w:eastAsia="Times New Roman" w:hAnsi="Times New Roman"/>
          <w:sz w:val="22"/>
          <w:szCs w:val="22"/>
          <w:color w:val="auto"/>
        </w:rPr>
      </w:pPr>
    </w:p>
    <w:p>
      <w:pPr>
        <w:ind w:left="660" w:firstLine="1292"/>
        <w:spacing w:after="0" w:line="271" w:lineRule="auto"/>
        <w:tabs>
          <w:tab w:leader="none" w:pos="250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sufficiency or genuineness of documents, or of any endorsement thereon, even if such documents should prove to be in any or all respects invalid, insufficient, fraudulent or forged; or</w:t>
      </w:r>
    </w:p>
    <w:p>
      <w:pPr>
        <w:spacing w:after="0" w:line="157"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62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whatsoever in making or failing to make payment under any Letter of Credit (including the Issuing Bank’s own negligence),</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 Borrower shall have a claim against the Applicable Issuing Bank, and such Issuing Bank shall be liable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and shall promptly pay to, such 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w:t>
      </w: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49" w:lineRule="auto"/>
        <w:rPr>
          <w:sz w:val="20"/>
          <w:szCs w:val="20"/>
          <w:color w:val="auto"/>
        </w:rPr>
      </w:pPr>
      <w:r>
        <w:rPr>
          <w:rFonts w:ascii="Times New Roman" w:cs="Times New Roman" w:eastAsia="Times New Roman" w:hAnsi="Times New Roman"/>
          <w:sz w:val="22"/>
          <w:szCs w:val="22"/>
          <w:color w:val="auto"/>
        </w:rPr>
        <w:t>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191" w:lineRule="exact"/>
        <w:rPr>
          <w:sz w:val="20"/>
          <w:szCs w:val="20"/>
          <w:color w:val="auto"/>
        </w:rPr>
      </w:pPr>
    </w:p>
    <w:p>
      <w:pPr>
        <w:jc w:val="both"/>
        <w:ind w:firstLine="1304"/>
        <w:spacing w:after="0" w:line="249" w:lineRule="auto"/>
        <w:tabs>
          <w:tab w:leader="none" w:pos="195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Procedures</w:t>
      </w:r>
      <w:r>
        <w:rPr>
          <w:rFonts w:ascii="Times New Roman" w:cs="Times New Roman" w:eastAsia="Times New Roman" w:hAnsi="Times New Roman"/>
          <w:sz w:val="22"/>
          <w:szCs w:val="22"/>
          <w:color w:val="auto"/>
        </w:rPr>
        <w:t>. The Applicable Issuing Bank shall, promptly following its receipt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examine all documents purporting to 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Interest</w:t>
      </w:r>
      <w:r>
        <w:rPr>
          <w:rFonts w:ascii="Times New Roman" w:cs="Times New Roman" w:eastAsia="Times New Roman" w:hAnsi="Times New Roman"/>
          <w:sz w:val="22"/>
          <w:szCs w:val="22"/>
          <w:color w:val="auto"/>
        </w:rPr>
        <w:t>. If an Issuing Bank shall make any L/C Disbursement in respect of a Letter of Credit, then,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unless the Applicable Borrower 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or, in the case of any L/C Disbursement with respect to an Australian Letter of Credit, a BBSY Rate Loan, as the case may be.</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1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Resignation or Removal of an Issuing Bank</w:t>
      </w:r>
      <w:r>
        <w:rPr>
          <w:rFonts w:ascii="Times New Roman" w:cs="Times New Roman" w:eastAsia="Times New Roman" w:hAnsi="Times New Roman"/>
          <w:sz w:val="22"/>
          <w:szCs w:val="22"/>
          <w:color w:val="auto"/>
        </w:rPr>
        <w:t>. An Issuing Bank may resign at any time by giving 30 days’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written notice to the Applicable Administrative Agent, the Applicable Lenders and the Parent Borrower, and may be removed at any time by the Parent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each Applicable Borrower and the Applicable Administrative</w:t>
      </w: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0" w:lineRule="auto"/>
        <w:rPr>
          <w:sz w:val="20"/>
          <w:szCs w:val="20"/>
          <w:color w:val="auto"/>
        </w:rPr>
      </w:pPr>
      <w:r>
        <w:rPr>
          <w:rFonts w:ascii="Times New Roman" w:cs="Times New Roman" w:eastAsia="Times New Roman" w:hAnsi="Times New Roman"/>
          <w:sz w:val="22"/>
          <w:szCs w:val="22"/>
          <w:color w:val="auto"/>
        </w:rPr>
        <w:t>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spacing w:after="0" w:line="176" w:lineRule="exact"/>
        <w:rPr>
          <w:sz w:val="20"/>
          <w:szCs w:val="20"/>
          <w:color w:val="auto"/>
        </w:rPr>
      </w:pPr>
    </w:p>
    <w:p>
      <w:pPr>
        <w:jc w:val="both"/>
        <w:ind w:firstLine="1304"/>
        <w:spacing w:after="0" w:line="247" w:lineRule="auto"/>
        <w:tabs>
          <w:tab w:leader="none" w:pos="181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If (i) any Event of Default shall occur and be continuing, other than an event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 Borrower described in Section 7.01(g) or (h) and a Borrower shall receive notice from Applicable Administrative Agent or the Required U.S. Lenders, the Required Canadian Revolving Lenders or the Required Australian Lenders, as applicable, requesting that it deposit Cash Collateral and specifying the amount to be deposited, or (ii) 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Revolving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a condition to the issuance amendment, renewal or extension of a Letter of Credit), the Applicable Borrower shall deliver to the U.S. Collateral Agent, the Canadian Collateral Agent or the Australian Collateral Agent, as the case may be, for the benefit of the U.S. Revolving Lenders, Canadian Revolving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or Australian L/C Exposure, then such Borrower and the Applicable Collateral Agent shall establish a cash collateral account (an “</w:t>
      </w:r>
      <w:r>
        <w:rPr>
          <w:rFonts w:ascii="Times New Roman" w:cs="Times New Roman" w:eastAsia="Times New Roman" w:hAnsi="Times New Roman"/>
          <w:sz w:val="22"/>
          <w:szCs w:val="22"/>
          <w:i w:val="1"/>
          <w:iCs w:val="1"/>
          <w:color w:val="auto"/>
        </w:rPr>
        <w:t>L/C Cash Collateral Account</w:t>
      </w:r>
      <w:r>
        <w:rPr>
          <w:rFonts w:ascii="Times New Roman" w:cs="Times New Roman" w:eastAsia="Times New Roman" w:hAnsi="Times New Roman"/>
          <w:sz w:val="22"/>
          <w:szCs w:val="22"/>
          <w:color w:val="auto"/>
        </w:rPr>
        <w:t>”)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-99-</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Cash Collateral furnished by or on behalf of a Loan Party shall not be released during the continuance of an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Default and may be otherwise applied in accordance with Section 7.06.</w:t>
      </w:r>
    </w:p>
    <w:p>
      <w:pPr>
        <w:spacing w:after="0" w:line="179" w:lineRule="exact"/>
        <w:rPr>
          <w:sz w:val="20"/>
          <w:szCs w:val="20"/>
          <w:color w:val="auto"/>
        </w:rPr>
      </w:pPr>
    </w:p>
    <w:p>
      <w:pPr>
        <w:jc w:val="both"/>
        <w:ind w:firstLine="1304"/>
        <w:spacing w:after="0" w:line="248" w:lineRule="auto"/>
        <w:tabs>
          <w:tab w:leader="none" w:pos="185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Issuing Banks</w:t>
      </w:r>
      <w:r>
        <w:rPr>
          <w:rFonts w:ascii="Times New Roman" w:cs="Times New Roman" w:eastAsia="Times New Roman" w:hAnsi="Times New Roman"/>
          <w:sz w:val="22"/>
          <w:szCs w:val="22"/>
          <w:color w:val="auto"/>
        </w:rPr>
        <w:t>. A Borrower may, at any time and from time to time with the consent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Administrative Agent (which consent shall not be unreasonably withheld or delayed) and such Revolving Lender, designate one or more additional Revolving Lenders to act as an issuing bank under the terms of this Agreement. The acceptance of any appointment as an Issuing Bank hereunder by a Revolving Lender shall be evidenced by an agreement entered into by such Revolving Lender, in a form satisfactory to each Applicable Borrower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202" w:lineRule="exact"/>
        <w:rPr>
          <w:rFonts w:ascii="Times New Roman" w:cs="Times New Roman" w:eastAsia="Times New Roman" w:hAnsi="Times New Roman"/>
          <w:sz w:val="22"/>
          <w:szCs w:val="22"/>
          <w:color w:val="auto"/>
        </w:rPr>
      </w:pPr>
    </w:p>
    <w:p>
      <w:pPr>
        <w:ind w:firstLine="1304"/>
        <w:spacing w:after="0" w:line="271" w:lineRule="auto"/>
        <w:tabs>
          <w:tab w:leader="none" w:pos="187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terms hereof and the terms of any Letter of Credit Document, the terms hereof shall control.</w:t>
      </w:r>
    </w:p>
    <w:p>
      <w:pPr>
        <w:spacing w:after="0" w:line="157"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6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w:t>
      </w:r>
      <w:r>
        <w:rPr>
          <w:rFonts w:ascii="Times New Roman" w:cs="Times New Roman" w:eastAsia="Times New Roman" w:hAnsi="Times New Roman"/>
          <w:sz w:val="21"/>
          <w:szCs w:val="21"/>
          <w:u w:val="single" w:color="auto"/>
          <w:color w:val="0000FF"/>
          <w:highlight w:val="lightGray"/>
        </w:rPr>
        <w:t>s</w:t>
      </w:r>
      <w:r>
        <w:rPr>
          <w:rFonts w:ascii="Times New Roman" w:cs="Times New Roman" w:eastAsia="Times New Roman" w:hAnsi="Times New Roman"/>
          <w:sz w:val="21"/>
          <w:szCs w:val="21"/>
          <w:color w:val="auto"/>
        </w:rPr>
        <w:t>, the Parent Borrower or any Subsidiary thereof or the Australian Borrower or any Subsidiary thereof) inures to the benefit of such Borrower, and that such</w:t>
      </w:r>
    </w:p>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Borrower’s business derives substantial benefits from the businesses of such Borrower’s Subsidiaries.</w:t>
      </w:r>
    </w:p>
    <w:p>
      <w:pPr>
        <w:spacing w:after="0" w:line="220" w:lineRule="exact"/>
        <w:rPr>
          <w:sz w:val="20"/>
          <w:szCs w:val="20"/>
          <w:color w:val="auto"/>
        </w:rPr>
      </w:pPr>
    </w:p>
    <w:p>
      <w:pPr>
        <w:jc w:val="both"/>
        <w:ind w:firstLine="1304"/>
        <w:spacing w:after="0" w:line="263" w:lineRule="auto"/>
        <w:tabs>
          <w:tab w:leader="none" w:pos="177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pacing w:after="0" w:line="16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2.22</w:t>
      </w:r>
      <w:r>
        <w:rPr>
          <w:sz w:val="20"/>
          <w:szCs w:val="20"/>
          <w:color w:val="auto"/>
        </w:rPr>
        <w:tab/>
      </w:r>
      <w:r>
        <w:rPr>
          <w:rFonts w:ascii="Times New Roman" w:cs="Times New Roman" w:eastAsia="Times New Roman" w:hAnsi="Times New Roman"/>
          <w:sz w:val="21"/>
          <w:szCs w:val="21"/>
          <w:b w:val="1"/>
          <w:bCs w:val="1"/>
          <w:i w:val="1"/>
          <w:iCs w:val="1"/>
          <w:color w:val="auto"/>
        </w:rPr>
        <w:t>[Reserved]</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2.23</w:t>
      </w:r>
      <w:r>
        <w:rPr>
          <w:sz w:val="20"/>
          <w:szCs w:val="20"/>
          <w:color w:val="auto"/>
        </w:rPr>
        <w:tab/>
      </w:r>
      <w:r>
        <w:rPr>
          <w:rFonts w:ascii="Times New Roman" w:cs="Times New Roman" w:eastAsia="Times New Roman" w:hAnsi="Times New Roman"/>
          <w:sz w:val="21"/>
          <w:szCs w:val="21"/>
          <w:b w:val="1"/>
          <w:bCs w:val="1"/>
          <w:i w:val="1"/>
          <w:iCs w:val="1"/>
          <w:color w:val="auto"/>
        </w:rPr>
        <w:t>Swing Line Loans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1760" w:hanging="456"/>
        <w:spacing w:after="0"/>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47" w:lineRule="auto"/>
        <w:tabs>
          <w:tab w:leader="none" w:pos="248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U.S. Swing Line</w:t>
      </w:r>
      <w:r>
        <w:rPr>
          <w:rFonts w:ascii="Times New Roman" w:cs="Times New Roman" w:eastAsia="Times New Roman" w:hAnsi="Times New Roman"/>
          <w:sz w:val="22"/>
          <w:szCs w:val="22"/>
          <w:color w:val="auto"/>
        </w:rPr>
        <w:t>. Subject to the terms and conditions set forth herein, and if an AutoBorrow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is in effect, subject to the terms and conditions of such AutoBorrow Agreement, the U.S. Swing Line Lender may in its sole and absolute discretion, in reliance upon the agreements of the other U.S. Revolving Lenders set forth in this Section 2.23, make loans in U.S. dollars (each such loan, a “</w:t>
      </w:r>
      <w:r>
        <w:rPr>
          <w:rFonts w:ascii="Times New Roman" w:cs="Times New Roman" w:eastAsia="Times New Roman" w:hAnsi="Times New Roman"/>
          <w:sz w:val="22"/>
          <w:szCs w:val="22"/>
          <w:i w:val="1"/>
          <w:iCs w:val="1"/>
          <w:color w:val="auto"/>
        </w:rPr>
        <w:t>U.S. Swing Line Loan</w:t>
      </w:r>
      <w:r>
        <w:rPr>
          <w:rFonts w:ascii="Times New Roman" w:cs="Times New Roman" w:eastAsia="Times New Roman" w:hAnsi="Times New Roman"/>
          <w:sz w:val="22"/>
          <w:szCs w:val="22"/>
          <w:color w:val="auto"/>
        </w:rPr>
        <w:t>”) to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from time to time on or after the Closing Date until the earlier of the Maturity Date and the termination of the Total 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after giving effect to any U.S. Swing Line Loan, (i) the aggregate U.S. Revolving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Exposure of all U.S. Revolving Lenders shall not exceed the Total U.S. Revolving Commitments at such time, and (ii) the U.S. Revolving Credit Exposure of each U.S. Revolving Lender at such time shall not exceed such Lender’s U.S. Revolving Commitment,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shall not use the proceeds of any U.S. Swing Line Loan to refinance any outstanding U.S. Swing Line Loan. Within the foregoing limits,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(expressed as a decimal) times the amount of such U.S. Swing Line Loan. Each U.S. Revolving Lender shall have the obligation to purchase and fund risk participations in the U.S. Swing Line Loans and to refinance U.S. Swing Line Loans as provided in this Agreement.</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39" w:name="page140"/>
    <w:bookmarkEnd w:id="139"/>
    <w:p>
      <w:pPr>
        <w:jc w:val="both"/>
        <w:ind w:left="660" w:firstLine="1292"/>
        <w:spacing w:after="0" w:line="259" w:lineRule="auto"/>
        <w:tabs>
          <w:tab w:leader="none" w:pos="2436"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Canadian Swing Line</w:t>
      </w:r>
      <w:r>
        <w:rPr>
          <w:rFonts w:ascii="Times New Roman" w:cs="Times New Roman" w:eastAsia="Times New Roman" w:hAnsi="Times New Roman"/>
          <w:sz w:val="21"/>
          <w:szCs w:val="21"/>
          <w:color w:val="auto"/>
        </w:rPr>
        <w:t>. Subject to the terms and conditions set forth herein, and if an AutoBorrow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is in effect, subject to the terms and conditions of such AutoBorrow Agreement, the Canadian Swing Line Lender may in its sole and absolute discretion, in reliance upon the agreements of the other Canadian Revolving Lenders set forth in this Section 2.23, make loans in Canadian dollars or U.S. dollars (each such loan, a “</w:t>
      </w:r>
      <w:r>
        <w:rPr>
          <w:rFonts w:ascii="Times New Roman" w:cs="Times New Roman" w:eastAsia="Times New Roman" w:hAnsi="Times New Roman"/>
          <w:sz w:val="21"/>
          <w:szCs w:val="21"/>
          <w:i w:val="1"/>
          <w:iCs w:val="1"/>
          <w:color w:val="auto"/>
        </w:rPr>
        <w:t>Canadian Swing Line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Loan</w:t>
      </w:r>
      <w:r>
        <w:rPr>
          <w:rFonts w:ascii="Times New Roman" w:cs="Times New Roman" w:eastAsia="Times New Roman" w:hAnsi="Times New Roman"/>
          <w:sz w:val="21"/>
          <w:szCs w:val="21"/>
          <w:color w:val="auto"/>
        </w:rPr>
        <w:t>”) to the Parent Borrower from time to time on or after the Closing Date until the earlier of the Maturity Date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termination of the Total Canadian Revolving Commitments in an aggregate amount not to exceed at any time outstanding the amount of the Canadian Swing Line Sublimit, notwithstanding the fact that such Canadian Swing Line Loans, when aggregated with the Canadian Revolving Credit Exposure of the Lender acting as Canadian Swing Line Lender, may exceed the amount of such Lender’s Canadian Revolving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after giving effect to any Canadian Swing Line Loan, (i) the aggregate Canadian Revolving Credit Exposure of all Canadian Revolving Lenders shall not exceed the Total Canadian Revolving Commitments at such time, and (ii) the Canadian Revolving Credit Exposure of each Canadian Revolving Lender at such time shall not exceed such Lender’s Canadian Revolving Commitment,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Parent Borrower shall not use the proceeds of any Canadian Swing Line Loan to refinance any outstanding Canadian Swing Line Loan. Within the foregoing limits, the Parent Borrower may borrow under this Section 2.23(a)(ii), prepay under Section 2.11, and reborrow under this Section 2.23(a)(ii). Immediately upon the making of a Canadian Swing Line Loan, each Canadian Revolving Lender shall be deemed to, and hereby irrevocably and unconditionally agrees to, purchase from the Canadian Swing Line Lender a risk participation in such Canadian Swing Line Loan in an amount equal to the product of such Canadian Revolving Lender’s Canadian Revolving Pro Rata Percentage (expressed as a decimal) times the amount of such Canadian Swing Line Loan. Each Canadian Revolving Lender shall have the obligation to purchase and fund risk participations in the Canadian Swing Line Loans and to refinance Canadian Swing Line Loans as provided in this Agreement.</w:t>
      </w:r>
    </w:p>
    <w:p>
      <w:pPr>
        <w:spacing w:after="0" w:line="183" w:lineRule="exact"/>
        <w:rPr>
          <w:rFonts w:ascii="Times New Roman" w:cs="Times New Roman" w:eastAsia="Times New Roman" w:hAnsi="Times New Roman"/>
          <w:sz w:val="21"/>
          <w:szCs w:val="21"/>
          <w:color w:val="auto"/>
        </w:rPr>
      </w:pPr>
    </w:p>
    <w:p>
      <w:pPr>
        <w:jc w:val="both"/>
        <w:ind w:firstLine="1304"/>
        <w:spacing w:after="0" w:line="248" w:lineRule="auto"/>
        <w:tabs>
          <w:tab w:leader="none" w:pos="177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Borrowing Procedures</w:t>
      </w:r>
      <w:r>
        <w:rPr>
          <w:rFonts w:ascii="Times New Roman" w:cs="Times New Roman" w:eastAsia="Times New Roman" w:hAnsi="Times New Roman"/>
          <w:sz w:val="22"/>
          <w:szCs w:val="22"/>
          <w:color w:val="auto"/>
        </w:rPr>
        <w:t>. If an AutoBorrow Agreement is in effect, each Swing Line Borrowing shall be made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provided in such AutoBorrow 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(ii) in the case of a Canadian Swing Line Borrowing, whether such Canadian Swing Line Borrowing is to be denominated in Canadian dollars or U.S. dollars; and (iii) the amount of such Swing Line 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w:t>
      </w: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7" w:right="339" w:bottom="1440" w:gutter="0" w:footer="0" w:header="0"/>
        </w:sectPr>
      </w:pPr>
    </w:p>
    <w:bookmarkStart w:id="140" w:name="page141"/>
    <w:bookmarkEnd w:id="140"/>
    <w:p>
      <w:pPr>
        <w:jc w:val="both"/>
        <w:spacing w:after="0" w:line="248" w:lineRule="auto"/>
        <w:rPr>
          <w:sz w:val="20"/>
          <w:szCs w:val="20"/>
          <w:color w:val="auto"/>
        </w:rPr>
      </w:pPr>
      <w:r>
        <w:rPr>
          <w:rFonts w:ascii="Times New Roman" w:cs="Times New Roman" w:eastAsia="Times New Roman" w:hAnsi="Times New Roman"/>
          <w:sz w:val="22"/>
          <w:szCs w:val="22"/>
          <w:color w:val="auto"/>
        </w:rPr>
        <w:t>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w:t>
      </w:r>
    </w:p>
    <w:p>
      <w:pPr>
        <w:spacing w:after="0" w:line="179" w:lineRule="exact"/>
        <w:rPr>
          <w:sz w:val="20"/>
          <w:szCs w:val="20"/>
          <w:color w:val="auto"/>
        </w:rPr>
      </w:pPr>
    </w:p>
    <w:p>
      <w:pPr>
        <w:jc w:val="both"/>
        <w:ind w:firstLine="1304"/>
        <w:spacing w:after="0" w:line="247" w:lineRule="auto"/>
        <w:tabs>
          <w:tab w:leader="none" w:pos="177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Refinancing of Swing Line Loans</w:t>
      </w:r>
      <w:r>
        <w:rPr>
          <w:rFonts w:ascii="Times New Roman" w:cs="Times New Roman" w:eastAsia="Times New Roman" w:hAnsi="Times New Roman"/>
          <w:sz w:val="22"/>
          <w:szCs w:val="22"/>
          <w:color w:val="auto"/>
        </w:rPr>
        <w:t>. (i) The Applicable Swing Line Lender at any time in its sole and absolute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 may request, on behalf of the Applicable Borrower (which 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dollars, a U.S. Base Rate Loan, in each case in an amount equal to such Lender’s Canadian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w:t>
      </w: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271" w:lineRule="auto"/>
        <w:rPr>
          <w:sz w:val="20"/>
          <w:szCs w:val="20"/>
          <w:color w:val="auto"/>
        </w:rPr>
      </w:pPr>
      <w:r>
        <w:rPr>
          <w:rFonts w:ascii="Times New Roman" w:cs="Times New Roman" w:eastAsia="Times New Roman" w:hAnsi="Times New Roman"/>
          <w:sz w:val="22"/>
          <w:szCs w:val="22"/>
          <w:color w:val="auto"/>
        </w:rPr>
        <w:t>Loan or U.S. Base Rate Loan, as applicable, to the Applicable Borrower in such amount. The Applicable Administrative Agent shall remit the funds so received to the Applicable Swing Line Lender.</w:t>
      </w:r>
    </w:p>
    <w:p>
      <w:pPr>
        <w:spacing w:after="0" w:line="158" w:lineRule="exact"/>
        <w:rPr>
          <w:sz w:val="20"/>
          <w:szCs w:val="20"/>
          <w:color w:val="auto"/>
        </w:rPr>
      </w:pPr>
    </w:p>
    <w:p>
      <w:pPr>
        <w:jc w:val="both"/>
        <w:ind w:left="660" w:firstLine="1292"/>
        <w:spacing w:after="0" w:line="252" w:lineRule="auto"/>
        <w:tabs>
          <w:tab w:leader="none" w:pos="251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any Swing Line Loan cannot be refinanced by a U.S. Revolving Borrowing or a Canadian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59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184"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53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42" w:name="page143"/>
    <w:bookmarkEnd w:id="142"/>
    <w:p>
      <w:pPr>
        <w:jc w:val="both"/>
        <w:ind w:firstLine="1304"/>
        <w:spacing w:after="0" w:line="258" w:lineRule="auto"/>
        <w:tabs>
          <w:tab w:leader="none" w:pos="181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 of Participations</w:t>
      </w:r>
      <w:r>
        <w:rPr>
          <w:rFonts w:ascii="Times New Roman" w:cs="Times New Roman" w:eastAsia="Times New Roman" w:hAnsi="Times New Roman"/>
          <w:sz w:val="22"/>
          <w:szCs w:val="22"/>
          <w:color w:val="auto"/>
        </w:rPr>
        <w:t>. (i) At any time after any Applicable Lender has purchased and funded a risk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 in a Swing Line Loan, 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71" w:lineRule="exact"/>
        <w:rPr>
          <w:rFonts w:ascii="Times New Roman" w:cs="Times New Roman" w:eastAsia="Times New Roman" w:hAnsi="Times New Roman"/>
          <w:sz w:val="22"/>
          <w:szCs w:val="22"/>
          <w:color w:val="auto"/>
        </w:rPr>
      </w:pPr>
    </w:p>
    <w:p>
      <w:pPr>
        <w:jc w:val="both"/>
        <w:ind w:left="660" w:firstLine="1292"/>
        <w:spacing w:after="0" w:line="262" w:lineRule="auto"/>
        <w:tabs>
          <w:tab w:leader="none" w:pos="2487"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168" w:lineRule="exact"/>
        <w:rPr>
          <w:rFonts w:ascii="Times New Roman" w:cs="Times New Roman" w:eastAsia="Times New Roman" w:hAnsi="Times New Roman"/>
          <w:sz w:val="21"/>
          <w:szCs w:val="21"/>
          <w:color w:val="auto"/>
        </w:rPr>
      </w:pPr>
    </w:p>
    <w:p>
      <w:pPr>
        <w:jc w:val="both"/>
        <w:ind w:firstLine="1304"/>
        <w:spacing w:after="0" w:line="254" w:lineRule="auto"/>
        <w:tabs>
          <w:tab w:leader="none" w:pos="187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for Account of Swing Line Lender</w:t>
      </w:r>
      <w:r>
        <w:rPr>
          <w:rFonts w:ascii="Times New Roman" w:cs="Times New Roman" w:eastAsia="Times New Roman" w:hAnsi="Times New Roman"/>
          <w:sz w:val="22"/>
          <w:szCs w:val="22"/>
          <w:color w:val="auto"/>
        </w:rPr>
        <w:t>. The Applicable Swing Line Lender shall be responsible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invoicing the Applicable Borrower for interest on the Swing Line Loans. Until each Applicable Lender funds its Loan or risk participation pursuant to this Section 2.23 to refinance such Applicable Lender’s Applicable Pro Rata Percentage of any Swing Line Loan, interest in respect of such Applicable Pro Rata Percentage shall be solely for the account of the Applicable Swing Line Lender.</w:t>
      </w:r>
    </w:p>
    <w:p>
      <w:pPr>
        <w:spacing w:after="0" w:line="173" w:lineRule="exact"/>
        <w:rPr>
          <w:rFonts w:ascii="Times New Roman" w:cs="Times New Roman" w:eastAsia="Times New Roman" w:hAnsi="Times New Roman"/>
          <w:sz w:val="22"/>
          <w:szCs w:val="22"/>
          <w:color w:val="auto"/>
        </w:rPr>
      </w:pPr>
    </w:p>
    <w:p>
      <w:pPr>
        <w:jc w:val="both"/>
        <w:ind w:right="20" w:firstLine="1304"/>
        <w:spacing w:after="0" w:line="265" w:lineRule="auto"/>
        <w:tabs>
          <w:tab w:leader="none" w:pos="174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 Directly to Swing Line Lender</w:t>
      </w:r>
      <w:r>
        <w:rPr>
          <w:rFonts w:ascii="Times New Roman" w:cs="Times New Roman" w:eastAsia="Times New Roman" w:hAnsi="Times New Roman"/>
          <w:sz w:val="22"/>
          <w:szCs w:val="22"/>
          <w:color w:val="auto"/>
        </w:rPr>
        <w:t>. The Applicable Borrower shall make all payments of principal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in respect of the Swing Line Loans directly to the Applicable Swing Line Lender, and, if an AutoBorrow Agreement is in effect, in accordance with the terms of such AutoBorrow Agreement.</w:t>
      </w:r>
    </w:p>
    <w:p>
      <w:pPr>
        <w:spacing w:after="0" w:line="16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Discretionary Nature of the Swing Line Facility</w:t>
      </w:r>
      <w:r>
        <w:rPr>
          <w:rFonts w:ascii="Times New Roman" w:cs="Times New Roman" w:eastAsia="Times New Roman" w:hAnsi="Times New Roman"/>
          <w:sz w:val="22"/>
          <w:szCs w:val="22"/>
          <w:color w:val="auto"/>
        </w:rPr>
        <w:t>. Notwithstanding any terms to the contrary contained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swing line facilities provided 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18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2.24</w:t>
      </w:r>
      <w:r>
        <w:rPr>
          <w:sz w:val="20"/>
          <w:szCs w:val="20"/>
          <w:color w:val="auto"/>
        </w:rPr>
        <w:tab/>
      </w:r>
      <w:r>
        <w:rPr>
          <w:rFonts w:ascii="Times New Roman" w:cs="Times New Roman" w:eastAsia="Times New Roman" w:hAnsi="Times New Roman"/>
          <w:sz w:val="21"/>
          <w:szCs w:val="21"/>
          <w:b w:val="1"/>
          <w:bCs w:val="1"/>
          <w:i w:val="1"/>
          <w:iCs w:val="1"/>
          <w:color w:val="auto"/>
        </w:rPr>
        <w:t>Defaulting Lenders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1304"/>
        <w:spacing w:after="0" w:line="259" w:lineRule="auto"/>
        <w:tabs>
          <w:tab w:leader="none" w:pos="175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w:t>
      </w:r>
      <w:r>
        <w:rPr>
          <w:rFonts w:ascii="Times New Roman" w:cs="Times New Roman" w:eastAsia="Times New Roman" w:hAnsi="Times New Roman"/>
          <w:sz w:val="22"/>
          <w:szCs w:val="22"/>
          <w:color w:val="auto"/>
        </w:rPr>
        <w:t>. Notwithstanding anything to the contrary contained in this Agreement, if any Revolving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becomes a Defaulting Lender, then, until such time as that Lender is no longer a Defaulting Lender, to the extent permitted by applicable law:</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7" w:right="339" w:bottom="1440" w:gutter="0" w:footer="0" w:header="0"/>
        </w:sectPr>
      </w:pPr>
    </w:p>
    <w:bookmarkStart w:id="143" w:name="page144"/>
    <w:bookmarkEnd w:id="143"/>
    <w:p>
      <w:pPr>
        <w:ind w:left="660" w:right="20" w:firstLine="1292"/>
        <w:spacing w:after="0" w:line="271" w:lineRule="auto"/>
        <w:tabs>
          <w:tab w:leader="none" w:pos="249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Defaulting Lender’s right to approve or disapprove any amendment, waiver or consent with respect to this Agreement or any other Loan Document shall be restricted as set forth in Section 9.08(b); and</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72" w:lineRule="exact"/>
        <w:rPr>
          <w:rFonts w:ascii="Times New Roman" w:cs="Times New Roman" w:eastAsia="Times New Roman" w:hAnsi="Times New Roman"/>
          <w:sz w:val="22"/>
          <w:szCs w:val="22"/>
          <w:color w:val="auto"/>
        </w:rPr>
      </w:pPr>
    </w:p>
    <w:p>
      <w:pPr>
        <w:ind w:left="1300" w:right="20" w:firstLine="1300"/>
        <w:spacing w:after="0" w:line="287" w:lineRule="auto"/>
        <w:tabs>
          <w:tab w:leader="none" w:pos="3195"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such Defaulting Lender to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hereunder;</w:t>
      </w:r>
    </w:p>
    <w:p>
      <w:pPr>
        <w:spacing w:after="0" w:line="137" w:lineRule="exact"/>
        <w:rPr>
          <w:rFonts w:ascii="Times New Roman" w:cs="Times New Roman" w:eastAsia="Times New Roman" w:hAnsi="Times New Roman"/>
          <w:sz w:val="20"/>
          <w:szCs w:val="20"/>
          <w:color w:val="auto"/>
        </w:rPr>
      </w:pPr>
    </w:p>
    <w:p>
      <w:pPr>
        <w:ind w:left="1300" w:right="20" w:firstLine="1300"/>
        <w:spacing w:after="0" w:line="287" w:lineRule="auto"/>
        <w:tabs>
          <w:tab w:leader="none" w:pos="310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on a pro rata basis of any amounts owing by such Defaulting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Issuing Banks and the Swing Line Lenders hereunder;</w:t>
      </w:r>
    </w:p>
    <w:p>
      <w:pPr>
        <w:spacing w:after="0" w:line="137" w:lineRule="exact"/>
        <w:rPr>
          <w:rFonts w:ascii="Times New Roman" w:cs="Times New Roman" w:eastAsia="Times New Roman" w:hAnsi="Times New Roman"/>
          <w:sz w:val="20"/>
          <w:szCs w:val="20"/>
          <w:color w:val="auto"/>
        </w:rPr>
      </w:pPr>
    </w:p>
    <w:p>
      <w:pPr>
        <w:ind w:left="1300" w:firstLine="1300"/>
        <w:spacing w:after="0" w:line="275" w:lineRule="auto"/>
        <w:tabs>
          <w:tab w:leader="none" w:pos="3251"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Cash Collateralize the Issuing Banks’ Fronting Exposure with respect 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Defaulting Lender in accordance with Section 2.21(k);</w:t>
      </w:r>
    </w:p>
    <w:p>
      <w:pPr>
        <w:spacing w:after="0" w:line="149" w:lineRule="exact"/>
        <w:rPr>
          <w:rFonts w:ascii="Times New Roman" w:cs="Times New Roman" w:eastAsia="Times New Roman" w:hAnsi="Times New Roman"/>
          <w:sz w:val="20"/>
          <w:szCs w:val="20"/>
          <w:color w:val="auto"/>
        </w:rPr>
      </w:pPr>
    </w:p>
    <w:p>
      <w:pPr>
        <w:jc w:val="both"/>
        <w:ind w:left="1300" w:firstLine="1300"/>
        <w:spacing w:after="0" w:line="265" w:lineRule="auto"/>
        <w:tabs>
          <w:tab w:leader="none" w:pos="315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as the Applicable Borrower may request (so long as no Default or Event of Default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exists), to the funding of any Loan in respect of which such Defaulting Lender has failed to fund its portion thereof as required by this Agreement, as determined by the Applicable Administrative Agent;</w:t>
      </w:r>
    </w:p>
    <w:p>
      <w:pPr>
        <w:spacing w:after="0" w:line="161" w:lineRule="exact"/>
        <w:rPr>
          <w:rFonts w:ascii="Times New Roman" w:cs="Times New Roman" w:eastAsia="Times New Roman" w:hAnsi="Times New Roman"/>
          <w:sz w:val="20"/>
          <w:szCs w:val="20"/>
          <w:color w:val="auto"/>
        </w:rPr>
      </w:pPr>
    </w:p>
    <w:p>
      <w:pPr>
        <w:jc w:val="both"/>
        <w:ind w:left="1300" w:firstLine="1300"/>
        <w:spacing w:after="0" w:line="257" w:lineRule="auto"/>
        <w:tabs>
          <w:tab w:leader="none" w:pos="307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if so determined by the Administrative Agent and the applicable Borrower, to be held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2.21(k);</w:t>
      </w:r>
    </w:p>
    <w:p>
      <w:pPr>
        <w:spacing w:after="0" w:line="171" w:lineRule="exact"/>
        <w:rPr>
          <w:rFonts w:ascii="Times New Roman" w:cs="Times New Roman" w:eastAsia="Times New Roman" w:hAnsi="Times New Roman"/>
          <w:sz w:val="20"/>
          <w:szCs w:val="20"/>
          <w:color w:val="auto"/>
        </w:rPr>
      </w:pPr>
    </w:p>
    <w:p>
      <w:pPr>
        <w:jc w:val="both"/>
        <w:ind w:left="1300" w:firstLine="1300"/>
        <w:spacing w:after="0" w:line="258" w:lineRule="auto"/>
        <w:tabs>
          <w:tab w:leader="none" w:pos="306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payment of any amounts owing to the Revolving Lenders, the Applicable Issuing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or the Applicable Swing Line Lender as a result of any judgment of a court of competent jurisdiction obtained by any Revolving Lender or an Applicable Issuing Bank against such Defaulting Lender as a result of such Defaulting Lender’s breach of its obligations under this Agreement;</w:t>
      </w:r>
    </w:p>
    <w:p>
      <w:pPr>
        <w:spacing w:after="0" w:line="167" w:lineRule="exact"/>
        <w:rPr>
          <w:rFonts w:ascii="Times New Roman" w:cs="Times New Roman" w:eastAsia="Times New Roman" w:hAnsi="Times New Roman"/>
          <w:sz w:val="20"/>
          <w:szCs w:val="20"/>
          <w:color w:val="auto"/>
        </w:rPr>
      </w:pPr>
    </w:p>
    <w:p>
      <w:pPr>
        <w:jc w:val="both"/>
        <w:ind w:left="1300" w:firstLine="1300"/>
        <w:spacing w:after="0" w:line="265" w:lineRule="auto"/>
        <w:tabs>
          <w:tab w:leader="none" w:pos="3181"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so long as no Default or Event of Default exists, to the payment of any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owing to the Applicable Borrower as a result of any judgment of a court of competent jurisdiction obtained by the Applicable</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44" w:name="page145"/>
    <w:bookmarkEnd w:id="144"/>
    <w:p>
      <w:pPr>
        <w:ind w:left="1300"/>
        <w:spacing w:after="0" w:line="271" w:lineRule="auto"/>
        <w:rPr>
          <w:sz w:val="20"/>
          <w:szCs w:val="20"/>
          <w:color w:val="auto"/>
        </w:rPr>
      </w:pPr>
      <w:r>
        <w:rPr>
          <w:rFonts w:ascii="Times New Roman" w:cs="Times New Roman" w:eastAsia="Times New Roman" w:hAnsi="Times New Roman"/>
          <w:sz w:val="22"/>
          <w:szCs w:val="22"/>
          <w:color w:val="auto"/>
        </w:rPr>
        <w:t>Borrower against such Defaulting Lender as a result of such Defaulting Lender’s breach of its obligations under this Agreement; and</w:t>
      </w:r>
    </w:p>
    <w:p>
      <w:pPr>
        <w:spacing w:after="0" w:line="154" w:lineRule="exact"/>
        <w:rPr>
          <w:sz w:val="20"/>
          <w:szCs w:val="20"/>
          <w:color w:val="auto"/>
        </w:rPr>
      </w:pPr>
    </w:p>
    <w:p>
      <w:pPr>
        <w:jc w:val="both"/>
        <w:ind w:left="1300" w:firstLine="1300"/>
        <w:spacing w:after="0" w:line="262" w:lineRule="auto"/>
        <w:tabs>
          <w:tab w:leader="none" w:pos="3316"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to such Defaulting Lender or as otherwise directed by a court of competent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(x) such payment is a payment of the principal amount of any Revolving Credit Loans or L/C Disbursements in respect of which that Defaulting Lender has not fully funded its appropriate share and (y) such Revolving Credit Loans were made or the related Letters of Credit were issued at a time when the conditions set forth in Section 4.01 were satisfied or waived, such payment shall be applied solely to pay the Revolving Credit Loans of, and L/C Disbursements owed to, all Non-Defaulting Lenders on a pro rata basis prior to being applied to the payment of any Revolving Credit Loans of, or L/C Disbursements owed to, such Defaulting Lender until such time as all Loans and funded and unfunded participations in Letters of Credit and Swing Line Loans are held by the Lenders pro rata in 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7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182" w:lineRule="exact"/>
        <w:rPr>
          <w:sz w:val="20"/>
          <w:szCs w:val="20"/>
          <w:color w:val="auto"/>
        </w:rPr>
      </w:pPr>
    </w:p>
    <w:p>
      <w:pPr>
        <w:jc w:val="both"/>
        <w:ind w:firstLine="1304"/>
        <w:spacing w:after="0" w:line="253" w:lineRule="auto"/>
        <w:tabs>
          <w:tab w:leader="none" w:pos="176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Fees</w:t>
      </w:r>
      <w:r>
        <w:rPr>
          <w:rFonts w:ascii="Times New Roman" w:cs="Times New Roman" w:eastAsia="Times New Roman" w:hAnsi="Times New Roman"/>
          <w:sz w:val="22"/>
          <w:szCs w:val="22"/>
          <w:color w:val="auto"/>
        </w:rPr>
        <w:t>. (i) No Defaulting Lender shall be entitled to receive any Commitment Fee pursuant to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2.05(a) for any period during which such Lender is a Defaulting Lender (and, except as otherwise provided in Section 2.05(a), the Applicable Borrower shall not be required to pay any such fee that otherwise would have been required to have been paid to such Defaulting Lender).</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5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L/C Participation Fees for any period during which that Lender is a Defaulting Lender only to the extent allocable to its Applicable Pro Rata Percentage of the stated amount of Letters of Credit for which it has provided cash collateral pursuant to Section 2.21(k).</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516"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L/C Participation Fee not required to be paid to any Defaulting Lender pursuant to clause (i) or (ii) above, the 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Bank and Swing Line Lender, as applicable, the amount of any such fee otherwise payable to such Defaulting Lender to the extent allocable to such Issuing Bank’s or Swing Line Lender’s Fronting</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22"/>
          <w:szCs w:val="22"/>
          <w:color w:val="auto"/>
        </w:rPr>
        <w:t>Exposure to such Defaulting Lender, and (z) not be required to pay the remaining amount of any such fee.</w:t>
      </w:r>
    </w:p>
    <w:p>
      <w:pPr>
        <w:spacing w:after="0" w:line="216" w:lineRule="exact"/>
        <w:rPr>
          <w:sz w:val="20"/>
          <w:szCs w:val="20"/>
          <w:color w:val="auto"/>
        </w:rPr>
      </w:pPr>
    </w:p>
    <w:p>
      <w:pPr>
        <w:jc w:val="both"/>
        <w:ind w:firstLine="1304"/>
        <w:spacing w:after="0" w:line="249" w:lineRule="auto"/>
        <w:tabs>
          <w:tab w:leader="none" w:pos="190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Reallocation of Ratable Portions to Reduce Fronting Exposure</w:t>
      </w:r>
      <w:r>
        <w:rPr>
          <w:rFonts w:ascii="Times New Roman" w:cs="Times New Roman" w:eastAsia="Times New Roman" w:hAnsi="Times New Roman"/>
          <w:sz w:val="22"/>
          <w:szCs w:val="22"/>
          <w:color w:val="auto"/>
        </w:rPr>
        <w:t>. During any period in which there is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Defaulting Lender, solely for purposes of computing the amount of the obligation of each non-Defaulting Lender to acquire, refinance or fund participations in Letters of Credit and Swing Line Loans pursuant to Sections 2.21 and 2.23, the “U.S. Revolving Pro Rata Percentage”, “Canadian Revolving Pro Rata Percentage” or “Australian Revolving Pro Rata Percentage”, as applicable, of each non-Defaulting Lender shall be computed without giving effect to the Revolving Commitment of such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 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w:t>
      </w:r>
    </w:p>
    <w:p>
      <w:pPr>
        <w:spacing w:after="0" w:line="183" w:lineRule="exact"/>
        <w:rPr>
          <w:rFonts w:ascii="Times New Roman" w:cs="Times New Roman" w:eastAsia="Times New Roman" w:hAnsi="Times New Roman"/>
          <w:sz w:val="22"/>
          <w:szCs w:val="22"/>
          <w:color w:val="auto"/>
        </w:rPr>
      </w:pPr>
    </w:p>
    <w:p>
      <w:pPr>
        <w:jc w:val="both"/>
        <w:ind w:firstLine="1304"/>
        <w:spacing w:after="0" w:line="264" w:lineRule="auto"/>
        <w:tabs>
          <w:tab w:leader="none" w:pos="1777"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Cash Collateral, Repayment of Swing Line Loans</w:t>
      </w:r>
      <w:r>
        <w:rPr>
          <w:rFonts w:ascii="Times New Roman" w:cs="Times New Roman" w:eastAsia="Times New Roman" w:hAnsi="Times New Roman"/>
          <w:sz w:val="21"/>
          <w:szCs w:val="21"/>
          <w:color w:val="auto"/>
        </w:rPr>
        <w:t>. If the reallocation described in clause (c) above cannot,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can only partially, be effected, the applicable Borrower shall, without prejudice to any right or remedy available to it hereunder or under law, (x) first, prepay Swing Line Loans in an amount equal to the applicable Swing Line Lender’s Fronting Exposure and</w:t>
      </w:r>
    </w:p>
    <w:p>
      <w:pPr>
        <w:spacing w:after="0" w:line="2" w:lineRule="exact"/>
        <w:rPr>
          <w:rFonts w:ascii="Times New Roman" w:cs="Times New Roman" w:eastAsia="Times New Roman" w:hAnsi="Times New Roman"/>
          <w:sz w:val="21"/>
          <w:szCs w:val="21"/>
          <w:color w:val="auto"/>
        </w:rPr>
      </w:pPr>
    </w:p>
    <w:p>
      <w:pPr>
        <w:ind w:firstLine="8"/>
        <w:spacing w:after="0" w:line="259" w:lineRule="auto"/>
        <w:tabs>
          <w:tab w:leader="none" w:pos="33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cash collateralize the applicable Issuing Banks’ Fronting Exposure in accordance with the procedures set forth in Section 2.21(k).</w:t>
      </w:r>
    </w:p>
    <w:p>
      <w:pPr>
        <w:spacing w:after="0" w:line="16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Defaulting Lender Cure</w:t>
      </w:r>
      <w:r>
        <w:rPr>
          <w:rFonts w:ascii="Times New Roman" w:cs="Times New Roman" w:eastAsia="Times New Roman" w:hAnsi="Times New Roman"/>
          <w:sz w:val="22"/>
          <w:szCs w:val="22"/>
          <w:color w:val="auto"/>
        </w:rPr>
        <w:t>. If the Applicable Borrower, the Applicable Administrative Agent,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Swing Line Lenders and the 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Revolving Pro Rata Percentage” or “Australian Revolving Pro Rata Percentage”, as applicable, (without giving effect to clause (a)(ii) above), whereupon such Lender will cease to be a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Applicable Borrower while such Lender was a Defaulting Lender;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46" w:name="page147"/>
    <w:bookmarkEnd w:id="146"/>
    <w:p>
      <w:pPr>
        <w:jc w:val="both"/>
        <w:ind w:firstLine="1304"/>
        <w:spacing w:after="0" w:line="258" w:lineRule="auto"/>
        <w:tabs>
          <w:tab w:leader="none" w:pos="179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New Swing Line Loans/Letters of Credit</w:t>
      </w:r>
      <w:r>
        <w:rPr>
          <w:rFonts w:ascii="Times New Roman" w:cs="Times New Roman" w:eastAsia="Times New Roman" w:hAnsi="Times New Roman"/>
          <w:sz w:val="22"/>
          <w:szCs w:val="22"/>
          <w:color w:val="auto"/>
        </w:rPr>
        <w:t>. So long as any Lender is a Defaulting Lender, (i)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Swing Line Lender shall not be 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167"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9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Defaulting Lender Revolving Commitment</w:t>
      </w:r>
      <w:r>
        <w:rPr>
          <w:rFonts w:ascii="Times New Roman" w:cs="Times New Roman" w:eastAsia="Times New Roman" w:hAnsi="Times New Roman"/>
          <w:sz w:val="22"/>
          <w:szCs w:val="22"/>
          <w:color w:val="auto"/>
        </w:rPr>
        <w:t>. A Borrower may terminate the unused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Revolving Commitment of a Defaulting Lender upon not less than three (3) Business Days’ prior notice to the Applicable Administrative Agent (which will promptly notify the Revolving Lenders of the same Class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termination will not be deemed to be a waiver or release of any claim a Borrower, an Administrative Agent, an Issuing Bank or any Lender may have against such Defaulting Lender.</w:t>
      </w:r>
    </w:p>
    <w:p>
      <w:pPr>
        <w:spacing w:after="0" w:line="17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2.25</w:t>
      </w:r>
      <w:r>
        <w:rPr>
          <w:sz w:val="20"/>
          <w:szCs w:val="20"/>
          <w:color w:val="auto"/>
        </w:rPr>
        <w:tab/>
      </w:r>
      <w:r>
        <w:rPr>
          <w:rFonts w:ascii="Times New Roman" w:cs="Times New Roman" w:eastAsia="Times New Roman" w:hAnsi="Times New Roman"/>
          <w:sz w:val="21"/>
          <w:szCs w:val="21"/>
          <w:b w:val="1"/>
          <w:bCs w:val="1"/>
          <w:i w:val="1"/>
          <w:iCs w:val="1"/>
          <w:color w:val="auto"/>
        </w:rPr>
        <w:t>Incremental Revolving Credit Increase</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47" w:lineRule="auto"/>
        <w:tabs>
          <w:tab w:leader="none" w:pos="181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Closing Date, any Borrower may by written notice to the Applicable Administrative Agent elect to request the establishment of one or more increases in one or more of the Revolving Commitments (an “</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to make incremental Revolving Credit Loans (any Revolving Credit Loans made pursuant to such Incremental Revolving Commitments, the “</w:t>
      </w:r>
      <w:r>
        <w:rPr>
          <w:rFonts w:ascii="Times New Roman" w:cs="Times New Roman" w:eastAsia="Times New Roman" w:hAnsi="Times New Roman"/>
          <w:sz w:val="22"/>
          <w:szCs w:val="22"/>
          <w:i w:val="1"/>
          <w:iCs w:val="1"/>
          <w:color w:val="auto"/>
        </w:rPr>
        <w:t>Incremental Revolving Credit Increase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the aggregate amount for all such Incremental Revolving Commitments shall not exceed $</w:t>
      </w:r>
      <w:r>
        <w:rPr>
          <w:rFonts w:ascii="Times New Roman" w:cs="Times New Roman" w:eastAsia="Times New Roman" w:hAnsi="Times New Roman"/>
          <w:sz w:val="22"/>
          <w:szCs w:val="22"/>
          <w:color w:val="FF0000"/>
          <w:strike w:val="1"/>
        </w:rPr>
        <w:t>50,000,000</w:t>
      </w:r>
      <w:r>
        <w:rPr>
          <w:rFonts w:ascii="Times New Roman" w:cs="Times New Roman" w:eastAsia="Times New Roman" w:hAnsi="Times New Roman"/>
          <w:sz w:val="22"/>
          <w:szCs w:val="22"/>
          <w:u w:val="single" w:color="auto"/>
          <w:color w:val="0000FF"/>
          <w:highlight w:val="lightGray"/>
        </w:rPr>
        <w:t>100,000,000</w:t>
      </w:r>
      <w:r>
        <w:rPr>
          <w:rFonts w:ascii="Times New Roman" w:cs="Times New Roman" w:eastAsia="Times New Roman" w:hAnsi="Times New Roman"/>
          <w:sz w:val="22"/>
          <w:szCs w:val="22"/>
          <w:color w:val="auto"/>
        </w:rPr>
        <w:t xml:space="preserve"> and (2) the aggregate amount for each Incremental Revolving Commitment shall not be less than a minimum principal amount of $10,000,000 or, if less, the remaining amount permitted pursuant to the foregoing clause (1). Each such notice shall specify the date (each, an “</w:t>
      </w:r>
      <w:r>
        <w:rPr>
          <w:rFonts w:ascii="Times New Roman" w:cs="Times New Roman" w:eastAsia="Times New Roman" w:hAnsi="Times New Roman"/>
          <w:sz w:val="22"/>
          <w:szCs w:val="22"/>
          <w:i w:val="1"/>
          <w:iCs w:val="1"/>
          <w:color w:val="auto"/>
        </w:rPr>
        <w:t>Increased Amount Date</w:t>
      </w:r>
      <w:r>
        <w:rPr>
          <w:rFonts w:ascii="Times New Roman" w:cs="Times New Roman" w:eastAsia="Times New Roman" w:hAnsi="Times New Roman"/>
          <w:sz w:val="22"/>
          <w:szCs w:val="22"/>
          <w:color w:val="auto"/>
        </w:rPr>
        <w:t>”)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person reasonably satisfactory to the Applicable Administrative Agent, the Applicable Issuing Bank and the Applicable Swing Line Lender, if any, to provide an Incremental Revolving Commitment (any such person that provides an Incremental Revolving Commitment, an “</w:t>
      </w:r>
      <w:r>
        <w:rPr>
          <w:rFonts w:ascii="Times New Roman" w:cs="Times New Roman" w:eastAsia="Times New Roman" w:hAnsi="Times New Roman"/>
          <w:sz w:val="22"/>
          <w:szCs w:val="22"/>
          <w:i w:val="1"/>
          <w:iCs w:val="1"/>
          <w:color w:val="auto"/>
        </w:rPr>
        <w:t>Incremental Lender</w:t>
      </w:r>
      <w:r>
        <w:rPr>
          <w:rFonts w:ascii="Times New Roman" w:cs="Times New Roman" w:eastAsia="Times New Roman" w:hAnsi="Times New Roman"/>
          <w:sz w:val="22"/>
          <w:szCs w:val="22"/>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94" w:lineRule="exact"/>
        <w:rPr>
          <w:rFonts w:ascii="Times New Roman" w:cs="Times New Roman" w:eastAsia="Times New Roman" w:hAnsi="Times New Roman"/>
          <w:sz w:val="22"/>
          <w:szCs w:val="22"/>
          <w:color w:val="auto"/>
        </w:rPr>
      </w:pPr>
    </w:p>
    <w:p>
      <w:pPr>
        <w:jc w:val="both"/>
        <w:ind w:left="1300" w:firstLine="1300"/>
        <w:spacing w:after="0" w:line="263" w:lineRule="auto"/>
        <w:tabs>
          <w:tab w:leader="none" w:pos="318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7" w:right="339" w:bottom="1440" w:gutter="0" w:footer="0" w:header="0"/>
        </w:sectPr>
      </w:pPr>
    </w:p>
    <w:bookmarkStart w:id="147" w:name="page148"/>
    <w:bookmarkEnd w:id="147"/>
    <w:p>
      <w:pPr>
        <w:jc w:val="both"/>
        <w:ind w:left="1300" w:firstLine="1300"/>
        <w:spacing w:after="0" w:line="266" w:lineRule="auto"/>
        <w:tabs>
          <w:tab w:leader="none" w:pos="3245"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Applicable Borrower shall have delivered to the Administrative Agent (which shall promptly make such information available to the Lenders in accordance with its customary practice) a Compliance Certificate demonstrating that the Parent Borrower will be in compliance on a pro forma basis (using the criteria therefor described in Section 6.04(i)) with the Financial Covenants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165" w:lineRule="exact"/>
        <w:rPr>
          <w:rFonts w:ascii="Times New Roman" w:cs="Times New Roman" w:eastAsia="Times New Roman" w:hAnsi="Times New Roman"/>
          <w:sz w:val="19"/>
          <w:szCs w:val="19"/>
          <w:color w:val="auto"/>
        </w:rPr>
      </w:pPr>
    </w:p>
    <w:p>
      <w:pPr>
        <w:jc w:val="both"/>
        <w:ind w:left="1300" w:firstLine="1300"/>
        <w:spacing w:after="0" w:line="263" w:lineRule="auto"/>
        <w:tabs>
          <w:tab w:leader="none" w:pos="308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167" w:lineRule="exact"/>
        <w:rPr>
          <w:rFonts w:ascii="Times New Roman" w:cs="Times New Roman" w:eastAsia="Times New Roman" w:hAnsi="Times New Roman"/>
          <w:sz w:val="20"/>
          <w:szCs w:val="20"/>
          <w:color w:val="auto"/>
        </w:rPr>
      </w:pPr>
    </w:p>
    <w:p>
      <w:pPr>
        <w:jc w:val="both"/>
        <w:ind w:left="1300" w:firstLine="1300"/>
        <w:spacing w:after="0" w:line="257" w:lineRule="auto"/>
        <w:tabs>
          <w:tab w:leader="none" w:pos="319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Incremental Revolving Commitment (and the Incremental Revolving Credit Increase made thereunder) shall constitute Obligations of the Applicable Borrower and shall be secured and guaranteed with the other Revolving Credit Loans of such Class on a pari passu basis;</w:t>
      </w:r>
    </w:p>
    <w:p>
      <w:pPr>
        <w:spacing w:after="0" w:line="186" w:lineRule="exact"/>
        <w:rPr>
          <w:rFonts w:ascii="Times New Roman" w:cs="Times New Roman" w:eastAsia="Times New Roman" w:hAnsi="Times New Roman"/>
          <w:sz w:val="20"/>
          <w:szCs w:val="20"/>
          <w:color w:val="auto"/>
        </w:rPr>
      </w:pPr>
    </w:p>
    <w:p>
      <w:pPr>
        <w:ind w:left="1300" w:firstLine="1300"/>
        <w:spacing w:after="0" w:line="271" w:lineRule="auto"/>
        <w:tabs>
          <w:tab w:leader="none" w:pos="308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each Incremental Revolving Commitment (the terms of which shall be set forth the relevant Lender Joinder Agreement):</w:t>
      </w:r>
    </w:p>
    <w:p>
      <w:pPr>
        <w:spacing w:after="0" w:line="157" w:lineRule="exact"/>
        <w:rPr>
          <w:rFonts w:ascii="Times New Roman" w:cs="Times New Roman" w:eastAsia="Times New Roman" w:hAnsi="Times New Roman"/>
          <w:sz w:val="20"/>
          <w:szCs w:val="20"/>
          <w:color w:val="auto"/>
        </w:rPr>
      </w:pPr>
    </w:p>
    <w:p>
      <w:pPr>
        <w:jc w:val="both"/>
        <w:ind w:left="1960" w:firstLine="1288"/>
        <w:spacing w:after="0" w:line="254" w:lineRule="auto"/>
        <w:tabs>
          <w:tab w:leader="none" w:pos="3931"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175" w:lineRule="exact"/>
        <w:rPr>
          <w:rFonts w:ascii="Times New Roman" w:cs="Times New Roman" w:eastAsia="Times New Roman" w:hAnsi="Times New Roman"/>
          <w:sz w:val="20"/>
          <w:szCs w:val="20"/>
          <w:color w:val="auto"/>
        </w:rPr>
      </w:pPr>
    </w:p>
    <w:p>
      <w:pPr>
        <w:jc w:val="both"/>
        <w:ind w:left="1960" w:firstLine="1288"/>
        <w:spacing w:after="0" w:line="250" w:lineRule="auto"/>
        <w:tabs>
          <w:tab w:leader="none" w:pos="387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outstanding Revolving Credit Loans and Applicable Pro Rata Percentages of Swing Line Loans and the aggregate amount available to be drawn under all applicable Letters of Credit of the applicable Class 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48" w:name="page149"/>
    <w:bookmarkEnd w:id="148"/>
    <w:p>
      <w:pPr>
        <w:jc w:val="both"/>
        <w:ind w:left="1960" w:firstLine="1288"/>
        <w:spacing w:after="0" w:line="256" w:lineRule="auto"/>
        <w:tabs>
          <w:tab w:leader="none" w:pos="3908"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of the other terms and conditions applicable to such Incremental Revolving Commitment shall, except to the extent otherwise provided in this Section 2.25, be identical to the terms and conditions applicable to the U.S. Revolving Credit Facility, the Canadian Revolving Credit Facility or the Australian Revolving Credit Facility, as the case may be;</w:t>
      </w:r>
    </w:p>
    <w:p>
      <w:pPr>
        <w:spacing w:after="0" w:line="176" w:lineRule="exact"/>
        <w:rPr>
          <w:rFonts w:ascii="Times New Roman" w:cs="Times New Roman" w:eastAsia="Times New Roman" w:hAnsi="Times New Roman"/>
          <w:sz w:val="20"/>
          <w:szCs w:val="20"/>
          <w:color w:val="auto"/>
        </w:rPr>
      </w:pPr>
    </w:p>
    <w:p>
      <w:pPr>
        <w:jc w:val="both"/>
        <w:ind w:left="1300" w:firstLine="1300"/>
        <w:spacing w:after="0" w:line="253" w:lineRule="auto"/>
        <w:tabs>
          <w:tab w:leader="none" w:pos="3111"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Incremental Lender shall be entitled to the same voting rights as the existing Revolving Lenders under the U.S. Revolving Credit Facility, the Canadian Revolving Credit Facility or the Australian Revolving Credit Facility, as the case may be, and any Loans or issuances of Letters of Credit made in connection with each Incremental Revolving Credit Increase shall receive proceeds of prepayments on the same basis as the other Revolving Credit Loans made hereunder;</w:t>
      </w:r>
    </w:p>
    <w:p>
      <w:pPr>
        <w:spacing w:after="0" w:line="192" w:lineRule="exact"/>
        <w:rPr>
          <w:rFonts w:ascii="Times New Roman" w:cs="Times New Roman" w:eastAsia="Times New Roman" w:hAnsi="Times New Roman"/>
          <w:sz w:val="20"/>
          <w:szCs w:val="20"/>
          <w:color w:val="auto"/>
        </w:rPr>
      </w:pPr>
    </w:p>
    <w:p>
      <w:pPr>
        <w:jc w:val="both"/>
        <w:ind w:left="1300" w:firstLine="1300"/>
        <w:spacing w:after="0" w:line="251" w:lineRule="auto"/>
        <w:tabs>
          <w:tab w:leader="none" w:pos="3131"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w:t>
      </w:r>
    </w:p>
    <w:p>
      <w:pPr>
        <w:spacing w:after="0" w:line="181" w:lineRule="exact"/>
        <w:rPr>
          <w:rFonts w:ascii="Times New Roman" w:cs="Times New Roman" w:eastAsia="Times New Roman" w:hAnsi="Times New Roman"/>
          <w:sz w:val="20"/>
          <w:szCs w:val="20"/>
          <w:color w:val="auto"/>
        </w:rPr>
      </w:pPr>
    </w:p>
    <w:p>
      <w:pPr>
        <w:jc w:val="both"/>
        <w:ind w:left="1300" w:firstLine="1300"/>
        <w:spacing w:after="0" w:line="256" w:lineRule="auto"/>
        <w:tabs>
          <w:tab w:leader="none" w:pos="3131"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76" w:lineRule="exact"/>
        <w:rPr>
          <w:rFonts w:ascii="Times New Roman" w:cs="Times New Roman" w:eastAsia="Times New Roman" w:hAnsi="Times New Roman"/>
          <w:sz w:val="20"/>
          <w:szCs w:val="20"/>
          <w:color w:val="auto"/>
        </w:rPr>
      </w:pPr>
    </w:p>
    <w:p>
      <w:pPr>
        <w:jc w:val="both"/>
        <w:ind w:firstLine="1304"/>
        <w:spacing w:after="0" w:line="256" w:lineRule="auto"/>
        <w:tabs>
          <w:tab w:leader="none" w:pos="185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Incremental Lenders shall be included in any determination of the Required U.S. </w:t>
      </w:r>
      <w:r>
        <w:rPr>
          <w:rFonts w:ascii="Times New Roman" w:cs="Times New Roman" w:eastAsia="Times New Roman" w:hAnsi="Times New Roman"/>
          <w:sz w:val="22"/>
          <w:szCs w:val="22"/>
          <w:color w:val="FF0000"/>
          <w:strike w:val="1"/>
        </w:rPr>
        <w:t>Lenders, 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Canadian Revolving Lenders, the Required Canadian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Lenders, the Required Canadian Revolving Lenders or the Required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Australian Lenders, as the case may be, and the Incremental Lenders will not constitute a separate voting class for any purposes under this Agreement.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86"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76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49" w:name="page150"/>
    <w:bookmarkEnd w:id="149"/>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2.26</w:t>
      </w:r>
      <w:r>
        <w:rPr>
          <w:sz w:val="20"/>
          <w:szCs w:val="20"/>
          <w:color w:val="auto"/>
        </w:rPr>
        <w:tab/>
      </w:r>
      <w:r>
        <w:rPr>
          <w:rFonts w:ascii="Times New Roman" w:cs="Times New Roman" w:eastAsia="Times New Roman" w:hAnsi="Times New Roman"/>
          <w:sz w:val="21"/>
          <w:szCs w:val="21"/>
          <w:b w:val="1"/>
          <w:bCs w:val="1"/>
          <w:i w:val="1"/>
          <w:iCs w:val="1"/>
          <w:color w:val="auto"/>
        </w:rPr>
        <w:t>Benchmark Replacement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1720" w:hanging="416"/>
        <w:spacing w:after="0"/>
        <w:tabs>
          <w:tab w:leader="none" w:pos="1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0"/>
          <w:szCs w:val="20"/>
          <w:color w:val="auto"/>
        </w:rPr>
      </w:pPr>
    </w:p>
    <w:p>
      <w:pPr>
        <w:jc w:val="both"/>
        <w:ind w:left="660" w:firstLine="1292"/>
        <w:spacing w:after="0" w:line="239" w:lineRule="auto"/>
        <w:tabs>
          <w:tab w:leader="none" w:pos="239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the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Section 2.26(a) will occur prior to the applicable Benchmark Transition Start Date.</w:t>
      </w:r>
    </w:p>
    <w:p>
      <w:pPr>
        <w:spacing w:after="0" w:line="19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Hedging Agreement shall be deemed to be a “Loan Document” for purposes of this Section 2.26.</w:t>
      </w:r>
    </w:p>
    <w:p>
      <w:pPr>
        <w:spacing w:after="0" w:line="227" w:lineRule="exact"/>
        <w:rPr>
          <w:rFonts w:ascii="Times New Roman" w:cs="Times New Roman" w:eastAsia="Times New Roman" w:hAnsi="Times New Roman"/>
          <w:sz w:val="21"/>
          <w:szCs w:val="21"/>
          <w:color w:val="auto"/>
        </w:rPr>
      </w:pPr>
    </w:p>
    <w:p>
      <w:pPr>
        <w:jc w:val="both"/>
        <w:ind w:right="600" w:firstLine="1304"/>
        <w:spacing w:after="0" w:line="248" w:lineRule="auto"/>
        <w:tabs>
          <w:tab w:leader="none" w:pos="172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In connection with the use, administration, adoption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04"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 notify</w:t>
      </w:r>
    </w:p>
    <w:p>
      <w:pPr>
        <w:spacing w:after="0" w:line="33" w:lineRule="exact"/>
        <w:rPr>
          <w:sz w:val="20"/>
          <w:szCs w:val="20"/>
          <w:color w:val="auto"/>
        </w:rPr>
      </w:pPr>
    </w:p>
    <w:p>
      <w:pPr>
        <w:jc w:val="both"/>
        <w:ind w:right="440"/>
        <w:spacing w:after="0" w:line="247" w:lineRule="auto"/>
        <w:rPr>
          <w:sz w:val="20"/>
          <w:szCs w:val="20"/>
          <w:color w:val="auto"/>
        </w:rPr>
      </w:pPr>
      <w:r>
        <w:rPr>
          <w:rFonts w:ascii="Times New Roman" w:cs="Times New Roman" w:eastAsia="Times New Roman" w:hAnsi="Times New Roman"/>
          <w:sz w:val="22"/>
          <w:szCs w:val="22"/>
          <w:color w:val="auto"/>
        </w:rPr>
        <w:t xml:space="preserve">the Parent Borrower and the Lenders of (i) the implementation of any Benchmark Replacement and (ii) the effectiveness of any </w:t>
      </w:r>
      <w:r>
        <w:rPr>
          <w:rFonts w:ascii="Times New Roman" w:cs="Times New Roman" w:eastAsia="Times New Roman" w:hAnsi="Times New Roman"/>
          <w:sz w:val="22"/>
          <w:szCs w:val="22"/>
          <w:color w:val="FF0000"/>
          <w:strike w:val="1"/>
        </w:rPr>
        <w:t>Benchmark Replacement</w:t>
      </w:r>
      <w:r>
        <w:rPr>
          <w:rFonts w:ascii="Times New Roman" w:cs="Times New Roman" w:eastAsia="Times New Roman" w:hAnsi="Times New Roman"/>
          <w:sz w:val="22"/>
          <w:szCs w:val="22"/>
          <w:color w:val="auto"/>
        </w:rPr>
        <w:t xml:space="preserve"> Conforming Changes in connection with the use, administration, adoption or implementation of a Benchmark Replacement. The Administrative Agent will promptly notify the Parent Borrower of (x) the removal or reinstatement of any tenor of a Benchmark pursuant to Section 2.26(d) and (y) the commencement of any Benchmark Unavailability Period. Any determination, decision or election that may be made by the Administrative Agent or, if applicable, any Lender (or group of Lenders) pursuant to this Section 2.26,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2.26.</w:t>
      </w:r>
    </w:p>
    <w:p>
      <w:pPr>
        <w:spacing w:after="0" w:line="3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5" w:right="339" w:bottom="1440" w:gutter="0" w:footer="0" w:header="0"/>
        </w:sectPr>
      </w:pPr>
    </w:p>
    <w:bookmarkStart w:id="150" w:name="page151"/>
    <w:bookmarkEnd w:id="150"/>
    <w:p>
      <w:pPr>
        <w:jc w:val="both"/>
        <w:ind w:right="420" w:firstLine="1304"/>
        <w:spacing w:after="0" w:line="249" w:lineRule="auto"/>
        <w:tabs>
          <w:tab w:leader="none" w:pos="176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such previously removed tenor.</w:t>
      </w:r>
    </w:p>
    <w:p>
      <w:pPr>
        <w:spacing w:after="0" w:line="205" w:lineRule="exact"/>
        <w:rPr>
          <w:rFonts w:ascii="Times New Roman" w:cs="Times New Roman" w:eastAsia="Times New Roman" w:hAnsi="Times New Roman"/>
          <w:sz w:val="20"/>
          <w:szCs w:val="20"/>
          <w:color w:val="auto"/>
        </w:rPr>
      </w:pPr>
    </w:p>
    <w:p>
      <w:pPr>
        <w:jc w:val="both"/>
        <w:ind w:right="420" w:firstLine="1304"/>
        <w:spacing w:after="0" w:line="251" w:lineRule="auto"/>
        <w:tabs>
          <w:tab w:leader="none" w:pos="180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Borrowers may revoke any request for a SOFR Loan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Alternate Base Rate or U.S. Base Rate, respectively, based upon the then-current Benchmark or such tenor for such Benchmark, as applicable, will not be used in any determination of Alternate Base Rate or U.S. Base Rate, respectively.</w:t>
      </w:r>
    </w:p>
    <w:p>
      <w:pPr>
        <w:spacing w:after="0" w:line="20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2.27</w:t>
      </w:r>
      <w:r>
        <w:rPr>
          <w:sz w:val="20"/>
          <w:szCs w:val="20"/>
          <w:color w:val="auto"/>
        </w:rPr>
        <w:tab/>
      </w:r>
      <w:r>
        <w:rPr>
          <w:rFonts w:ascii="Times New Roman" w:cs="Times New Roman" w:eastAsia="Times New Roman" w:hAnsi="Times New Roman"/>
          <w:sz w:val="21"/>
          <w:szCs w:val="21"/>
          <w:b w:val="1"/>
          <w:bCs w:val="1"/>
          <w:i w:val="1"/>
          <w:iCs w:val="1"/>
          <w:color w:val="auto"/>
        </w:rPr>
        <w:t>Canadian Benchmark Replacement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1720" w:hanging="416"/>
        <w:spacing w:after="0"/>
        <w:tabs>
          <w:tab w:leader="none" w:pos="17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Canadian Benchmark Replacement</w:t>
      </w:r>
      <w:r>
        <w:rPr>
          <w:rFonts w:ascii="Times New Roman" w:cs="Times New Roman" w:eastAsia="Times New Roman" w:hAnsi="Times New Roman"/>
          <w:sz w:val="22"/>
          <w:szCs w:val="22"/>
          <w:color w:val="auto"/>
        </w:rPr>
        <w:t>.</w:t>
      </w:r>
    </w:p>
    <w:p>
      <w:pPr>
        <w:spacing w:after="0" w:line="33" w:lineRule="exact"/>
        <w:rPr>
          <w:rFonts w:ascii="Times New Roman" w:cs="Times New Roman" w:eastAsia="Times New Roman" w:hAnsi="Times New Roman"/>
          <w:sz w:val="20"/>
          <w:szCs w:val="20"/>
          <w:color w:val="auto"/>
        </w:rPr>
      </w:pPr>
    </w:p>
    <w:p>
      <w:pPr>
        <w:jc w:val="both"/>
        <w:ind w:left="1120" w:firstLine="832"/>
        <w:spacing w:after="0" w:line="261" w:lineRule="auto"/>
        <w:tabs>
          <w:tab w:leader="none" w:pos="2518"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if a Canadian Benchmark Transition Event and its related Canadian Benchmark Replacement Date have occurred prior to any setting of the then-current Canadian Benchmark, then (x) if a Canadian Benchmark Replacement is determined in accordance with clause (a) of the definition of “Canadian Benchmark Replacement” for such Canadian Benchmark Replacement Date, such Canadian Benchmark Replacement will replace such Canadian Benchmark for all purposes hereunder and under any Loan Document in respect of such Canadian Benchmark setting and subsequent Canadian Benchmark settings without any amendment to, or further action or consent of any other party to, this Agreement or</w:t>
      </w:r>
    </w:p>
    <w:p>
      <w:pPr>
        <w:spacing w:after="0" w:line="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7" w:right="339" w:bottom="1440" w:gutter="0" w:footer="0" w:header="0"/>
        </w:sectPr>
      </w:pPr>
    </w:p>
    <w:bookmarkStart w:id="151" w:name="page152"/>
    <w:bookmarkEnd w:id="151"/>
    <w:p>
      <w:pPr>
        <w:ind w:left="1120"/>
        <w:spacing w:after="0"/>
        <w:rPr>
          <w:sz w:val="20"/>
          <w:szCs w:val="20"/>
          <w:color w:val="auto"/>
        </w:rPr>
      </w:pPr>
      <w:r>
        <w:rPr>
          <w:rFonts w:ascii="Times New Roman" w:cs="Times New Roman" w:eastAsia="Times New Roman" w:hAnsi="Times New Roman"/>
          <w:sz w:val="22"/>
          <w:szCs w:val="22"/>
          <w:color w:val="auto"/>
        </w:rPr>
        <w:t>any other Loan Document and (y) if a Canadian Benchmark Replacement is determined in accordance with clause</w:t>
      </w:r>
    </w:p>
    <w:p>
      <w:pPr>
        <w:spacing w:after="0" w:line="28" w:lineRule="exact"/>
        <w:rPr>
          <w:sz w:val="20"/>
          <w:szCs w:val="20"/>
          <w:color w:val="auto"/>
        </w:rPr>
      </w:pPr>
    </w:p>
    <w:p>
      <w:pPr>
        <w:jc w:val="both"/>
        <w:ind w:left="1120" w:firstLine="4"/>
        <w:spacing w:after="0" w:line="247" w:lineRule="auto"/>
        <w:tabs>
          <w:tab w:leader="none" w:pos="143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“Canadian Benchmark Replacement” for such Canadian Benchmark Replacement Date, such Canadian Benchmark Replacement will replace such Canadian Benchmark for all purposes hereunder and under any Loan Document in respect of any Canadian Benchmark setting at or after 5:00 p.m. (Toronto time) on the fifth (5th) Business Day after the date notice of such Canadian Benchmark Replacement is provided to the Lenders without any amendment to, or further action or consent of any other party to, this Agreement or any other Loan Document so long as the Canadian Administrative Agent has not received, by such time, written notice of objection to such Canadian Benchmark Replacement from Lenders comprising the Applicable Required Lenders. If the Canadian Benchmark Replacement is Daily Compounded CORRA, all interest payments will be payable on the last day of each Interest Period.</w:t>
      </w:r>
    </w:p>
    <w:p>
      <w:pPr>
        <w:spacing w:after="0" w:line="211"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Hedging Agreement shall be deemed to be a “Loan Document” for purposes of this Section 2.27.</w:t>
      </w:r>
    </w:p>
    <w:p>
      <w:pPr>
        <w:spacing w:after="0" w:line="240" w:lineRule="exact"/>
        <w:rPr>
          <w:rFonts w:ascii="Times New Roman" w:cs="Times New Roman" w:eastAsia="Times New Roman" w:hAnsi="Times New Roman"/>
          <w:sz w:val="21"/>
          <w:szCs w:val="21"/>
          <w:color w:val="auto"/>
        </w:rPr>
      </w:pPr>
    </w:p>
    <w:p>
      <w:pPr>
        <w:jc w:val="both"/>
        <w:ind w:firstLine="1304"/>
        <w:spacing w:after="0" w:line="248" w:lineRule="auto"/>
        <w:tabs>
          <w:tab w:leader="none" w:pos="1738"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Canadian Conforming Changes</w:t>
      </w:r>
      <w:r>
        <w:rPr>
          <w:rFonts w:ascii="Times New Roman" w:cs="Times New Roman" w:eastAsia="Times New Roman" w:hAnsi="Times New Roman"/>
          <w:sz w:val="22"/>
          <w:szCs w:val="22"/>
          <w:color w:val="auto"/>
        </w:rPr>
        <w:t>. In connection with the use, administration, adoption or implementation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Canadian Benchmark Replacement, the Canadian Administrative Agent will have the right to make such Canadian Conforming Changes from time to time in consultation with the Borrowers and, notwithstanding anything to the contrary herein or in any other Loan Document, any amendments implementing such Canadian Conforming Changes will become effective without any further action or consent of any other party to this Agreement or any other Loan Document.</w:t>
      </w:r>
    </w:p>
    <w:p>
      <w:pPr>
        <w:spacing w:after="0" w:line="218" w:lineRule="exact"/>
        <w:rPr>
          <w:rFonts w:ascii="Times New Roman" w:cs="Times New Roman" w:eastAsia="Times New Roman" w:hAnsi="Times New Roman"/>
          <w:sz w:val="20"/>
          <w:szCs w:val="20"/>
          <w:color w:val="auto"/>
        </w:rPr>
      </w:pPr>
    </w:p>
    <w:p>
      <w:pPr>
        <w:jc w:val="both"/>
        <w:ind w:firstLine="1304"/>
        <w:spacing w:after="0" w:line="249" w:lineRule="auto"/>
        <w:tabs>
          <w:tab w:leader="none" w:pos="1821"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Canadian Administrative Agent will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notify the Borrowers and the Lenders of (i) the implementation of any Canadian Benchmark Replacement and (ii) the effectiveness of any such Canadian Conforming Changes in connection with the use, administration, adoption or implementation of a Canadian Benchmark Replacement. The Canadian Administrative Agent will notify the Borrowers of (x) the removal or reinstatement of any tenor of a Canadian Benchmark pursuant to Section 2.27(d) and (y) the commencement of any Canadian Benchmark Unavailability Period. Any determination, decision or election that may be made by the Canadian Administrative Agent or, if applicable, any Lender (or group of Lenders) pursuant to this Section 2.27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2.27.</w:t>
      </w:r>
    </w:p>
    <w:p>
      <w:pPr>
        <w:spacing w:after="0" w:line="204" w:lineRule="exact"/>
        <w:rPr>
          <w:rFonts w:ascii="Times New Roman" w:cs="Times New Roman" w:eastAsia="Times New Roman" w:hAnsi="Times New Roman"/>
          <w:sz w:val="20"/>
          <w:szCs w:val="20"/>
          <w:color w:val="auto"/>
        </w:rPr>
      </w:pPr>
    </w:p>
    <w:p>
      <w:pPr>
        <w:jc w:val="both"/>
        <w:ind w:firstLine="1304"/>
        <w:spacing w:after="0" w:line="265" w:lineRule="auto"/>
        <w:tabs>
          <w:tab w:leader="none" w:pos="1819"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Unavailability of Tenor Canadian Benchmark</w:t>
      </w:r>
      <w:r>
        <w:rPr>
          <w:rFonts w:ascii="Times New Roman" w:cs="Times New Roman" w:eastAsia="Times New Roman" w:hAnsi="Times New Roman"/>
          <w:sz w:val="22"/>
          <w:szCs w:val="22"/>
          <w:color w:val="auto"/>
        </w:rPr>
        <w:t>. Notwithstanding anything to the contrary herein or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Loan Document, at any time (including in connection with the implementation of a Canadian Benchmark Replacement), (i) if the then-current Canadian Benchmark is a term rate (including Term CORRA) and either (A) any tenor for such Canadian</w:t>
      </w:r>
    </w:p>
    <w:p>
      <w:pPr>
        <w:spacing w:after="0" w:line="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48" w:lineRule="auto"/>
        <w:rPr>
          <w:sz w:val="20"/>
          <w:szCs w:val="20"/>
          <w:color w:val="auto"/>
        </w:rPr>
      </w:pPr>
      <w:r>
        <w:rPr>
          <w:rFonts w:ascii="Times New Roman" w:cs="Times New Roman" w:eastAsia="Times New Roman" w:hAnsi="Times New Roman"/>
          <w:sz w:val="22"/>
          <w:szCs w:val="22"/>
          <w:color w:val="auto"/>
        </w:rPr>
        <w:t>Benchmark is not displayed on a screen or other information service that publishes such rate from time to time as selected by the Canadian Administrative Agent in its reasonable discretion or (B) the regulatory supervisor for the administrator of such Canadian Benchmark has provided a public statement or publication of information announcing that any tenor for such Canadian Benchmark is not or will not be representative, then the Canadian Administrative Agent may modify the definition of “Interest Period” (or any similar or analogous definition) for any Canadian Benchmark settings at or after such time to remove such unavailable or non-representative tenor and (ii) if a tenor that was removed pursuant to clause (i) above either (A) is subsequently displayed on a screen or information service for a Canadian Benchmark (including a Canadian Benchmark Replacement) or (B) is not, or is no longer, subject to an announcement that it is not or will not be representative for a Canadian Benchmark (including a Canadian Benchmark Replacement), then the Canadian Administrative Agent may modify the definition of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(or any similar or analogous definition) for all Canadian Benchmark settings at or after such time to reinstate such previously removed tenor.</w:t>
      </w:r>
    </w:p>
    <w:p>
      <w:pPr>
        <w:spacing w:after="0" w:line="212" w:lineRule="exact"/>
        <w:rPr>
          <w:sz w:val="20"/>
          <w:szCs w:val="20"/>
          <w:color w:val="auto"/>
        </w:rPr>
      </w:pPr>
    </w:p>
    <w:p>
      <w:pPr>
        <w:jc w:val="both"/>
        <w:ind w:firstLine="1304"/>
        <w:spacing w:after="0" w:line="251" w:lineRule="auto"/>
        <w:tabs>
          <w:tab w:leader="none" w:pos="172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Canadian Benchmark Unavailability Period</w:t>
      </w:r>
      <w:r>
        <w:rPr>
          <w:rFonts w:ascii="Times New Roman" w:cs="Times New Roman" w:eastAsia="Times New Roman" w:hAnsi="Times New Roman"/>
          <w:sz w:val="22"/>
          <w:szCs w:val="22"/>
          <w:color w:val="auto"/>
        </w:rPr>
        <w:t>. Upon the Borrowers’ receipt of notice of the commencement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Canadian Benchmark Unavailability Period, the Borrowers may revoke any pending request for a Borrowing of, conversion to or continuation of Loans, which are of the Type that have a rate of interest determined by reference to the then-current Canadian Benchmark, to be made, converted or continued during any Canadian Benchmark Unavailability Period and, failing that, the Borrowers will be deemed to have converted any such request into a request for a Borrowing of or conversion to, (i) for a Canadian Benchmark Unavailability Period in respect of Term CORRA, Daily Compounded CORRA Loans, and (ii) for a Canadian Benchmark Unavailability Period in respect of a Canadian Benchmark other than Term CORRA, Canadian Prime Rate Loans.</w:t>
      </w:r>
    </w:p>
    <w:p>
      <w:pPr>
        <w:spacing w:after="0" w:line="109" w:lineRule="exact"/>
        <w:rPr>
          <w:sz w:val="20"/>
          <w:szCs w:val="20"/>
          <w:color w:val="auto"/>
        </w:rPr>
      </w:pPr>
    </w:p>
    <w:p>
      <w:pPr>
        <w:jc w:val="both"/>
        <w:ind w:left="120" w:right="160" w:firstLine="647"/>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Adjusted Daily Compounded CORRA</w:t>
      </w:r>
      <w:r>
        <w:rPr>
          <w:rFonts w:ascii="Times New Roman" w:cs="Times New Roman" w:eastAsia="Times New Roman" w:hAnsi="Times New Roman"/>
          <w:sz w:val="22"/>
          <w:szCs w:val="22"/>
          <w:color w:val="auto"/>
        </w:rPr>
        <w:t>” means, for purposes of any calculation, the rate per annum equal to (a) Daily Compounded CORRA for such calculation plus (b) the Daily Compounded CORRA Adjustment; provided, that to the extent if Adjusted Daily Compounded CORRA as so determined shall be less than the Floor, then Adjusted Daily Compounded CORRA shall be deemed to be the Floor.</w:t>
      </w:r>
    </w:p>
    <w:p>
      <w:pPr>
        <w:spacing w:after="0" w:line="103" w:lineRule="exact"/>
        <w:rPr>
          <w:sz w:val="20"/>
          <w:szCs w:val="20"/>
          <w:color w:val="auto"/>
        </w:rPr>
      </w:pPr>
    </w:p>
    <w:p>
      <w:pPr>
        <w:jc w:val="both"/>
        <w:ind w:left="120" w:right="160" w:firstLine="647"/>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Available Tenor</w:t>
      </w:r>
      <w:r>
        <w:rPr>
          <w:rFonts w:ascii="Times New Roman" w:cs="Times New Roman" w:eastAsia="Times New Roman" w:hAnsi="Times New Roman"/>
          <w:sz w:val="21"/>
          <w:szCs w:val="21"/>
          <w:color w:val="auto"/>
        </w:rPr>
        <w:t>” means, as of any date of determination and with respect to the then-current Canadian Benchmark, as applicable, (x) if such Canadian Benchmark is a term rate, any tenor for such Canadian Benchmark (or component thereof) that is or may be used for determining the length of an interest period pursuant to this Agreement or (y) otherwise, any payment period for interest calculated with reference to such Canadian Benchmark (or component thereof) that is or may be used for determining any frequency of making payments of interest calculated with reference to such Canadian Benchmark pursuant to this Agreement, in each case, as of such date and not including, for the avoidance of doubt, any tenor for such Canadian Benchmark that is then-removed from the definition of “Interest Period” pursuant to Section 2.27(d).</w:t>
      </w:r>
    </w:p>
    <w:p>
      <w:pPr>
        <w:spacing w:after="0" w:line="80" w:lineRule="exact"/>
        <w:rPr>
          <w:sz w:val="20"/>
          <w:szCs w:val="20"/>
          <w:color w:val="auto"/>
        </w:rPr>
      </w:pPr>
    </w:p>
    <w:p>
      <w:pPr>
        <w:jc w:val="both"/>
        <w:ind w:left="120" w:right="160"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Benchmark</w:t>
      </w:r>
      <w:r>
        <w:rPr>
          <w:rFonts w:ascii="Times New Roman" w:cs="Times New Roman" w:eastAsia="Times New Roman" w:hAnsi="Times New Roman"/>
          <w:sz w:val="22"/>
          <w:szCs w:val="22"/>
          <w:color w:val="auto"/>
        </w:rPr>
        <w:t>” means, initially, the Term CORRA Reference Rate; provided that if a Canadian Benchmark Transition Event has occurred with respect to the Term</w:t>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53" w:name="page154"/>
    <w:bookmarkEnd w:id="153"/>
    <w:p>
      <w:pPr>
        <w:spacing w:after="0" w:line="104" w:lineRule="exact"/>
        <w:rPr>
          <w:sz w:val="20"/>
          <w:szCs w:val="20"/>
          <w:color w:val="auto"/>
        </w:rPr>
      </w:pPr>
    </w:p>
    <w:p>
      <w:pPr>
        <w:jc w:val="both"/>
        <w:ind w:left="120"/>
        <w:spacing w:after="0" w:line="276" w:lineRule="auto"/>
        <w:rPr>
          <w:sz w:val="20"/>
          <w:szCs w:val="20"/>
          <w:color w:val="auto"/>
        </w:rPr>
      </w:pPr>
      <w:r>
        <w:rPr>
          <w:rFonts w:ascii="Times New Roman" w:cs="Times New Roman" w:eastAsia="Times New Roman" w:hAnsi="Times New Roman"/>
          <w:sz w:val="22"/>
          <w:szCs w:val="22"/>
          <w:color w:val="auto"/>
        </w:rPr>
        <w:t>CORRA Reference Rate, Daily Compounded CORRA, or the then-current Canadian Benchmark, then “Canadian Benchmark” means the applicable Canadian Benchmark Replacement to the extent that such Canadian Benchmark Replacement has replaced such prior benchmark rate pursuant to Section 2.27(a).</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Benchmark Replacement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means, with respect to any Canadian Benchmark Transition Event:</w:t>
      </w:r>
    </w:p>
    <w:p>
      <w:pPr>
        <w:spacing w:after="0" w:line="46" w:lineRule="exact"/>
        <w:rPr>
          <w:sz w:val="20"/>
          <w:szCs w:val="20"/>
          <w:color w:val="auto"/>
        </w:rPr>
      </w:pPr>
    </w:p>
    <w:p>
      <w:pPr>
        <w:ind w:left="1740" w:right="20" w:hanging="330"/>
        <w:spacing w:after="0" w:line="261" w:lineRule="auto"/>
        <w:tabs>
          <w:tab w:leader="none" w:pos="185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where a Canadian Benchmark Transition Event has occurred with respect to the Term CORRA Reference Rate, Daily Compounded CORRA; and</w:t>
      </w:r>
    </w:p>
    <w:p>
      <w:pPr>
        <w:spacing w:after="0" w:line="100" w:lineRule="exact"/>
        <w:rPr>
          <w:rFonts w:ascii="Times New Roman" w:cs="Times New Roman" w:eastAsia="Times New Roman" w:hAnsi="Times New Roman"/>
          <w:sz w:val="20"/>
          <w:szCs w:val="20"/>
          <w:color w:val="auto"/>
        </w:rPr>
      </w:pPr>
    </w:p>
    <w:p>
      <w:pPr>
        <w:jc w:val="both"/>
        <w:ind w:left="1740" w:hanging="329"/>
        <w:spacing w:after="0" w:line="258" w:lineRule="auto"/>
        <w:tabs>
          <w:tab w:leader="none" w:pos="185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where a Canadian Benchmark Transition Event has occurred with respect to a Canadian Benchmark other than the Term CORRA Reference Rate, the sum of: (i) the alternate benchmark rate that has been selected by the Canadian Administrative Agent and the Borrowers giving due consideration to (A) any selection or recommendation of a replacement benchmark rate or the mechanism for determining such a rate by the Relevant Canadian Governmental Body or (B) any evolving or then-prevailing market convention for determining a benchmark rate as a replacement to the then-current Canadian Benchmark for Canadian Dollar-denominated syndicated credit facilities and (ii) the related Canadian Benchmark Replacement Adjustment;</w:t>
      </w:r>
    </w:p>
    <w:p>
      <w:pPr>
        <w:spacing w:after="0" w:line="10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Canadian Benchmark Replacement as determined pursuant to clause (a) or (b) above would be less than the Floor, the Canadian Benchmark Replacement will be deemed to be the Floor for the purposes of this Agreement and the other Loan Documents.</w:t>
      </w:r>
    </w:p>
    <w:p>
      <w:pPr>
        <w:spacing w:after="0" w:line="67" w:lineRule="exact"/>
        <w:rPr>
          <w:sz w:val="20"/>
          <w:szCs w:val="20"/>
          <w:color w:val="auto"/>
        </w:rPr>
      </w:pPr>
    </w:p>
    <w:p>
      <w:pPr>
        <w:jc w:val="both"/>
        <w:ind w:left="120" w:firstLine="647"/>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Benchmark Replacement Adjustment</w:t>
      </w:r>
      <w:r>
        <w:rPr>
          <w:rFonts w:ascii="Times New Roman" w:cs="Times New Roman" w:eastAsia="Times New Roman" w:hAnsi="Times New Roman"/>
          <w:sz w:val="22"/>
          <w:szCs w:val="22"/>
          <w:color w:val="auto"/>
        </w:rPr>
        <w:t>” means, with respect to any replacement of the then-current Canadian Benchmark with an Unadjusted Canadian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Canadian Benchmark with the applicable Unadjusted Canadian Benchmark Replacement by the Relevant Canadian Governmental Body or (b) any evolving or then-prevailing market convention for determining a spread adjustment, or method for calculating or determining such spread adjustment, for the replacement of such Canadian Benchmark with the applicable Unadjusted Canadian Benchmark Replacement for Canadian Dollar-denominated syndicated credit facilities at such time.</w:t>
      </w:r>
    </w:p>
    <w:p>
      <w:pPr>
        <w:spacing w:after="0" w:line="84" w:lineRule="exact"/>
        <w:rPr>
          <w:sz w:val="20"/>
          <w:szCs w:val="20"/>
          <w:color w:val="auto"/>
        </w:rPr>
      </w:pPr>
    </w:p>
    <w:p>
      <w:pPr>
        <w:jc w:val="both"/>
        <w:ind w:left="120" w:firstLine="647"/>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 Replacement Date</w:t>
      </w:r>
      <w:r>
        <w:rPr>
          <w:rFonts w:ascii="Times New Roman" w:cs="Times New Roman" w:eastAsia="Times New Roman" w:hAnsi="Times New Roman"/>
          <w:sz w:val="21"/>
          <w:szCs w:val="21"/>
          <w:color w:val="auto"/>
        </w:rPr>
        <w:t>” means a date and time determined by the Canadian Administrative Agent, which date shall be no later than the earliest to occur of the following events with respect to the then-current Canadian Benchmark: (a) in the case of clause (a) or (b) of the definition of “Canadian Benchmark Transition Event,” the later of (i)</w:t>
      </w:r>
    </w:p>
    <w:p>
      <w:pPr>
        <w:spacing w:after="0" w:line="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080"/>
          </w:cols>
          <w:pgMar w:left="320" w:top="1440" w:right="499" w:bottom="1440" w:gutter="0" w:footer="0" w:header="0"/>
        </w:sectPr>
      </w:pPr>
    </w:p>
    <w:bookmarkStart w:id="154" w:name="page155"/>
    <w:bookmarkEnd w:id="154"/>
    <w:p>
      <w:pPr>
        <w:spacing w:after="0" w:line="104" w:lineRule="exact"/>
        <w:rPr>
          <w:sz w:val="20"/>
          <w:szCs w:val="20"/>
          <w:color w:val="auto"/>
        </w:rPr>
      </w:pPr>
    </w:p>
    <w:p>
      <w:pPr>
        <w:jc w:val="both"/>
        <w:ind w:left="120"/>
        <w:spacing w:after="0" w:line="276" w:lineRule="auto"/>
        <w:rPr>
          <w:sz w:val="20"/>
          <w:szCs w:val="20"/>
          <w:color w:val="auto"/>
        </w:rPr>
      </w:pPr>
      <w:r>
        <w:rPr>
          <w:rFonts w:ascii="Times New Roman" w:cs="Times New Roman" w:eastAsia="Times New Roman" w:hAnsi="Times New Roman"/>
          <w:sz w:val="21"/>
          <w:szCs w:val="21"/>
          <w:color w:val="auto"/>
        </w:rPr>
        <w:t>the date of the public statement or publication of information referenced therein and (ii) the date on which the administrator of such Canadian Benchmark (or the published component used in the calculation thereof) permanently or indefinitely ceases to provide all Canadian Available Tenors of such Canadian Benchmark (or such component thereof) or (b) in the case of clause</w:t>
      </w:r>
    </w:p>
    <w:p>
      <w:pPr>
        <w:spacing w:after="0" w:line="3" w:lineRule="exact"/>
        <w:rPr>
          <w:sz w:val="20"/>
          <w:szCs w:val="20"/>
          <w:color w:val="auto"/>
        </w:rPr>
      </w:pPr>
    </w:p>
    <w:p>
      <w:pPr>
        <w:jc w:val="both"/>
        <w:ind w:left="120" w:hanging="4"/>
        <w:spacing w:after="0" w:line="259" w:lineRule="auto"/>
        <w:tabs>
          <w:tab w:leader="none" w:pos="4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“Canadian Benchmark Transition Event,” the first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Available Tenor of such Canadian Benchmark (or such component thereof) continues to be provided on such date. For the avoidance of doubt, the “Canadian Benchmark Replacement Date” will be deemed to have occurred in the case of clause (a) or (b) above with respect to any Canadian Benchmark upon the occurrence of the applicable event or events set forth therein with respect to all then-current Canadian Available Tenors of such Canadian Benchmark (or the published component used in the calculation thereof).</w:t>
      </w:r>
    </w:p>
    <w:p>
      <w:pPr>
        <w:spacing w:after="0" w:line="89" w:lineRule="exact"/>
        <w:rPr>
          <w:sz w:val="20"/>
          <w:szCs w:val="20"/>
          <w:color w:val="auto"/>
        </w:rPr>
      </w:pPr>
    </w:p>
    <w:p>
      <w:pPr>
        <w:jc w:val="both"/>
        <w:ind w:left="120" w:right="20" w:firstLine="73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 Transition Event</w:t>
      </w:r>
      <w:r>
        <w:rPr>
          <w:rFonts w:ascii="Times New Roman" w:cs="Times New Roman" w:eastAsia="Times New Roman" w:hAnsi="Times New Roman"/>
          <w:sz w:val="21"/>
          <w:szCs w:val="21"/>
          <w:color w:val="auto"/>
        </w:rPr>
        <w:t>” the occurrence of one or more of the following events with respect to the then-current Canadian Benchmark: (a) a public statement or publication of information by or on behalf of the administrator of such Canadian Benchmark (or the published component used in the calculation thereof) announcing that such administrator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(b) a public statement or publication of information by the regulatory supervisor for the administrator of such Canadian Benchmark (or the published component used in the calculation thereof), the Bank of Canada, an insolvency official with jurisdiction over the administrator for such Canadian Benchmark (or such component), a resolution authority with jurisdiction over the administrator for such Canadian Benchmark (or such component) or a court or an entity with similar insolvency or resolution authority over the administrator for such Canadian Benchmark (or such component), which states that the administrator of such Canadian Benchmark (or such component)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or (c) a public statement or publication of information by the regulatory supervisor for the administrator of such Canadian Benchmark (or the published component used in the calculation thereof) announcing that all Canadian Available Tenors of such Canadian Benchmark (or such component thereof) are not, or as of a specified future date will not be, representative. For the avoidance of doubt, a “Canadian Benchmark Transition Event” will be deemed to have occurred with respect to any Canadian Benchmark if a public statement or publication of</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080"/>
          </w:cols>
          <w:pgMar w:left="320" w:top="1440" w:right="499" w:bottom="1440" w:gutter="0" w:footer="0" w:header="0"/>
        </w:sectPr>
      </w:pPr>
    </w:p>
    <w:bookmarkStart w:id="155" w:name="page156"/>
    <w:bookmarkEnd w:id="155"/>
    <w:p>
      <w:pPr>
        <w:spacing w:after="0" w:line="90" w:lineRule="exact"/>
        <w:rPr>
          <w:sz w:val="20"/>
          <w:szCs w:val="20"/>
          <w:color w:val="auto"/>
        </w:rPr>
      </w:pPr>
    </w:p>
    <w:p>
      <w:pPr>
        <w:jc w:val="both"/>
        <w:ind w:left="120" w:right="20"/>
        <w:spacing w:after="0" w:line="285" w:lineRule="auto"/>
        <w:rPr>
          <w:sz w:val="20"/>
          <w:szCs w:val="20"/>
          <w:color w:val="auto"/>
        </w:rPr>
      </w:pPr>
      <w:r>
        <w:rPr>
          <w:rFonts w:ascii="Times New Roman" w:cs="Times New Roman" w:eastAsia="Times New Roman" w:hAnsi="Times New Roman"/>
          <w:sz w:val="22"/>
          <w:szCs w:val="22"/>
          <w:color w:val="auto"/>
        </w:rPr>
        <w:t>information set forth above has occurred with respect to each then-current Canadian Available Tenor of such Canadian Benchmark (or the published component used in the calculation thereof).</w:t>
      </w:r>
    </w:p>
    <w:p>
      <w:pPr>
        <w:spacing w:after="0" w:line="1" w:lineRule="exact"/>
        <w:rPr>
          <w:sz w:val="20"/>
          <w:szCs w:val="20"/>
          <w:color w:val="auto"/>
        </w:rPr>
      </w:pPr>
    </w:p>
    <w:p>
      <w:pPr>
        <w:jc w:val="both"/>
        <w:ind w:left="120" w:firstLine="647"/>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 Unavailability Period</w:t>
      </w:r>
      <w:r>
        <w:rPr>
          <w:rFonts w:ascii="Times New Roman" w:cs="Times New Roman" w:eastAsia="Times New Roman" w:hAnsi="Times New Roman"/>
          <w:sz w:val="21"/>
          <w:szCs w:val="21"/>
          <w:color w:val="auto"/>
        </w:rPr>
        <w:t>” means, the period (if any) (a) beginning at the time that a Canadian Benchmark Replacement Date has occurred if, at such time, no Canadian Benchmark Replacement has replaced the then-current Canadian Benchmark for all purposes hereunder and under any Loan Document in accordance with Section 2.27 and</w:t>
      </w:r>
    </w:p>
    <w:p>
      <w:pPr>
        <w:spacing w:after="0" w:line="2" w:lineRule="exact"/>
        <w:rPr>
          <w:sz w:val="20"/>
          <w:szCs w:val="20"/>
          <w:color w:val="auto"/>
        </w:rPr>
      </w:pPr>
    </w:p>
    <w:p>
      <w:pPr>
        <w:ind w:left="120" w:hanging="4"/>
        <w:spacing w:after="0" w:line="278" w:lineRule="auto"/>
        <w:tabs>
          <w:tab w:leader="none" w:pos="45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at the time that a Canadian Benchmark Replacement has replaced the then-current Canadian Benchmark for all purposes hereunder and under any Loan Document in accordance with Section 2.27.</w:t>
      </w:r>
    </w:p>
    <w:p>
      <w:pPr>
        <w:spacing w:after="0" w:line="2" w:lineRule="exact"/>
        <w:rPr>
          <w:sz w:val="20"/>
          <w:szCs w:val="20"/>
          <w:color w:val="auto"/>
        </w:rPr>
      </w:pPr>
    </w:p>
    <w:p>
      <w:pPr>
        <w:jc w:val="both"/>
        <w:ind w:left="120" w:firstLine="647"/>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Conforming Changes</w:t>
      </w:r>
      <w:r>
        <w:rPr>
          <w:rFonts w:ascii="Times New Roman" w:cs="Times New Roman" w:eastAsia="Times New Roman" w:hAnsi="Times New Roman"/>
          <w:sz w:val="22"/>
          <w:szCs w:val="22"/>
          <w:color w:val="auto"/>
        </w:rPr>
        <w:t>” means, with respect to the use or administration of a Canadian Benchmark or the use, administration, adoption or implementation of any Canadian Benchmark Replacement, any technical, administrative or operational changes (including changes to the definition of “Canadian Prime Rate,”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Canadian Administrative Agent decides may be appropriate to reflect the adoption and implementation of any such rate or to permit the use and administration thereof by the Canadian Administrative Agent in a manner substantially consistent with market practice (or, if the Administrative Agent decides that adoption of any portion of such market practice is not administratively feasible or if the Canadian Administrative Agent determines that no market practice for the administration of any such rate exists, in such other manner of administration as the Canadian Administrative Agent decides is reasonably necessary in connection with the administration of this Agreement and the other Loan Documents).</w:t>
      </w:r>
    </w:p>
    <w:p>
      <w:pPr>
        <w:spacing w:after="0" w:line="28" w:lineRule="exact"/>
        <w:rPr>
          <w:sz w:val="20"/>
          <w:szCs w:val="20"/>
          <w:color w:val="auto"/>
        </w:rPr>
      </w:pPr>
    </w:p>
    <w:p>
      <w:pPr>
        <w:jc w:val="both"/>
        <w:ind w:left="120" w:firstLine="64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Daily Compounded CORRA</w:t>
      </w:r>
      <w:r>
        <w:rPr>
          <w:rFonts w:ascii="Times New Roman" w:cs="Times New Roman" w:eastAsia="Times New Roman" w:hAnsi="Times New Roman"/>
          <w:sz w:val="21"/>
          <w:szCs w:val="21"/>
          <w:color w:val="auto"/>
        </w:rPr>
        <w:t>” means, for any day, CORRA with interest accruing on a compounded daily basis, with the methodology and conventions for this rate (which will include compounding in arrears with a lookback of five Business Days) being established by the Canadian Administrative Agent in accordance with the methodology and conventions for this rate selected or recommended by the Relevant Canadian Governmental Body for determining compounded CORRA for business loans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provided that if the Canadian Administrative Agent decides that any such convention is not administratively feasible for the Canadian Administrative Agent, then the Canadian Administrative Agent may establish another convention in its reasonable discretion; and provided that if the administrator has not provided or published CORRA and a Canadian Benchmark Replacement Date with respect to CORRA has not occurred, then, in respect of any day for which CORRA is required, references to CORRA will be deemed to be references to the last provided or published CORRA.</w:t>
      </w:r>
    </w:p>
    <w:p>
      <w:pPr>
        <w:spacing w:after="0" w:line="21" w:lineRule="exact"/>
        <w:rPr>
          <w:sz w:val="20"/>
          <w:szCs w:val="20"/>
          <w:color w:val="auto"/>
        </w:rPr>
      </w:pPr>
    </w:p>
    <w:p>
      <w:pPr>
        <w:jc w:val="both"/>
        <w:ind w:left="120" w:firstLine="647"/>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Daily Compounded CORRA Adjustment</w:t>
      </w:r>
      <w:r>
        <w:rPr>
          <w:rFonts w:ascii="Times New Roman" w:cs="Times New Roman" w:eastAsia="Times New Roman" w:hAnsi="Times New Roman"/>
          <w:sz w:val="22"/>
          <w:szCs w:val="22"/>
          <w:color w:val="auto"/>
        </w:rPr>
        <w:t>” means, with respect to Daily Compounded CORRA, for an Interest Period of a duration of (a) one-month, a percentage</w:t>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080"/>
          </w:cols>
          <w:pgMar w:left="320" w:top="1440" w:right="499" w:bottom="1440" w:gutter="0" w:footer="0" w:header="0"/>
        </w:sectPr>
      </w:pPr>
    </w:p>
    <w:bookmarkStart w:id="156" w:name="page157"/>
    <w:bookmarkEnd w:id="156"/>
    <w:p>
      <w:pPr>
        <w:spacing w:after="0" w:line="36" w:lineRule="exact"/>
        <w:rPr>
          <w:sz w:val="20"/>
          <w:szCs w:val="20"/>
          <w:color w:val="auto"/>
        </w:rPr>
      </w:pPr>
    </w:p>
    <w:p>
      <w:pPr>
        <w:ind w:left="120" w:right="160"/>
        <w:spacing w:after="0" w:line="285" w:lineRule="auto"/>
        <w:rPr>
          <w:sz w:val="20"/>
          <w:szCs w:val="20"/>
          <w:color w:val="auto"/>
        </w:rPr>
      </w:pPr>
      <w:r>
        <w:rPr>
          <w:rFonts w:ascii="Times New Roman" w:cs="Times New Roman" w:eastAsia="Times New Roman" w:hAnsi="Times New Roman"/>
          <w:sz w:val="22"/>
          <w:szCs w:val="22"/>
          <w:color w:val="auto"/>
        </w:rPr>
        <w:t>equal to 0.29547% per annum (29.547 basis points), and (b) three-months, a percentage equal to 0.32138% per annum (32.138 basis points).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Daily Compounded CORRA Loan</w:t>
      </w:r>
      <w:r>
        <w:rPr>
          <w:rFonts w:ascii="Times New Roman" w:cs="Times New Roman" w:eastAsia="Times New Roman" w:hAnsi="Times New Roman"/>
          <w:sz w:val="22"/>
          <w:szCs w:val="22"/>
          <w:color w:val="auto"/>
        </w:rPr>
        <w:t>” means a Loan that bears interest at a rate based on Daily Compounded CORRA.</w:t>
      </w:r>
    </w:p>
    <w:p>
      <w:pPr>
        <w:spacing w:after="0" w:line="125" w:lineRule="exact"/>
        <w:rPr>
          <w:sz w:val="20"/>
          <w:szCs w:val="20"/>
          <w:color w:val="auto"/>
        </w:rPr>
      </w:pPr>
    </w:p>
    <w:p>
      <w:pPr>
        <w:ind w:left="120" w:right="160" w:firstLine="647"/>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Relevant Canadian Governmental Body</w:t>
      </w:r>
      <w:r>
        <w:rPr>
          <w:rFonts w:ascii="Times New Roman" w:cs="Times New Roman" w:eastAsia="Times New Roman" w:hAnsi="Times New Roman"/>
          <w:sz w:val="22"/>
          <w:szCs w:val="22"/>
          <w:color w:val="auto"/>
        </w:rPr>
        <w:t>” means the Bank of Canada, or a committee officially endorsed or convened by the Bank of Canada, or any successor thereto.</w:t>
      </w:r>
    </w:p>
    <w:p>
      <w:pPr>
        <w:spacing w:after="0" w:line="53" w:lineRule="exact"/>
        <w:rPr>
          <w:sz w:val="20"/>
          <w:szCs w:val="20"/>
          <w:color w:val="auto"/>
        </w:rPr>
      </w:pPr>
    </w:p>
    <w:p>
      <w:pPr>
        <w:ind w:left="120" w:right="180" w:firstLine="647"/>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Unadjusted Canadian Benchmark Replacement</w:t>
      </w:r>
      <w:r>
        <w:rPr>
          <w:rFonts w:ascii="Times New Roman" w:cs="Times New Roman" w:eastAsia="Times New Roman" w:hAnsi="Times New Roman"/>
          <w:sz w:val="22"/>
          <w:szCs w:val="22"/>
          <w:color w:val="auto"/>
        </w:rPr>
        <w:t>” means the applicable Canadian Benchmark Replacement excluding the related Canadian Benchmark Replacement Adjustment.</w:t>
      </w:r>
    </w:p>
    <w:p>
      <w:pPr>
        <w:spacing w:after="0" w:line="1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00" w:lineRule="exact"/>
        <w:rPr>
          <w:sz w:val="20"/>
          <w:szCs w:val="20"/>
          <w:color w:val="auto"/>
        </w:rPr>
      </w:pPr>
    </w:p>
    <w:p>
      <w:pPr>
        <w:spacing w:after="0" w:line="3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Borrower represents and warrants to the Agents, the Issuing Banks and each of the Lenders that:</w:t>
      </w:r>
    </w:p>
    <w:p>
      <w:pPr>
        <w:spacing w:after="0" w:line="2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3.01</w:t>
      </w:r>
      <w:r>
        <w:rPr>
          <w:sz w:val="20"/>
          <w:szCs w:val="20"/>
          <w:color w:val="auto"/>
        </w:rPr>
        <w:tab/>
      </w:r>
      <w:r>
        <w:rPr>
          <w:rFonts w:ascii="Times New Roman" w:cs="Times New Roman" w:eastAsia="Times New Roman" w:hAnsi="Times New Roman"/>
          <w:sz w:val="21"/>
          <w:szCs w:val="21"/>
          <w:b w:val="1"/>
          <w:bCs w:val="1"/>
          <w:i w:val="1"/>
          <w:iCs w:val="1"/>
          <w:color w:val="auto"/>
        </w:rPr>
        <w:t>Organization; Powers</w:t>
      </w:r>
    </w:p>
    <w:p>
      <w:pPr>
        <w:spacing w:after="0" w:line="226" w:lineRule="exact"/>
        <w:rPr>
          <w:sz w:val="20"/>
          <w:szCs w:val="20"/>
          <w:color w:val="auto"/>
        </w:rPr>
      </w:pPr>
    </w:p>
    <w:p>
      <w:pPr>
        <w:jc w:val="both"/>
        <w:ind w:firstLine="656"/>
        <w:spacing w:after="0" w:line="250" w:lineRule="auto"/>
        <w:tabs>
          <w:tab w:leader="none" w:pos="7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each of its respective Subsidiaries (a) is duly organized, validly existing and in good 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each other agreement or instrument contemplated hereby or thereby to which it is or will be a party and, in the case of the Borrowers, to borrow hereunder.</w:t>
      </w:r>
    </w:p>
    <w:p>
      <w:pPr>
        <w:spacing w:after="0" w:line="17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3.02</w:t>
      </w:r>
      <w:r>
        <w:rPr>
          <w:sz w:val="20"/>
          <w:szCs w:val="20"/>
          <w:color w:val="auto"/>
        </w:rPr>
        <w:tab/>
      </w:r>
      <w:r>
        <w:rPr>
          <w:rFonts w:ascii="Times New Roman" w:cs="Times New Roman" w:eastAsia="Times New Roman" w:hAnsi="Times New Roman"/>
          <w:sz w:val="21"/>
          <w:szCs w:val="21"/>
          <w:b w:val="1"/>
          <w:bCs w:val="1"/>
          <w:i w:val="1"/>
          <w:iCs w:val="1"/>
          <w:color w:val="auto"/>
        </w:rPr>
        <w:t>Authorization</w:t>
      </w:r>
    </w:p>
    <w:p>
      <w:pPr>
        <w:spacing w:after="0" w:line="226" w:lineRule="exact"/>
        <w:rPr>
          <w:sz w:val="20"/>
          <w:szCs w:val="20"/>
          <w:color w:val="auto"/>
        </w:rPr>
      </w:pPr>
    </w:p>
    <w:p>
      <w:pPr>
        <w:jc w:val="both"/>
        <w:ind w:firstLine="656"/>
        <w:spacing w:after="0" w:line="255" w:lineRule="auto"/>
        <w:tabs>
          <w:tab w:leader="none" w:pos="75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Loan Party of each of the Loan Documents to which it is a party and the consummation of the Transactions (i) have been (or will have been on, prior to or substantially contemporaneously with the Closing Date) duly authorized by all requisite organizational action on the part of such Loan Party and (ii) do not and will not</w:t>
      </w:r>
    </w:p>
    <w:p>
      <w:pPr>
        <w:ind w:left="320" w:hanging="312"/>
        <w:spacing w:after="0"/>
        <w:tabs>
          <w:tab w:leader="none" w:pos="32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 (A) any provision of law, statute, rule or regulation, (B) the terms of the organizational documents of any Loan Party,</w:t>
      </w:r>
    </w:p>
    <w:p>
      <w:pPr>
        <w:spacing w:after="0" w:line="15"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any order, injunction, writ or decree of any Governmental Authority or any binding and enforceable arbitral award to which such Loan Party or its property is subject, or (D) 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w:t>
      </w:r>
    </w:p>
    <w:p>
      <w:pPr>
        <w:spacing w:after="0" w:line="3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40" w:right="339" w:bottom="1440" w:gutter="0" w:footer="0" w:header="0"/>
        </w:sectPr>
      </w:pPr>
    </w:p>
    <w:bookmarkStart w:id="157" w:name="page158"/>
    <w:bookmarkEnd w:id="157"/>
    <w:p>
      <w:pPr>
        <w:jc w:val="both"/>
        <w:spacing w:after="0" w:line="275" w:lineRule="auto"/>
        <w:rPr>
          <w:sz w:val="20"/>
          <w:szCs w:val="20"/>
          <w:color w:val="auto"/>
        </w:rPr>
      </w:pPr>
      <w:r>
        <w:rPr>
          <w:rFonts w:ascii="Times New Roman" w:cs="Times New Roman" w:eastAsia="Times New Roman" w:hAnsi="Times New Roman"/>
          <w:sz w:val="21"/>
          <w:szCs w:val="21"/>
          <w:color w:val="auto"/>
        </w:rPr>
        <w:t>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16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3.03</w:t>
      </w:r>
      <w:r>
        <w:rPr>
          <w:sz w:val="20"/>
          <w:szCs w:val="20"/>
          <w:color w:val="auto"/>
        </w:rPr>
        <w:tab/>
      </w:r>
      <w:r>
        <w:rPr>
          <w:rFonts w:ascii="Times New Roman" w:cs="Times New Roman" w:eastAsia="Times New Roman" w:hAnsi="Times New Roman"/>
          <w:sz w:val="21"/>
          <w:szCs w:val="21"/>
          <w:b w:val="1"/>
          <w:bCs w:val="1"/>
          <w:i w:val="1"/>
          <w:iCs w:val="1"/>
          <w:color w:val="auto"/>
        </w:rPr>
        <w:t>Enforceability</w:t>
      </w:r>
    </w:p>
    <w:p>
      <w:pPr>
        <w:spacing w:after="0" w:line="226" w:lineRule="exact"/>
        <w:rPr>
          <w:sz w:val="20"/>
          <w:szCs w:val="20"/>
          <w:color w:val="auto"/>
        </w:rPr>
      </w:pPr>
    </w:p>
    <w:p>
      <w:pPr>
        <w:jc w:val="both"/>
        <w:ind w:firstLine="656"/>
        <w:spacing w:after="0" w:line="250" w:lineRule="auto"/>
        <w:tabs>
          <w:tab w:leader="none" w:pos="78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and each other Loan Document to which any Loan Party is a party, when executed and delivered by such Loan Party, will have been, duly executed and delivered by the Borrowers and 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7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3.04</w:t>
      </w:r>
      <w:r>
        <w:rPr>
          <w:sz w:val="20"/>
          <w:szCs w:val="20"/>
          <w:color w:val="auto"/>
        </w:rPr>
        <w:tab/>
      </w:r>
      <w:r>
        <w:rPr>
          <w:rFonts w:ascii="Times New Roman" w:cs="Times New Roman" w:eastAsia="Times New Roman" w:hAnsi="Times New Roman"/>
          <w:sz w:val="21"/>
          <w:szCs w:val="21"/>
          <w:b w:val="1"/>
          <w:bCs w:val="1"/>
          <w:i w:val="1"/>
          <w:iCs w:val="1"/>
          <w:color w:val="auto"/>
        </w:rPr>
        <w:t>Governmental Approvals</w:t>
      </w:r>
    </w:p>
    <w:p>
      <w:pPr>
        <w:spacing w:after="0" w:line="226" w:lineRule="exact"/>
        <w:rPr>
          <w:sz w:val="20"/>
          <w:szCs w:val="20"/>
          <w:color w:val="auto"/>
        </w:rPr>
      </w:pPr>
    </w:p>
    <w:p>
      <w:pPr>
        <w:jc w:val="both"/>
        <w:ind w:firstLine="656"/>
        <w:spacing w:after="0" w:line="249" w:lineRule="auto"/>
        <w:tabs>
          <w:tab w:leader="none" w:pos="75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No authorization, action, exemption, consent or approval of, registration, notice or filing with or any other action by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any Governmental Authority is necessary or will be required in connection with the Loan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made or obtained and be in full force and effect and (iii) actions by, and notices to or filings with, Governmental Authorities (including, without limitation, the 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17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3.05</w:t>
      </w:r>
      <w:r>
        <w:rPr>
          <w:sz w:val="20"/>
          <w:szCs w:val="20"/>
          <w:color w:val="auto"/>
        </w:rPr>
        <w:tab/>
      </w:r>
      <w:r>
        <w:rPr>
          <w:rFonts w:ascii="Times New Roman" w:cs="Times New Roman" w:eastAsia="Times New Roman" w:hAnsi="Times New Roman"/>
          <w:sz w:val="21"/>
          <w:szCs w:val="21"/>
          <w:b w:val="1"/>
          <w:bCs w:val="1"/>
          <w:i w:val="1"/>
          <w:iCs w:val="1"/>
          <w:color w:val="auto"/>
        </w:rPr>
        <w:t>Financial Statements</w:t>
      </w:r>
    </w:p>
    <w:p>
      <w:pPr>
        <w:spacing w:after="0" w:line="226" w:lineRule="exact"/>
        <w:rPr>
          <w:sz w:val="20"/>
          <w:szCs w:val="20"/>
          <w:color w:val="auto"/>
        </w:rPr>
      </w:pPr>
    </w:p>
    <w:p>
      <w:pPr>
        <w:jc w:val="both"/>
        <w:ind w:firstLine="8"/>
        <w:spacing w:after="0" w:line="250" w:lineRule="auto"/>
        <w:tabs>
          <w:tab w:leader="none" w:pos="175" w:val="left"/>
        </w:tabs>
        <w:numPr>
          <w:ilvl w:val="0"/>
          <w:numId w:val="144"/>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As of the Closing Date, the audited consolidated balance sheets and related consolidated statements of operations, comprehensive income, changes in shareholder equity, and cash flows of the Parent Borrower, as of and for the year ended December 31, 2020 are available on the website of the SEC at http://www.sec.gov or posted on the Internet at http://www.civeo.com. Such financial statements in each case present fairly, in all material respects, the financial condition of the Parent Borrower, as of such date and for such period. Such financial statements and the notes thereto, disclose all material liabilities, direct or contingent, of the Parent Borrower, as applicable, as of the date thereof. Such financial statements were prepared in accordance with GAAP.</w:t>
      </w:r>
    </w:p>
    <w:p>
      <w:pPr>
        <w:spacing w:after="0" w:line="18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3.06</w:t>
      </w:r>
      <w:r>
        <w:rPr>
          <w:sz w:val="20"/>
          <w:szCs w:val="20"/>
          <w:color w:val="auto"/>
        </w:rPr>
        <w:tab/>
      </w:r>
      <w:r>
        <w:rPr>
          <w:rFonts w:ascii="Times New Roman" w:cs="Times New Roman" w:eastAsia="Times New Roman" w:hAnsi="Times New Roman"/>
          <w:sz w:val="21"/>
          <w:szCs w:val="21"/>
          <w:b w:val="1"/>
          <w:bCs w:val="1"/>
          <w:i w:val="1"/>
          <w:iCs w:val="1"/>
          <w:color w:val="auto"/>
        </w:rPr>
        <w:t>No Material Adverse Change</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58" w:name="page159"/>
    <w:bookmarkEnd w:id="158"/>
    <w:p>
      <w:pPr>
        <w:ind w:firstLine="656"/>
        <w:spacing w:after="0" w:line="271" w:lineRule="auto"/>
        <w:tabs>
          <w:tab w:leader="none" w:pos="78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2020, there has been no material adverse effect on the business, assets, operations or condition (financial or otherwise) of the Borrowers and the Subsidiaries, taken as a whole.</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3.07</w:t>
      </w:r>
      <w:r>
        <w:rPr>
          <w:sz w:val="20"/>
          <w:szCs w:val="20"/>
          <w:color w:val="auto"/>
        </w:rPr>
        <w:tab/>
      </w:r>
      <w:r>
        <w:rPr>
          <w:rFonts w:ascii="Times New Roman" w:cs="Times New Roman" w:eastAsia="Times New Roman" w:hAnsi="Times New Roman"/>
          <w:sz w:val="21"/>
          <w:szCs w:val="21"/>
          <w:b w:val="1"/>
          <w:bCs w:val="1"/>
          <w:i w:val="1"/>
          <w:iCs w:val="1"/>
          <w:color w:val="auto"/>
        </w:rPr>
        <w:t>Title to Properties; Possession Under Leases and Licenses</w:t>
      </w:r>
    </w:p>
    <w:p>
      <w:pPr>
        <w:spacing w:after="0" w:line="239" w:lineRule="exact"/>
        <w:rPr>
          <w:sz w:val="20"/>
          <w:szCs w:val="20"/>
          <w:color w:val="auto"/>
        </w:rPr>
      </w:pPr>
    </w:p>
    <w:p>
      <w:pPr>
        <w:jc w:val="both"/>
        <w:ind w:firstLine="1304"/>
        <w:spacing w:after="0" w:line="250" w:lineRule="auto"/>
        <w:tabs>
          <w:tab w:leader="none" w:pos="1762" w:val="left"/>
        </w:tabs>
        <w:numPr>
          <w:ilvl w:val="0"/>
          <w:numId w:val="146"/>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Each of the Borrowers and the Subsidiaries has good and 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 or those registered by the Agents on behalf of the Secured Parties.</w:t>
      </w:r>
    </w:p>
    <w:p>
      <w:pPr>
        <w:spacing w:after="0" w:line="194" w:lineRule="exact"/>
        <w:rPr>
          <w:rFonts w:ascii="Times New Roman" w:cs="Times New Roman" w:eastAsia="Times New Roman" w:hAnsi="Times New Roman"/>
          <w:sz w:val="22"/>
          <w:szCs w:val="22"/>
          <w:u w:val="single" w:color="auto"/>
          <w:color w:val="0000FF"/>
          <w:highlight w:val="lightGray"/>
        </w:rPr>
      </w:pPr>
    </w:p>
    <w:p>
      <w:pPr>
        <w:jc w:val="both"/>
        <w:ind w:firstLine="1304"/>
        <w:spacing w:after="0" w:line="250" w:lineRule="auto"/>
        <w:tabs>
          <w:tab w:leader="none" w:pos="177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 the Subsidiaries enjoys peaceful and undisturbed possession under all leases and licenses where the failure could not reasonably be expected to have a Material Adverse Effect.</w:t>
      </w:r>
    </w:p>
    <w:p>
      <w:pPr>
        <w:spacing w:after="0" w:line="17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3.08</w:t>
      </w:r>
      <w:r>
        <w:rPr>
          <w:sz w:val="20"/>
          <w:szCs w:val="20"/>
          <w:color w:val="auto"/>
        </w:rPr>
        <w:tab/>
      </w:r>
      <w:r>
        <w:rPr>
          <w:rFonts w:ascii="Times New Roman" w:cs="Times New Roman" w:eastAsia="Times New Roman" w:hAnsi="Times New Roman"/>
          <w:sz w:val="21"/>
          <w:szCs w:val="21"/>
          <w:b w:val="1"/>
          <w:bCs w:val="1"/>
          <w:i w:val="1"/>
          <w:iCs w:val="1"/>
          <w:color w:val="auto"/>
        </w:rPr>
        <w:t>Subsidiaries</w:t>
      </w:r>
    </w:p>
    <w:p>
      <w:pPr>
        <w:spacing w:after="0" w:line="239" w:lineRule="exact"/>
        <w:rPr>
          <w:sz w:val="20"/>
          <w:szCs w:val="20"/>
          <w:color w:val="auto"/>
        </w:rPr>
      </w:pPr>
    </w:p>
    <w:p>
      <w:pPr>
        <w:jc w:val="both"/>
        <w:ind w:firstLine="656"/>
        <w:spacing w:after="0" w:line="265" w:lineRule="auto"/>
        <w:tabs>
          <w:tab w:leader="none" w:pos="75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such schedule was most recently delivered, Schedule 3.08 sets forth a list of all Subsidiaries and Special Purpose Business Entities and, as to each such Subsidiary, the jurisdiction of formation, the outstanding Equity Interests therein and the percentage ownership interest of each class of such Equity Interests owned by the Parent Borrower and its Subsidiaries therein. As of the Closing Date, the Equity Interests indicated as owned by the Parent Borrower and its Subsidiaries on Schedule 3.08 are owned by the Borrowers, directly or indirectly, free and clear of all Liens (other than Liens permitted by Section 6.02).</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3.09</w:t>
      </w:r>
      <w:r>
        <w:rPr>
          <w:sz w:val="20"/>
          <w:szCs w:val="20"/>
          <w:color w:val="auto"/>
        </w:rPr>
        <w:tab/>
      </w:r>
      <w:r>
        <w:rPr>
          <w:rFonts w:ascii="Times New Roman" w:cs="Times New Roman" w:eastAsia="Times New Roman" w:hAnsi="Times New Roman"/>
          <w:sz w:val="21"/>
          <w:szCs w:val="21"/>
          <w:b w:val="1"/>
          <w:bCs w:val="1"/>
          <w:i w:val="1"/>
          <w:iCs w:val="1"/>
          <w:color w:val="auto"/>
        </w:rPr>
        <w:t>Litigation; Compliance with Laws</w:t>
      </w:r>
    </w:p>
    <w:p>
      <w:pPr>
        <w:spacing w:after="0" w:line="226" w:lineRule="exact"/>
        <w:rPr>
          <w:sz w:val="20"/>
          <w:szCs w:val="20"/>
          <w:color w:val="auto"/>
        </w:rPr>
      </w:pPr>
    </w:p>
    <w:p>
      <w:pPr>
        <w:jc w:val="both"/>
        <w:ind w:firstLine="1304"/>
        <w:spacing w:after="0" w:line="251" w:lineRule="auto"/>
        <w:tabs>
          <w:tab w:leader="none" w:pos="1784" w:val="left"/>
        </w:tabs>
        <w:numPr>
          <w:ilvl w:val="0"/>
          <w:numId w:val="148"/>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Except as set forth on Schedule 3.09, there are no actions, suits, proceedings, claims or 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81" w:lineRule="exact"/>
        <w:rPr>
          <w:rFonts w:ascii="Times New Roman" w:cs="Times New Roman" w:eastAsia="Times New Roman" w:hAnsi="Times New Roman"/>
          <w:sz w:val="22"/>
          <w:szCs w:val="22"/>
          <w:u w:val="single" w:color="auto"/>
          <w:color w:val="0000FF"/>
          <w:highlight w:val="lightGray"/>
        </w:rPr>
      </w:pPr>
    </w:p>
    <w:p>
      <w:pPr>
        <w:jc w:val="both"/>
        <w:ind w:firstLine="1304"/>
        <w:spacing w:after="0" w:line="257" w:lineRule="auto"/>
        <w:tabs>
          <w:tab w:leader="none" w:pos="183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2020, there has been no adverse change in the status or financial effect on the Parent Borrower and the Subsidiaries of the matters disclosed on Schedule 3.09 that, individually or in the aggregate, has resulted in, or materially increased the likelihood of, a Material Adverse Effect.</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59" w:name="page160"/>
    <w:bookmarkEnd w:id="159"/>
    <w:p>
      <w:pPr>
        <w:jc w:val="both"/>
        <w:ind w:firstLine="1304"/>
        <w:spacing w:after="0" w:line="251" w:lineRule="auto"/>
        <w:tabs>
          <w:tab w:leader="none" w:pos="180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17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3.10</w:t>
      </w:r>
      <w:r>
        <w:rPr>
          <w:sz w:val="20"/>
          <w:szCs w:val="20"/>
          <w:color w:val="auto"/>
        </w:rPr>
        <w:tab/>
      </w:r>
      <w:r>
        <w:rPr>
          <w:rFonts w:ascii="Times New Roman" w:cs="Times New Roman" w:eastAsia="Times New Roman" w:hAnsi="Times New Roman"/>
          <w:sz w:val="21"/>
          <w:szCs w:val="21"/>
          <w:b w:val="1"/>
          <w:bCs w:val="1"/>
          <w:i w:val="1"/>
          <w:iCs w:val="1"/>
          <w:color w:val="auto"/>
        </w:rPr>
        <w:t>Agreements</w:t>
      </w:r>
    </w:p>
    <w:p>
      <w:pPr>
        <w:spacing w:after="0" w:line="226" w:lineRule="exact"/>
        <w:rPr>
          <w:sz w:val="20"/>
          <w:szCs w:val="20"/>
          <w:color w:val="auto"/>
        </w:rPr>
      </w:pPr>
    </w:p>
    <w:p>
      <w:pPr>
        <w:jc w:val="both"/>
        <w:ind w:firstLine="656"/>
        <w:spacing w:after="0" w:line="263" w:lineRule="auto"/>
        <w:tabs>
          <w:tab w:leader="none" w:pos="76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Borrowers or any of the Subsidiaries is in default in any manner under any provision of any indenture or other agreement or instrument, where such default has resulted in, or could, either individually or in the aggregate, reasonably be expected to result in a Material Adverse Effect.</w:t>
      </w:r>
    </w:p>
    <w:p>
      <w:pPr>
        <w:spacing w:after="0" w:line="16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3.11</w:t>
      </w:r>
      <w:r>
        <w:rPr>
          <w:sz w:val="20"/>
          <w:szCs w:val="20"/>
          <w:color w:val="auto"/>
        </w:rPr>
        <w:tab/>
      </w:r>
      <w:r>
        <w:rPr>
          <w:rFonts w:ascii="Times New Roman" w:cs="Times New Roman" w:eastAsia="Times New Roman" w:hAnsi="Times New Roman"/>
          <w:sz w:val="21"/>
          <w:szCs w:val="21"/>
          <w:b w:val="1"/>
          <w:bCs w:val="1"/>
          <w:i w:val="1"/>
          <w:iCs w:val="1"/>
          <w:color w:val="auto"/>
        </w:rPr>
        <w:t>Federal Reserve Regulations</w:t>
      </w:r>
    </w:p>
    <w:p>
      <w:pPr>
        <w:spacing w:after="0" w:line="226" w:lineRule="exact"/>
        <w:rPr>
          <w:sz w:val="20"/>
          <w:szCs w:val="20"/>
          <w:color w:val="auto"/>
        </w:rPr>
      </w:pPr>
    </w:p>
    <w:p>
      <w:pPr>
        <w:ind w:firstLine="1304"/>
        <w:spacing w:after="0" w:line="271" w:lineRule="auto"/>
        <w:tabs>
          <w:tab w:leader="none" w:pos="1784" w:val="left"/>
        </w:tabs>
        <w:numPr>
          <w:ilvl w:val="0"/>
          <w:numId w:val="151"/>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None of the Loan Parties is engaged principally, or as one of its important activities, in the business of extending credit for the purpose of buying or carrying Margin Stock.</w:t>
      </w:r>
    </w:p>
    <w:p>
      <w:pPr>
        <w:spacing w:after="0" w:line="157" w:lineRule="exact"/>
        <w:rPr>
          <w:rFonts w:ascii="Times New Roman" w:cs="Times New Roman" w:eastAsia="Times New Roman" w:hAnsi="Times New Roman"/>
          <w:sz w:val="22"/>
          <w:szCs w:val="22"/>
          <w:u w:val="single" w:color="auto"/>
          <w:color w:val="0000FF"/>
          <w:highlight w:val="lightGray"/>
        </w:rPr>
      </w:pPr>
    </w:p>
    <w:p>
      <w:pPr>
        <w:jc w:val="both"/>
        <w:ind w:firstLine="1304"/>
        <w:spacing w:after="0" w:line="256" w:lineRule="auto"/>
        <w:tabs>
          <w:tab w:leader="none" w:pos="179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any Loan or any Letter of Credit will be used, whether directly or indirectly, and whether immediately, incidentally or ultimately, to purchase or carry Margin Stock or to extend credit to others for purpose of purchasing or carrying Margin Stock or for any other purpose, in each case to the extent that such use of proceeds would result in a violation of, or be inconsistent with, the provisions of the regulations of the Board, including Regulations T, U or X.</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3.12</w:t>
      </w:r>
      <w:r>
        <w:rPr>
          <w:sz w:val="20"/>
          <w:szCs w:val="20"/>
          <w:color w:val="auto"/>
        </w:rPr>
        <w:tab/>
      </w:r>
      <w:r>
        <w:rPr>
          <w:rFonts w:ascii="Times New Roman" w:cs="Times New Roman" w:eastAsia="Times New Roman" w:hAnsi="Times New Roman"/>
          <w:sz w:val="21"/>
          <w:szCs w:val="21"/>
          <w:b w:val="1"/>
          <w:bCs w:val="1"/>
          <w:i w:val="1"/>
          <w:iCs w:val="1"/>
          <w:color w:val="auto"/>
        </w:rPr>
        <w:t>Investment Company Act</w:t>
      </w:r>
    </w:p>
    <w:p>
      <w:pPr>
        <w:spacing w:after="0" w:line="226" w:lineRule="exact"/>
        <w:rPr>
          <w:sz w:val="20"/>
          <w:szCs w:val="20"/>
          <w:color w:val="auto"/>
        </w:rPr>
      </w:pPr>
    </w:p>
    <w:p>
      <w:pPr>
        <w:ind w:firstLine="656"/>
        <w:spacing w:after="0" w:line="284" w:lineRule="auto"/>
        <w:tabs>
          <w:tab w:leader="none" w:pos="7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Parent Borrower nor any Subsidiary is or is required to be registered as an “investment company” as defined in, or subject to regulation under, the Investment Company Act of 1940.</w:t>
      </w:r>
    </w:p>
    <w:p>
      <w:pPr>
        <w:spacing w:after="0" w:line="13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3.13</w:t>
      </w:r>
      <w:r>
        <w:rPr>
          <w:sz w:val="20"/>
          <w:szCs w:val="20"/>
          <w:color w:val="auto"/>
        </w:rPr>
        <w:tab/>
      </w:r>
      <w:r>
        <w:rPr>
          <w:rFonts w:ascii="Times New Roman" w:cs="Times New Roman" w:eastAsia="Times New Roman" w:hAnsi="Times New Roman"/>
          <w:sz w:val="21"/>
          <w:szCs w:val="21"/>
          <w:b w:val="1"/>
          <w:bCs w:val="1"/>
          <w:i w:val="1"/>
          <w:iCs w:val="1"/>
          <w:color w:val="auto"/>
        </w:rPr>
        <w:t>Use of Proceeds</w:t>
      </w:r>
    </w:p>
    <w:p>
      <w:pPr>
        <w:spacing w:after="0" w:line="226" w:lineRule="exact"/>
        <w:rPr>
          <w:sz w:val="20"/>
          <w:szCs w:val="20"/>
          <w:color w:val="auto"/>
        </w:rPr>
      </w:pPr>
    </w:p>
    <w:p>
      <w:pPr>
        <w:ind w:right="20" w:firstLine="656"/>
        <w:spacing w:after="0" w:line="271" w:lineRule="auto"/>
        <w:tabs>
          <w:tab w:leader="none" w:pos="75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will use the proceeds of the Loans and will request the issuance of Letters of Credit for general corporate purposes of the Parent Borrower and its Subsidiaries.</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3.14</w:t>
      </w:r>
      <w:r>
        <w:rPr>
          <w:sz w:val="20"/>
          <w:szCs w:val="20"/>
          <w:color w:val="auto"/>
        </w:rPr>
        <w:tab/>
      </w:r>
      <w:r>
        <w:rPr>
          <w:rFonts w:ascii="Times New Roman" w:cs="Times New Roman" w:eastAsia="Times New Roman" w:hAnsi="Times New Roman"/>
          <w:sz w:val="19"/>
          <w:szCs w:val="19"/>
          <w:b w:val="1"/>
          <w:bCs w:val="1"/>
          <w:i w:val="1"/>
          <w:iCs w:val="1"/>
          <w:color w:val="auto"/>
        </w:rPr>
        <w:t>Tax</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Matters</w:t>
      </w:r>
      <w:r>
        <w:rPr>
          <w:rFonts w:ascii="Times New Roman" w:cs="Times New Roman" w:eastAsia="Times New Roman" w:hAnsi="Times New Roman"/>
          <w:sz w:val="22"/>
          <w:szCs w:val="22"/>
          <w:color w:val="auto"/>
        </w:rPr>
        <w:t>. Each of the Borrowers and the Subsidiaries has filed or caused to be filed all federal, state, provincial, local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foreign 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or other applicable accounting principles. There</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0" w:name="page161"/>
    <w:bookmarkEnd w:id="160"/>
    <w:p>
      <w:pPr>
        <w:spacing w:after="0" w:line="271" w:lineRule="auto"/>
        <w:rPr>
          <w:sz w:val="20"/>
          <w:szCs w:val="20"/>
          <w:color w:val="auto"/>
        </w:rPr>
      </w:pPr>
      <w:r>
        <w:rPr>
          <w:rFonts w:ascii="Times New Roman" w:cs="Times New Roman" w:eastAsia="Times New Roman" w:hAnsi="Times New Roman"/>
          <w:sz w:val="22"/>
          <w:szCs w:val="22"/>
          <w:color w:val="auto"/>
        </w:rPr>
        <w:t>is no proposed tax assessment against any Borrower or any Subsidiary thereof that could reasonably be expected to have a Material Adverse Effect. None of the Material Subsidiaries on the Closing Date will be a U.S. Owned Subsidiary.</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3.15</w:t>
      </w:r>
      <w:r>
        <w:rPr>
          <w:sz w:val="20"/>
          <w:szCs w:val="20"/>
          <w:color w:val="auto"/>
        </w:rPr>
        <w:tab/>
      </w:r>
      <w:r>
        <w:rPr>
          <w:rFonts w:ascii="Times New Roman" w:cs="Times New Roman" w:eastAsia="Times New Roman" w:hAnsi="Times New Roman"/>
          <w:sz w:val="21"/>
          <w:szCs w:val="21"/>
          <w:b w:val="1"/>
          <w:bCs w:val="1"/>
          <w:i w:val="1"/>
          <w:iCs w:val="1"/>
          <w:color w:val="auto"/>
        </w:rPr>
        <w:t>No Material Misstatements</w:t>
      </w:r>
    </w:p>
    <w:p>
      <w:pPr>
        <w:spacing w:after="0" w:line="239" w:lineRule="exact"/>
        <w:rPr>
          <w:sz w:val="20"/>
          <w:szCs w:val="20"/>
          <w:color w:val="auto"/>
        </w:rPr>
      </w:pPr>
    </w:p>
    <w:p>
      <w:pPr>
        <w:jc w:val="both"/>
        <w:ind w:firstLine="656"/>
        <w:spacing w:after="0" w:line="263" w:lineRule="auto"/>
        <w:tabs>
          <w:tab w:leader="none" w:pos="75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information, report, financial statement, exhibit or schedule furnished by or on behalf of the Parent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spacing w:after="0" w:line="16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3.16</w:t>
      </w:r>
      <w:r>
        <w:rPr>
          <w:sz w:val="20"/>
          <w:szCs w:val="20"/>
          <w:color w:val="auto"/>
        </w:rPr>
        <w:tab/>
      </w:r>
      <w:r>
        <w:rPr>
          <w:rFonts w:ascii="Times New Roman" w:cs="Times New Roman" w:eastAsia="Times New Roman" w:hAnsi="Times New Roman"/>
          <w:sz w:val="21"/>
          <w:szCs w:val="21"/>
          <w:b w:val="1"/>
          <w:bCs w:val="1"/>
          <w:i w:val="1"/>
          <w:iCs w:val="1"/>
          <w:color w:val="auto"/>
        </w:rPr>
        <w:t>Employee Benefit Plans</w:t>
      </w:r>
    </w:p>
    <w:p>
      <w:pPr>
        <w:spacing w:after="0" w:line="226" w:lineRule="exact"/>
        <w:rPr>
          <w:sz w:val="20"/>
          <w:szCs w:val="20"/>
          <w:color w:val="auto"/>
        </w:rPr>
      </w:pPr>
    </w:p>
    <w:p>
      <w:pPr>
        <w:jc w:val="both"/>
        <w:ind w:firstLine="1304"/>
        <w:spacing w:after="0" w:line="262" w:lineRule="auto"/>
        <w:tabs>
          <w:tab w:leader="none" w:pos="1773" w:val="left"/>
        </w:tabs>
        <w:numPr>
          <w:ilvl w:val="0"/>
          <w:numId w:val="155"/>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color w:val="auto"/>
        </w:rPr>
        <w:t>. (a) Each of the Borrowers that is subject to ERISA and such Borrower’s ERISA Affiliates is in compliance 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Schedule 3.16(a), the present value of all benefit liabilities under each Plan (based on those assumptions used for purposes of Accounting Standards Codification at 715-20) did not, as of the last annual valuation preceding the Closing Date, exceed the fair market value of the assets of such Plan.</w:t>
      </w:r>
    </w:p>
    <w:p>
      <w:pPr>
        <w:spacing w:after="0" w:line="186" w:lineRule="exact"/>
        <w:rPr>
          <w:rFonts w:ascii="Times New Roman" w:cs="Times New Roman" w:eastAsia="Times New Roman" w:hAnsi="Times New Roman"/>
          <w:sz w:val="21"/>
          <w:szCs w:val="21"/>
          <w:u w:val="single" w:color="auto"/>
          <w:color w:val="0000FF"/>
          <w:highlight w:val="lightGray"/>
        </w:rPr>
      </w:pPr>
    </w:p>
    <w:p>
      <w:pPr>
        <w:jc w:val="both"/>
        <w:ind w:firstLine="1304"/>
        <w:spacing w:after="0" w:line="248" w:lineRule="auto"/>
        <w:tabs>
          <w:tab w:leader="none" w:pos="189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3.16(b) sets forth all Canadian Benefit Plans (other than, for greater certainty, universal plans created by and to which the Parent Borrower is obligated to contribute by statute) and Canadian Pension Plans and Defined Benefit Plans as of the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Parent Borrower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Parent Borrower,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Parent Borrower and the Canadian</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62" w:lineRule="auto"/>
        <w:rPr>
          <w:sz w:val="20"/>
          <w:szCs w:val="20"/>
          <w:color w:val="auto"/>
        </w:rPr>
      </w:pPr>
      <w:r>
        <w:rPr>
          <w:rFonts w:ascii="Times New Roman" w:cs="Times New Roman" w:eastAsia="Times New Roman" w:hAnsi="Times New Roman"/>
          <w:sz w:val="21"/>
          <w:szCs w:val="21"/>
          <w:color w:val="auto"/>
        </w:rPr>
        <w:t>Subsidiaries to the Canadian Pension Plans, the Defined Benefit Plans or the Canadian Benefit Plans have been made on a timely basis in accordance with the terms of such plans and all applicable laws. There have been no improper withdrawals or applications of the assets of the Canadian Pension Plans and there have been no improper withdrawals by the Parent Borrower under the Canadian Benefit Plans. None of the Canadian Pension Plans contains a defined benefit provision (within the meaning of section 147.1(1) of the ITA). The obligations of the Parent Borrower and the Canadian Subsidiaries in respect of the Defined Benefit Plans are limited to making fixed contributions to the Defined Benefit Plans pursuant to the terms of the collective agreements entered into between them and the unions representing their employees and, for greater certainty, the Parent Borrower and the Canadian Subsidiaries have no obligation to administer, or fund any deficit in, any Defined Benefit Plan.</w:t>
      </w:r>
    </w:p>
    <w:p>
      <w:pPr>
        <w:spacing w:after="0" w:line="186" w:lineRule="exact"/>
        <w:rPr>
          <w:sz w:val="20"/>
          <w:szCs w:val="20"/>
          <w:color w:val="auto"/>
        </w:rPr>
      </w:pPr>
    </w:p>
    <w:p>
      <w:pPr>
        <w:jc w:val="both"/>
        <w:ind w:firstLine="1304"/>
        <w:spacing w:after="0" w:line="252" w:lineRule="auto"/>
        <w:tabs>
          <w:tab w:leader="none" w:pos="186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scheme or arrangement mandated by a government other than the United States or Canada (a “</w:t>
      </w:r>
      <w:r>
        <w:rPr>
          <w:rFonts w:ascii="Times New Roman" w:cs="Times New Roman" w:eastAsia="Times New Roman" w:hAnsi="Times New Roman"/>
          <w:sz w:val="22"/>
          <w:szCs w:val="22"/>
          <w:i w:val="1"/>
          <w:iCs w:val="1"/>
          <w:color w:val="auto"/>
        </w:rPr>
        <w:t>Foreign Government Scheme or Arrangement</w:t>
      </w:r>
      <w:r>
        <w:rPr>
          <w:rFonts w:ascii="Times New Roman" w:cs="Times New Roman" w:eastAsia="Times New Roman" w:hAnsi="Times New Roman"/>
          <w:sz w:val="22"/>
          <w:szCs w:val="22"/>
          <w:color w:val="auto"/>
        </w:rPr>
        <w:t>”) and with respect to each employee benefit plan maintained or contributed to by any Loan Party or any Subsidiary of any Loan Party that is not subject to United States or Canadian law (a “</w:t>
      </w:r>
      <w:r>
        <w:rPr>
          <w:rFonts w:ascii="Times New Roman" w:cs="Times New Roman" w:eastAsia="Times New Roman" w:hAnsi="Times New Roman"/>
          <w:sz w:val="22"/>
          <w:szCs w:val="22"/>
          <w:i w:val="1"/>
          <w:iCs w:val="1"/>
          <w:color w:val="auto"/>
        </w:rPr>
        <w:t>Foreign Plan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81" w:lineRule="auto"/>
        <w:tabs>
          <w:tab w:leader="none" w:pos="2376"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50" w:lineRule="exact"/>
        <w:rPr>
          <w:rFonts w:ascii="Times New Roman" w:cs="Times New Roman" w:eastAsia="Times New Roman" w:hAnsi="Times New Roman"/>
          <w:sz w:val="21"/>
          <w:szCs w:val="21"/>
          <w:color w:val="auto"/>
        </w:rPr>
      </w:pPr>
    </w:p>
    <w:p>
      <w:pPr>
        <w:jc w:val="both"/>
        <w:ind w:left="660" w:firstLine="1292"/>
        <w:spacing w:after="0" w:line="251" w:lineRule="auto"/>
        <w:tabs>
          <w:tab w:leader="none" w:pos="249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8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8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3.17</w:t>
      </w:r>
      <w:r>
        <w:rPr>
          <w:sz w:val="20"/>
          <w:szCs w:val="20"/>
          <w:color w:val="auto"/>
        </w:rPr>
        <w:tab/>
      </w:r>
      <w:r>
        <w:rPr>
          <w:rFonts w:ascii="Times New Roman" w:cs="Times New Roman" w:eastAsia="Times New Roman" w:hAnsi="Times New Roman"/>
          <w:sz w:val="21"/>
          <w:szCs w:val="21"/>
          <w:b w:val="1"/>
          <w:bCs w:val="1"/>
          <w:i w:val="1"/>
          <w:iCs w:val="1"/>
          <w:color w:val="auto"/>
        </w:rPr>
        <w:t>Environmental Matters</w:t>
      </w:r>
    </w:p>
    <w:p>
      <w:pPr>
        <w:spacing w:after="0" w:line="226" w:lineRule="exact"/>
        <w:rPr>
          <w:sz w:val="20"/>
          <w:szCs w:val="20"/>
          <w:color w:val="auto"/>
        </w:rPr>
      </w:pPr>
    </w:p>
    <w:p>
      <w:pPr>
        <w:jc w:val="both"/>
        <w:ind w:firstLine="1304"/>
        <w:spacing w:after="0" w:line="248" w:lineRule="auto"/>
        <w:tabs>
          <w:tab w:leader="none" w:pos="1762" w:val="left"/>
        </w:tabs>
        <w:numPr>
          <w:ilvl w:val="1"/>
          <w:numId w:val="157"/>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Except as set forth in Schedule 3.17 and except with respect to any other matters that, individually or in the aggregate, could not reasonably be expected to result in a 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 (ii) has become subject to any Environmental Liability,</w:t>
      </w:r>
    </w:p>
    <w:p>
      <w:pPr>
        <w:spacing w:after="0" w:line="1" w:lineRule="exact"/>
        <w:rPr>
          <w:rFonts w:ascii="Times New Roman" w:cs="Times New Roman" w:eastAsia="Times New Roman" w:hAnsi="Times New Roman"/>
          <w:sz w:val="22"/>
          <w:szCs w:val="22"/>
          <w:u w:val="single" w:color="auto"/>
          <w:color w:val="0000FF"/>
          <w:highlight w:val="lightGray"/>
        </w:rPr>
      </w:pPr>
    </w:p>
    <w:p>
      <w:pPr>
        <w:ind w:left="380" w:hanging="372"/>
        <w:spacing w:after="0"/>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received notice of</w:t>
      </w: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any claim with respect to any Environmental Liability or (iv) knows of any basis for any Environmental Liability.</w:t>
      </w:r>
    </w:p>
    <w:p>
      <w:pPr>
        <w:spacing w:after="0" w:line="220" w:lineRule="exact"/>
        <w:rPr>
          <w:sz w:val="20"/>
          <w:szCs w:val="20"/>
          <w:color w:val="auto"/>
        </w:rPr>
      </w:pPr>
    </w:p>
    <w:p>
      <w:pPr>
        <w:ind w:right="20" w:firstLine="1304"/>
        <w:spacing w:after="0" w:line="271" w:lineRule="auto"/>
        <w:tabs>
          <w:tab w:leader="none" w:pos="176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Closing Date, there has been no change in the status of the matters disclosed on Schedule 3.17 that, individually or in the aggregate, has resulted in, or materially increased the likelihood of, a Material Adverse Effect.</w:t>
      </w:r>
    </w:p>
    <w:p>
      <w:pPr>
        <w:spacing w:after="0" w:line="16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3.18</w:t>
      </w:r>
      <w:r>
        <w:rPr>
          <w:sz w:val="20"/>
          <w:szCs w:val="20"/>
          <w:color w:val="auto"/>
        </w:rPr>
        <w:tab/>
      </w:r>
      <w:r>
        <w:rPr>
          <w:rFonts w:ascii="Times New Roman" w:cs="Times New Roman" w:eastAsia="Times New Roman" w:hAnsi="Times New Roman"/>
          <w:sz w:val="21"/>
          <w:szCs w:val="21"/>
          <w:b w:val="1"/>
          <w:bCs w:val="1"/>
          <w:i w:val="1"/>
          <w:iCs w:val="1"/>
          <w:color w:val="auto"/>
        </w:rPr>
        <w:t>Insurance</w:t>
      </w:r>
    </w:p>
    <w:p>
      <w:pPr>
        <w:spacing w:after="0" w:line="226" w:lineRule="exact"/>
        <w:rPr>
          <w:sz w:val="20"/>
          <w:szCs w:val="20"/>
          <w:color w:val="auto"/>
        </w:rPr>
      </w:pPr>
    </w:p>
    <w:p>
      <w:pPr>
        <w:jc w:val="both"/>
        <w:ind w:firstLine="656"/>
        <w:spacing w:after="0" w:line="275" w:lineRule="auto"/>
        <w:tabs>
          <w:tab w:leader="none" w:pos="796"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Borrowers and each Subsidiary is insured by insurance providers that it reasonably considers to be financially sound (including captive insurance companies, or through self-insurance), in such amounts, with such deductibles and covering such risks and liabilities as are consistent with past practices and is in compliance with the requirements to Section 5.02.</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3.19</w:t>
      </w:r>
      <w:r>
        <w:rPr>
          <w:sz w:val="20"/>
          <w:szCs w:val="20"/>
          <w:color w:val="auto"/>
        </w:rPr>
        <w:tab/>
      </w:r>
      <w:r>
        <w:rPr>
          <w:rFonts w:ascii="Times New Roman" w:cs="Times New Roman" w:eastAsia="Times New Roman" w:hAnsi="Times New Roman"/>
          <w:sz w:val="21"/>
          <w:szCs w:val="21"/>
          <w:b w:val="1"/>
          <w:bCs w:val="1"/>
          <w:i w:val="1"/>
          <w:iCs w:val="1"/>
          <w:color w:val="auto"/>
        </w:rPr>
        <w:t>Security Documents</w:t>
      </w:r>
    </w:p>
    <w:p>
      <w:pPr>
        <w:spacing w:after="0" w:line="239" w:lineRule="exact"/>
        <w:rPr>
          <w:sz w:val="20"/>
          <w:szCs w:val="20"/>
          <w:color w:val="auto"/>
        </w:rPr>
      </w:pPr>
    </w:p>
    <w:p>
      <w:pPr>
        <w:jc w:val="both"/>
        <w:ind w:firstLine="1304"/>
        <w:spacing w:after="0" w:line="247" w:lineRule="auto"/>
        <w:tabs>
          <w:tab w:leader="none" w:pos="1762" w:val="left"/>
        </w:tabs>
        <w:numPr>
          <w:ilvl w:val="0"/>
          <w:numId w:val="161"/>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Each Pledge Agreement is effective to create in favor of the Applicable Collateral Agent, for the ratable benefit of the Secured Parties referred to therein, a legal, valid and enforceable security interest in the Collateral (as defined in such Pledge Agreement) and, when such Collateral (to the extent such Collateral constitutes an instrument or investment property, as applicable,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190" w:lineRule="exact"/>
        <w:rPr>
          <w:rFonts w:ascii="Times New Roman" w:cs="Times New Roman" w:eastAsia="Times New Roman" w:hAnsi="Times New Roman"/>
          <w:sz w:val="22"/>
          <w:szCs w:val="22"/>
          <w:u w:val="single" w:color="auto"/>
          <w:color w:val="0000FF"/>
          <w:highlight w:val="lightGray"/>
        </w:rPr>
      </w:pPr>
    </w:p>
    <w:p>
      <w:pPr>
        <w:jc w:val="both"/>
        <w:ind w:firstLine="1304"/>
        <w:spacing w:after="0" w:line="249" w:lineRule="auto"/>
        <w:tabs>
          <w:tab w:leader="none" w:pos="189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w:t>
      </w:r>
    </w:p>
    <w:p>
      <w:pPr>
        <w:spacing w:after="0" w:line="17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3.20</w:t>
      </w:r>
      <w:r>
        <w:rPr>
          <w:sz w:val="20"/>
          <w:szCs w:val="20"/>
          <w:color w:val="auto"/>
        </w:rPr>
        <w:tab/>
      </w:r>
      <w:r>
        <w:rPr>
          <w:rFonts w:ascii="Times New Roman" w:cs="Times New Roman" w:eastAsia="Times New Roman" w:hAnsi="Times New Roman"/>
          <w:sz w:val="21"/>
          <w:szCs w:val="21"/>
          <w:b w:val="1"/>
          <w:bCs w:val="1"/>
          <w:i w:val="1"/>
          <w:iCs w:val="1"/>
          <w:color w:val="auto"/>
        </w:rPr>
        <w:t>Intellectual Property</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3" w:name="page164"/>
    <w:bookmarkEnd w:id="163"/>
    <w:p>
      <w:pPr>
        <w:jc w:val="both"/>
        <w:ind w:firstLine="656"/>
        <w:spacing w:after="0" w:line="256" w:lineRule="auto"/>
        <w:tabs>
          <w:tab w:leader="none" w:pos="75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and each of its Subsidiaries own or are licensed or otherwise have the legal right to use 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3.21</w:t>
      </w:r>
      <w:r>
        <w:rPr>
          <w:sz w:val="20"/>
          <w:szCs w:val="20"/>
          <w:color w:val="auto"/>
        </w:rPr>
        <w:tab/>
      </w:r>
      <w:r>
        <w:rPr>
          <w:rFonts w:ascii="Times New Roman" w:cs="Times New Roman" w:eastAsia="Times New Roman" w:hAnsi="Times New Roman"/>
          <w:sz w:val="21"/>
          <w:szCs w:val="21"/>
          <w:b w:val="1"/>
          <w:bCs w:val="1"/>
          <w:i w:val="1"/>
          <w:iCs w:val="1"/>
          <w:color w:val="auto"/>
        </w:rPr>
        <w:t>Labor Matters</w:t>
      </w:r>
    </w:p>
    <w:p>
      <w:pPr>
        <w:spacing w:after="0" w:line="226" w:lineRule="exact"/>
        <w:rPr>
          <w:sz w:val="20"/>
          <w:szCs w:val="20"/>
          <w:color w:val="auto"/>
        </w:rPr>
      </w:pPr>
    </w:p>
    <w:p>
      <w:pPr>
        <w:jc w:val="both"/>
        <w:ind w:firstLine="656"/>
        <w:spacing w:after="0" w:line="248" w:lineRule="auto"/>
        <w:tabs>
          <w:tab w:leader="none" w:pos="78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there are no strikes, lockouts or slowdowns against the Parent Borrower or any Subsidiary pending or, to the knowledge of the Borrowers, threatened. The hours worked by and payments made to employees 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19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3.22</w:t>
      </w:r>
      <w:r>
        <w:rPr>
          <w:sz w:val="20"/>
          <w:szCs w:val="20"/>
          <w:color w:val="auto"/>
        </w:rPr>
        <w:tab/>
      </w:r>
      <w:r>
        <w:rPr>
          <w:rFonts w:ascii="Times New Roman" w:cs="Times New Roman" w:eastAsia="Times New Roman" w:hAnsi="Times New Roman"/>
          <w:sz w:val="21"/>
          <w:szCs w:val="21"/>
          <w:b w:val="1"/>
          <w:bCs w:val="1"/>
          <w:i w:val="1"/>
          <w:iCs w:val="1"/>
          <w:color w:val="auto"/>
        </w:rPr>
        <w:t>Solvency</w:t>
      </w:r>
    </w:p>
    <w:p>
      <w:pPr>
        <w:spacing w:after="0" w:line="226" w:lineRule="exact"/>
        <w:rPr>
          <w:sz w:val="20"/>
          <w:szCs w:val="20"/>
          <w:color w:val="auto"/>
        </w:rPr>
      </w:pPr>
    </w:p>
    <w:p>
      <w:pPr>
        <w:jc w:val="both"/>
        <w:ind w:firstLine="656"/>
        <w:spacing w:after="0" w:line="257" w:lineRule="auto"/>
        <w:tabs>
          <w:tab w:leader="none" w:pos="76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making of each Loan and the giving of each of the Guarantee Agreements and after giving effect to the application of the proceeds of each Loan, the Parent Borrower and its subsidiaries on a consolidated basis will be Solvent.</w:t>
      </w:r>
    </w:p>
    <w:p>
      <w:pPr>
        <w:spacing w:after="0" w:line="16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3.23</w:t>
      </w:r>
      <w:r>
        <w:rPr>
          <w:sz w:val="20"/>
          <w:szCs w:val="20"/>
          <w:color w:val="auto"/>
        </w:rPr>
        <w:tab/>
      </w:r>
      <w:r>
        <w:rPr>
          <w:rFonts w:ascii="Times New Roman" w:cs="Times New Roman" w:eastAsia="Times New Roman" w:hAnsi="Times New Roman"/>
          <w:sz w:val="21"/>
          <w:szCs w:val="21"/>
          <w:b w:val="1"/>
          <w:bCs w:val="1"/>
          <w:i w:val="1"/>
          <w:iCs w:val="1"/>
          <w:color w:val="auto"/>
        </w:rPr>
        <w:t>Anti-Corruption Laws</w:t>
      </w:r>
    </w:p>
    <w:p>
      <w:pPr>
        <w:spacing w:after="0" w:line="239" w:lineRule="exact"/>
        <w:rPr>
          <w:sz w:val="20"/>
          <w:szCs w:val="20"/>
          <w:color w:val="auto"/>
        </w:rPr>
      </w:pPr>
    </w:p>
    <w:p>
      <w:pPr>
        <w:jc w:val="both"/>
        <w:ind w:firstLine="656"/>
        <w:spacing w:after="0" w:line="250" w:lineRule="auto"/>
        <w:tabs>
          <w:tab w:leader="none" w:pos="76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Borrower and its subsidiaries nor, to the knowledge of the Loan Parties, any director, employee or officer acting on behalf of any the Parent Borrower or any of its subsidiaries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18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3.24</w:t>
      </w:r>
      <w:r>
        <w:rPr>
          <w:sz w:val="20"/>
          <w:szCs w:val="20"/>
          <w:color w:val="auto"/>
        </w:rPr>
        <w:tab/>
      </w:r>
      <w:r>
        <w:rPr>
          <w:rFonts w:ascii="Times New Roman" w:cs="Times New Roman" w:eastAsia="Times New Roman" w:hAnsi="Times New Roman"/>
          <w:sz w:val="21"/>
          <w:szCs w:val="21"/>
          <w:b w:val="1"/>
          <w:bCs w:val="1"/>
          <w:i w:val="1"/>
          <w:iCs w:val="1"/>
          <w:color w:val="auto"/>
        </w:rPr>
        <w:t>Anti-Money Laundering Laws</w:t>
      </w:r>
    </w:p>
    <w:p>
      <w:pPr>
        <w:spacing w:after="0" w:line="226" w:lineRule="exact"/>
        <w:rPr>
          <w:sz w:val="20"/>
          <w:szCs w:val="20"/>
          <w:color w:val="auto"/>
        </w:rPr>
      </w:pPr>
    </w:p>
    <w:p>
      <w:pPr>
        <w:jc w:val="both"/>
        <w:ind w:firstLine="656"/>
        <w:spacing w:after="0" w:line="252" w:lineRule="auto"/>
        <w:tabs>
          <w:tab w:leader="none" w:pos="75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the Parent Borrower and each subsidiary are and have been conducted at all times in compliance with Anti-Money Laundering Laws in all material respects and no action, suit or proceeding by or before any court or Governmental Agency or any arbitrator involving the Parent Borrower or any of its subsidiaries with respect to Anti-Money Laundering Laws is pending and no such actions, suits or proceedings have been threatened.</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3.25</w:t>
      </w:r>
      <w:r>
        <w:rPr>
          <w:sz w:val="20"/>
          <w:szCs w:val="20"/>
          <w:color w:val="auto"/>
        </w:rPr>
        <w:tab/>
      </w:r>
      <w:r>
        <w:rPr>
          <w:rFonts w:ascii="Times New Roman" w:cs="Times New Roman" w:eastAsia="Times New Roman" w:hAnsi="Times New Roman"/>
          <w:sz w:val="21"/>
          <w:szCs w:val="21"/>
          <w:b w:val="1"/>
          <w:bCs w:val="1"/>
          <w:i w:val="1"/>
          <w:iCs w:val="1"/>
          <w:color w:val="auto"/>
        </w:rPr>
        <w:t>Foreign Assets Control Regulations, etc.</w:t>
      </w: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4" w:name="page165"/>
    <w:bookmarkEnd w:id="164"/>
    <w:p>
      <w:pPr>
        <w:jc w:val="both"/>
        <w:ind w:firstLine="656"/>
        <w:spacing w:after="0" w:line="256" w:lineRule="auto"/>
        <w:tabs>
          <w:tab w:leader="none" w:pos="81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Parent Borrower and its subsidiaries are in compliance with the FCPA and the Currency and Foreign Transactions Reporting Act of 1970 and, (b) to the knowledge of the Loan Parties, no director, officer or employee of any Loan Party or any of their subsidiaries is the target of any Sanctions Laws and Regulations, in each case where such violation or sanctions could, individually or in the aggregate, reasonably be expected to have a Material Adverse Effect.</w:t>
      </w:r>
    </w:p>
    <w:p>
      <w:pPr>
        <w:spacing w:after="0" w:line="16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 AND FUNDING</w:t>
      </w:r>
    </w:p>
    <w:p>
      <w:pPr>
        <w:spacing w:after="0" w:line="23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obligations of the Lenders to make Loans and of the Issuing Banks to issue Letters of Credit hereunder are subject to the satisfaction of the following conditions:</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4.01</w:t>
      </w:r>
      <w:r>
        <w:rPr>
          <w:sz w:val="20"/>
          <w:szCs w:val="20"/>
          <w:color w:val="auto"/>
        </w:rPr>
        <w:tab/>
      </w:r>
      <w:r>
        <w:rPr>
          <w:rFonts w:ascii="Times New Roman" w:cs="Times New Roman" w:eastAsia="Times New Roman" w:hAnsi="Times New Roman"/>
          <w:sz w:val="21"/>
          <w:szCs w:val="21"/>
          <w:b w:val="1"/>
          <w:bCs w:val="1"/>
          <w:i w:val="1"/>
          <w:iCs w:val="1"/>
          <w:color w:val="auto"/>
        </w:rPr>
        <w:t>Conditions to All Credit Events</w:t>
      </w:r>
    </w:p>
    <w:p>
      <w:pPr>
        <w:spacing w:after="0" w:line="226" w:lineRule="exact"/>
        <w:rPr>
          <w:sz w:val="20"/>
          <w:szCs w:val="20"/>
          <w:color w:val="auto"/>
        </w:rPr>
      </w:pPr>
    </w:p>
    <w:p>
      <w:pPr>
        <w:ind w:firstLine="656"/>
        <w:spacing w:after="0" w:line="271" w:lineRule="auto"/>
        <w:tabs>
          <w:tab w:leader="none" w:pos="75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each Borrowing and on the date of each issuance, amendment, extension or renewal of a Letter of Credit (each such event being called a “</w:t>
      </w:r>
      <w:r>
        <w:rPr>
          <w:rFonts w:ascii="Times New Roman" w:cs="Times New Roman" w:eastAsia="Times New Roman" w:hAnsi="Times New Roman"/>
          <w:sz w:val="22"/>
          <w:szCs w:val="22"/>
          <w:i w:val="1"/>
          <w:iCs w:val="1"/>
          <w:color w:val="auto"/>
        </w:rPr>
        <w:t>Credit Event</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19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4"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Article III hereof and in each other Loan Document shall be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pacing w:after="0" w:line="186"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Borrowing, no mandatory prepayment would be required under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2.12(d).</w:t>
      </w: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5" w:name="page166"/>
    <w:bookmarkEnd w:id="165"/>
    <w:p>
      <w:pPr>
        <w:jc w:val="both"/>
        <w:ind w:firstLine="1304"/>
        <w:spacing w:after="0" w:line="258" w:lineRule="auto"/>
        <w:tabs>
          <w:tab w:leader="none" w:pos="178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such Credit Event, the Parent Borrower is in compliance with the financial covenants described in Section 6.11 as of the most recently ended four (4) quarter period for which financial statements are required to be delivered under Section 5.04(a) or 5.04(b) or for which comparable financial statements have been filed with the SEC as if such Credit Event had occurred on the last day of such period.</w:t>
      </w:r>
    </w:p>
    <w:p>
      <w:pPr>
        <w:spacing w:after="0" w:line="17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Credit Event shall be deemed to constitute a representation and warranty by the Borrowers on the date of such Credit Event as to the matters specified in paragraphs (b), (c), (d) and (e) of this Section 4.01.</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4.02</w:t>
      </w:r>
      <w:r>
        <w:rPr>
          <w:sz w:val="20"/>
          <w:szCs w:val="20"/>
          <w:color w:val="auto"/>
        </w:rPr>
        <w:tab/>
      </w:r>
      <w:r>
        <w:rPr>
          <w:rFonts w:ascii="Times New Roman" w:cs="Times New Roman" w:eastAsia="Times New Roman" w:hAnsi="Times New Roman"/>
          <w:sz w:val="21"/>
          <w:szCs w:val="21"/>
          <w:b w:val="1"/>
          <w:bCs w:val="1"/>
          <w:i w:val="1"/>
          <w:iCs w:val="1"/>
          <w:color w:val="auto"/>
        </w:rPr>
        <w:t>Conditions to Closing</w:t>
      </w:r>
    </w:p>
    <w:p>
      <w:pPr>
        <w:spacing w:after="0" w:line="226" w:lineRule="exact"/>
        <w:rPr>
          <w:sz w:val="20"/>
          <w:szCs w:val="20"/>
          <w:color w:val="auto"/>
        </w:rPr>
      </w:pPr>
    </w:p>
    <w:p>
      <w:pPr>
        <w:ind w:left="760" w:hanging="104"/>
        <w:spacing w:after="0"/>
        <w:tabs>
          <w:tab w:leader="none" w:pos="7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Closing Date,</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80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shall have received, on behalf of themselves, the Lenders and the Issuing Banks all documents necessary for the occurrence of the Closing Date, including, without limitation:</w:t>
      </w:r>
    </w:p>
    <w:p>
      <w:pPr>
        <w:spacing w:after="0" w:line="15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executed and delivered by the Agents, the Borrowers, the Lenders, and the Issuing</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Banks;</w:t>
      </w:r>
    </w:p>
    <w:p>
      <w:pPr>
        <w:spacing w:after="0" w:line="195" w:lineRule="exact"/>
        <w:rPr>
          <w:rFonts w:ascii="Times New Roman" w:cs="Times New Roman" w:eastAsia="Times New Roman" w:hAnsi="Times New Roman"/>
          <w:sz w:val="22"/>
          <w:szCs w:val="22"/>
          <w:color w:val="auto"/>
        </w:rPr>
      </w:pPr>
    </w:p>
    <w:p>
      <w:pPr>
        <w:ind w:left="2620" w:hanging="668"/>
        <w:spacing w:after="0"/>
        <w:tabs>
          <w:tab w:leader="none" w:pos="2620"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Note requested by a Lender pursuant to Section 2.04 of this Agreement payable to such</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requesting Lender;</w:t>
      </w:r>
    </w:p>
    <w:p>
      <w:pPr>
        <w:spacing w:after="0" w:line="209"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582"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favorable written opinion of each of (1) Simpson Thacher &amp; Bartlett LLP, U.S. counsel for the Borrowers, (2) Dentons Canada LLP, Canadian counsel to the Parent Borrower, and (3) Arnold Bloch Leibler, Australian counsel to the Secured Parties, in each case (A) dated as of the Closing Date, (B) addressed to the Administrative Agents, the Collateral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181" w:lineRule="exact"/>
        <w:rPr>
          <w:rFonts w:ascii="Times New Roman" w:cs="Times New Roman" w:eastAsia="Times New Roman" w:hAnsi="Times New Roman"/>
          <w:sz w:val="22"/>
          <w:szCs w:val="22"/>
          <w:color w:val="auto"/>
        </w:rPr>
      </w:pPr>
    </w:p>
    <w:p>
      <w:pPr>
        <w:jc w:val="both"/>
        <w:ind w:left="660" w:right="20" w:firstLine="1292"/>
        <w:spacing w:after="0" w:line="275" w:lineRule="auto"/>
        <w:tabs>
          <w:tab w:leader="none" w:pos="2560"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as to the good standing or, if applicable,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55" w:lineRule="exact"/>
        <w:rPr>
          <w:rFonts w:ascii="Times New Roman" w:cs="Times New Roman" w:eastAsia="Times New Roman" w:hAnsi="Times New Roman"/>
          <w:sz w:val="21"/>
          <w:szCs w:val="21"/>
          <w:color w:val="auto"/>
        </w:rPr>
      </w:pPr>
    </w:p>
    <w:p>
      <w:pPr>
        <w:jc w:val="both"/>
        <w:ind w:left="660" w:firstLine="1292"/>
        <w:spacing w:after="0" w:line="251" w:lineRule="auto"/>
        <w:tabs>
          <w:tab w:leader="none" w:pos="2456"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Responsible Officer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 Party other than an Australian Loan Party, attached thereto is a true and complete copy</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166" w:name="page167"/>
    <w:bookmarkEnd w:id="166"/>
    <w:p>
      <w:pPr>
        <w:jc w:val="both"/>
        <w:ind w:left="660"/>
        <w:spacing w:after="0" w:line="265" w:lineRule="auto"/>
        <w:rPr>
          <w:sz w:val="20"/>
          <w:szCs w:val="20"/>
          <w:color w:val="auto"/>
        </w:rPr>
      </w:pPr>
      <w:r>
        <w:rPr>
          <w:rFonts w:ascii="Times New Roman" w:cs="Times New Roman" w:eastAsia="Times New Roman" w:hAnsi="Times New Roman"/>
          <w:sz w:val="21"/>
          <w:szCs w:val="21"/>
          <w:color w:val="auto"/>
        </w:rPr>
        <w:t>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spacing w:after="0" w:line="169" w:lineRule="exact"/>
        <w:rPr>
          <w:sz w:val="20"/>
          <w:szCs w:val="20"/>
          <w:color w:val="auto"/>
        </w:rPr>
      </w:pPr>
    </w:p>
    <w:p>
      <w:pPr>
        <w:jc w:val="both"/>
        <w:ind w:left="660" w:firstLine="1292"/>
        <w:spacing w:after="0" w:line="251" w:lineRule="auto"/>
        <w:tabs>
          <w:tab w:leader="none" w:pos="261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dated the Closing Date and signed by a Financial Officer of the Parent Borrower, certifying (1) compliance with the conditions precedent set forth in Section 4.01(b) and (c), and (2) in each case after giving pro forma effect (using the criteria therefor described in Section 6.04(i)) to the initial Borrowing contemplated hereunder and the other transactions contemplated hereby, that (A) the Parent Borrower and its Subsidiaries, taken as a whole, will be Solvent on the Closing Date and (B) the Parent Borrower and its subsidiaries will be in pro forma compliance (using the criteria therefor described in Section 6.04(i)) with Sections 6.10 and 6.11 as of Closing Date;</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61" w:lineRule="auto"/>
        <w:tabs>
          <w:tab w:leader="none" w:pos="2547"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Pledge Agreement duly executed by the parties thereto, under which the U.S. Borrower and each Domestic Subsidiary of the U.S. Borrower (other than any Domestic Subsidiary that is a subsidiary of a Foreign Subsidiary) shall pledge to the U.S. Collateral Agent for the ratable benefit of the Secured Parties, (i) all the outstanding Equity Interests of each Material Subsidiary of the U.S. Borrower that is a Domestic Subsidiary (other than any Domestic Subsidiary that is a subsidiary of a Foreign Subsidiary or a Domestic Subsidiary that is a FSHCO) and (ii) 65% (and no more than 65%) of the total outstanding voting Equity Interests and 100% of the total outstanding nonvoting Equity Interests (if any) of each Material Subsidiary that is (A) a Foreign Subsidiary whose Equity Interests are directly owned by the U.S. Borrower or any Domestic Subsidiary of the U.S. Borrower (other than any Domestic Subsidiary that is a subsidiary of a Foreign Subsidiary) or (B) a FSHCO, together with certificates representing such shares, if any, accompanied by instruments of transfer and stock powers endorsed in blank, shall be in the actual possession of the U.S. Collateral Agent, and the delivery of UCC-1 financing statements necessary to create a valid, legal and perfected first-priority Lien on the Collateral described therein (subject to any Lien expressly permitted by Section 6.02);</w:t>
      </w:r>
    </w:p>
    <w:p>
      <w:pPr>
        <w:spacing w:after="0" w:line="183" w:lineRule="exact"/>
        <w:rPr>
          <w:rFonts w:ascii="Times New Roman" w:cs="Times New Roman" w:eastAsia="Times New Roman" w:hAnsi="Times New Roman"/>
          <w:sz w:val="21"/>
          <w:szCs w:val="21"/>
          <w:color w:val="auto"/>
        </w:rPr>
      </w:pPr>
    </w:p>
    <w:p>
      <w:pPr>
        <w:jc w:val="both"/>
        <w:ind w:left="660" w:firstLine="1292"/>
        <w:spacing w:after="0" w:line="248" w:lineRule="auto"/>
        <w:tabs>
          <w:tab w:leader="none" w:pos="274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Canadian Pledge Agreement, duly executed by the parties thereto, and all the outstanding Equity Interests of the Canadian Subsidiary Guarantors as of the Closing Date shall have been duly and validly pledged thereunder to the Canadian Collateral Agent for the ratable benefit of the Secured Parties, together with certificates, if any, representing such Equity Interests, accompanied by instruments of transfer and stock powers endorsed in blank, shall be in the actual possession of the Canadian Collateral Agent and, if required, the delivery of the applicable financing statements</w:t>
      </w: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7" w:name="page168"/>
    <w:bookmarkEnd w:id="167"/>
    <w:p>
      <w:pPr>
        <w:ind w:left="660"/>
        <w:spacing w:after="0" w:line="271" w:lineRule="auto"/>
        <w:rPr>
          <w:sz w:val="20"/>
          <w:szCs w:val="20"/>
          <w:color w:val="auto"/>
        </w:rPr>
      </w:pPr>
      <w:r>
        <w:rPr>
          <w:rFonts w:ascii="Times New Roman" w:cs="Times New Roman" w:eastAsia="Times New Roman" w:hAnsi="Times New Roman"/>
          <w:sz w:val="22"/>
          <w:szCs w:val="22"/>
          <w:color w:val="auto"/>
        </w:rPr>
        <w:t>registered at the applicable personal property registry in Canada necessary to create a valid, legal and perfected first-priority Lien on the Collateral described therein (subject to any Lien expressly permitted by Section 6.02);</w:t>
      </w:r>
    </w:p>
    <w:p>
      <w:pPr>
        <w:spacing w:after="0" w:line="158" w:lineRule="exact"/>
        <w:rPr>
          <w:sz w:val="20"/>
          <w:szCs w:val="20"/>
          <w:color w:val="auto"/>
        </w:rPr>
      </w:pPr>
    </w:p>
    <w:p>
      <w:pPr>
        <w:jc w:val="both"/>
        <w:ind w:left="660" w:firstLine="1292"/>
        <w:spacing w:after="0" w:line="252" w:lineRule="auto"/>
        <w:tabs>
          <w:tab w:leader="none" w:pos="254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Security Agreement and Canadian Security Agreement duly executed by the Loan Parties party thereto and in respect of each of the U.S. Security Agreement and Canadian Security Agreement, each document (including each financing statement) required by law or reasonably requested by the Applicable Collateral Agents to be filed, registered or in order to create in favor of the Applicable Collateral Agent for the benefit of the Secured Parties a valid, legal and perfected first-priority Lien on the Collateral (subject to any Lien expressly permitted by Section 6.02) described in such agreement (which, for the avoidance of doubt, shall exclude any property or assets the granting of a Lien on which would result in material adverse tax consequences to the U.S. Borrower or any Subsidiary);</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49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(i) a search of the Uniform Commercial Code filings or (ii)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Closing Date;</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1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U.S. Guarantee Agreement, duly executed by the parties thereto, (ii) the Canadian Guarantee Agreement, duly executed by the parties thereto and (iii) the Australian Guarantee Agreement duly executed by the parties thereto;</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52"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Australian Security Documents duly executed by the parties thereto, and all the outstanding Equity Interests of the Australian Subsidiary Guarantors as of the Closing Date shall have been duly and validly pledged thereunder to the Australian Collateral Agent for the ratable benefit of the Secured Parties, together with certificates, if any, representing such Equity Interests, accompanied by instruments of transfer and stock powers endorsed in blank, shall be in the actual possession of the Australian Collateral Agent and, if required, the delivery of the applicable financing statements registered at the applicable personal property registry in Australia necessary to create a valid, legal and perfected first-priority Lien on the Collateral described therein (subject to any Lien expressly permitted by Section 6.02);</w:t>
      </w:r>
    </w:p>
    <w:p>
      <w:pPr>
        <w:spacing w:after="0" w:line="172" w:lineRule="exact"/>
        <w:rPr>
          <w:rFonts w:ascii="Times New Roman" w:cs="Times New Roman" w:eastAsia="Times New Roman" w:hAnsi="Times New Roman"/>
          <w:sz w:val="21"/>
          <w:szCs w:val="21"/>
          <w:color w:val="auto"/>
        </w:rPr>
      </w:pPr>
    </w:p>
    <w:p>
      <w:pPr>
        <w:jc w:val="both"/>
        <w:ind w:left="660" w:firstLine="1292"/>
        <w:spacing w:after="0" w:line="263" w:lineRule="auto"/>
        <w:tabs>
          <w:tab w:leader="none" w:pos="264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and other information that the Administrative Agents, the Lead Arranger or the Lenders shall have requested in order to comply with their respective obligations under applicable “know your customer” and anti-money</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8" w:name="page169"/>
    <w:bookmarkEnd w:id="168"/>
    <w:p>
      <w:pPr>
        <w:ind w:left="660" w:right="20"/>
        <w:spacing w:after="0" w:line="271" w:lineRule="auto"/>
        <w:rPr>
          <w:sz w:val="20"/>
          <w:szCs w:val="20"/>
          <w:color w:val="auto"/>
        </w:rPr>
      </w:pPr>
      <w:r>
        <w:rPr>
          <w:rFonts w:ascii="Times New Roman" w:cs="Times New Roman" w:eastAsia="Times New Roman" w:hAnsi="Times New Roman"/>
          <w:sz w:val="22"/>
          <w:szCs w:val="22"/>
          <w:color w:val="auto"/>
        </w:rPr>
        <w:t>laundering rules and regulations, including the Patriot Act, in each case to the extent such documentation and other information shall have been reasonably requested not less than five (5) Business Days prior to the Closing Date; and</w:t>
      </w:r>
    </w:p>
    <w:p>
      <w:pPr>
        <w:spacing w:after="0" w:line="158" w:lineRule="exact"/>
        <w:rPr>
          <w:sz w:val="20"/>
          <w:szCs w:val="20"/>
          <w:color w:val="auto"/>
        </w:rPr>
      </w:pPr>
    </w:p>
    <w:p>
      <w:pPr>
        <w:ind w:left="2740" w:hanging="788"/>
        <w:spacing w:after="0"/>
        <w:tabs>
          <w:tab w:leader="none" w:pos="274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as Administrative Agent or special counsel to Administrative Agent may</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request;</w:t>
      </w:r>
    </w:p>
    <w:p>
      <w:pPr>
        <w:spacing w:after="0" w:line="207"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3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(i) evidence satisfactory to the Administrative Agent that all Indebtedness under the Existing Credit Agreement shall be simultaneously terminated and all amounts thereunder shall be simultaneously repaid in full and (ii) to the extent requested by the Administrative Agent, evidence that arrangements satisfactory to the Administrative Agent shall have been made for the termination and release of guarantees, Liens and security interests granted in connection with the Existing Credit Agreement in a form reasonably satisfactory to the Administrative Agent;</w:t>
      </w:r>
    </w:p>
    <w:p>
      <w:pPr>
        <w:spacing w:after="0" w:line="163"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2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and the Lead Arranger shall have received all Fees and other amounts due and payable on or prior to the Closing Date, including, without limitation, (i) to the extent invoiced, reimbursement or payment of all out-of-pocket expenses (including, without limitation, the reasonable fees, charges and disbursements of counsel for the Agents) required to be reimbursed or paid by the Borrowers hereunder, under this Agreement or under any other Loan Document and (ii) all Fees and other amounts due and payable under the Fee Letter;</w:t>
      </w:r>
    </w:p>
    <w:p>
      <w:pPr>
        <w:spacing w:after="0" w:line="19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2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Article III hereof and in each other Loan Document shall be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 and</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1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must be at least U.S.$25,000,000 of the Revolving Commitments unused and available (after giving effect to any Borrowings on the Closing Date).</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69" w:name="page170"/>
    <w:bookmarkEnd w:id="169"/>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5.01</w:t>
      </w:r>
      <w:r>
        <w:rPr>
          <w:sz w:val="20"/>
          <w:szCs w:val="20"/>
          <w:color w:val="auto"/>
        </w:rPr>
        <w:tab/>
      </w:r>
      <w:r>
        <w:rPr>
          <w:rFonts w:ascii="Times New Roman" w:cs="Times New Roman" w:eastAsia="Times New Roman" w:hAnsi="Times New Roman"/>
          <w:sz w:val="21"/>
          <w:szCs w:val="21"/>
          <w:b w:val="1"/>
          <w:bCs w:val="1"/>
          <w:i w:val="1"/>
          <w:iCs w:val="1"/>
          <w:color w:val="auto"/>
        </w:rPr>
        <w:t>Existence; Businesses and Properties</w:t>
      </w:r>
    </w:p>
    <w:p>
      <w:pPr>
        <w:spacing w:after="0" w:line="226" w:lineRule="exact"/>
        <w:rPr>
          <w:sz w:val="20"/>
          <w:szCs w:val="20"/>
          <w:color w:val="auto"/>
        </w:rPr>
      </w:pPr>
    </w:p>
    <w:p>
      <w:pPr>
        <w:jc w:val="both"/>
        <w:ind w:firstLine="1304"/>
        <w:spacing w:after="0" w:line="252" w:lineRule="auto"/>
        <w:tabs>
          <w:tab w:leader="none" w:pos="1773" w:val="left"/>
        </w:tabs>
        <w:numPr>
          <w:ilvl w:val="0"/>
          <w:numId w:val="175"/>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Do or cause to be done all things necessary to preserve, renew and keep in full force and 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92" w:lineRule="exact"/>
        <w:rPr>
          <w:rFonts w:ascii="Times New Roman" w:cs="Times New Roman" w:eastAsia="Times New Roman" w:hAnsi="Times New Roman"/>
          <w:sz w:val="22"/>
          <w:szCs w:val="22"/>
          <w:u w:val="single" w:color="auto"/>
          <w:color w:val="0000FF"/>
          <w:highlight w:val="lightGray"/>
        </w:rPr>
      </w:pPr>
    </w:p>
    <w:p>
      <w:pPr>
        <w:jc w:val="both"/>
        <w:ind w:firstLine="1304"/>
        <w:spacing w:after="0" w:line="257" w:lineRule="auto"/>
        <w:tabs>
          <w:tab w:leader="none" w:pos="183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5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18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5.02</w:t>
      </w:r>
      <w:r>
        <w:rPr>
          <w:sz w:val="20"/>
          <w:szCs w:val="20"/>
          <w:color w:val="auto"/>
        </w:rPr>
        <w:tab/>
      </w:r>
      <w:r>
        <w:rPr>
          <w:rFonts w:ascii="Times New Roman" w:cs="Times New Roman" w:eastAsia="Times New Roman" w:hAnsi="Times New Roman"/>
          <w:sz w:val="21"/>
          <w:szCs w:val="21"/>
          <w:b w:val="1"/>
          <w:bCs w:val="1"/>
          <w:i w:val="1"/>
          <w:iCs w:val="1"/>
          <w:color w:val="auto"/>
        </w:rPr>
        <w:t>Insurance</w:t>
      </w:r>
    </w:p>
    <w:p>
      <w:pPr>
        <w:spacing w:after="0" w:line="226" w:lineRule="exact"/>
        <w:rPr>
          <w:sz w:val="20"/>
          <w:szCs w:val="20"/>
          <w:color w:val="auto"/>
        </w:rPr>
      </w:pPr>
    </w:p>
    <w:p>
      <w:pPr>
        <w:jc w:val="both"/>
        <w:ind w:firstLine="1304"/>
        <w:spacing w:after="0" w:line="263" w:lineRule="auto"/>
        <w:tabs>
          <w:tab w:leader="none" w:pos="1924" w:val="left"/>
        </w:tabs>
        <w:numPr>
          <w:ilvl w:val="0"/>
          <w:numId w:val="176"/>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Maintain insurance with insurance providers that it reasonably considers to be financially sound (including captive insurance companies, or through self-insurance), in such amounts, with such deductibles and covering such risks and liabilities as are consistent with its past practices.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09" w:right="339" w:bottom="1440" w:gutter="0" w:footer="0" w:header="0"/>
        </w:sectPr>
      </w:pPr>
    </w:p>
    <w:bookmarkStart w:id="170" w:name="page171"/>
    <w:bookmarkEnd w:id="170"/>
    <w:p>
      <w:pPr>
        <w:jc w:val="both"/>
        <w:ind w:firstLine="1304"/>
        <w:spacing w:after="0" w:line="259" w:lineRule="auto"/>
        <w:tabs>
          <w:tab w:leader="none" w:pos="18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Cause all such policies (other than policies relating to public liability, third party claims or workers’ compensation) covering any Collateral to be endorsed or otherwise 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Closing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w:t>
      </w:r>
    </w:p>
    <w:p>
      <w:pPr>
        <w:spacing w:after="0" w:line="188"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7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w:t>
      </w:r>
    </w:p>
    <w:p>
      <w:pPr>
        <w:spacing w:after="0" w:line="16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5.03</w:t>
      </w:r>
      <w:r>
        <w:rPr>
          <w:sz w:val="20"/>
          <w:szCs w:val="20"/>
          <w:color w:val="auto"/>
        </w:rPr>
        <w:tab/>
      </w:r>
      <w:r>
        <w:rPr>
          <w:rFonts w:ascii="Times New Roman" w:cs="Times New Roman" w:eastAsia="Times New Roman" w:hAnsi="Times New Roman"/>
          <w:sz w:val="21"/>
          <w:szCs w:val="21"/>
          <w:b w:val="1"/>
          <w:bCs w:val="1"/>
          <w:i w:val="1"/>
          <w:iCs w:val="1"/>
          <w:color w:val="auto"/>
        </w:rPr>
        <w:t>Obligations and Taxes</w:t>
      </w:r>
    </w:p>
    <w:p>
      <w:pPr>
        <w:spacing w:after="0" w:line="239" w:lineRule="exact"/>
        <w:rPr>
          <w:sz w:val="20"/>
          <w:szCs w:val="20"/>
          <w:color w:val="auto"/>
        </w:rPr>
      </w:pPr>
    </w:p>
    <w:p>
      <w:pPr>
        <w:jc w:val="both"/>
        <w:ind w:firstLine="656"/>
        <w:spacing w:after="0" w:line="250" w:lineRule="auto"/>
        <w:tabs>
          <w:tab w:leader="none" w:pos="7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its Indebtedness and other obligations promptly and in accordance with their terms and pay and 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1" w:name="page172"/>
    <w:bookmarkEnd w:id="171"/>
    <w:p>
      <w:pPr>
        <w:spacing w:after="0" w:line="271" w:lineRule="auto"/>
        <w:rPr>
          <w:sz w:val="20"/>
          <w:szCs w:val="20"/>
          <w:color w:val="auto"/>
        </w:rPr>
      </w:pPr>
      <w:r>
        <w:rPr>
          <w:rFonts w:ascii="Times New Roman" w:cs="Times New Roman" w:eastAsia="Times New Roman" w:hAnsi="Times New Roman"/>
          <w:sz w:val="22"/>
          <w:szCs w:val="22"/>
          <w:color w:val="auto"/>
        </w:rPr>
        <w:t>with GAAP or other applicable accounting principles, and such contest operates to suspend collection of the contested obligation, tax, assessment or charge and enforcement of a Lien.</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5.04</w:t>
      </w:r>
      <w:r>
        <w:rPr>
          <w:sz w:val="20"/>
          <w:szCs w:val="20"/>
          <w:color w:val="auto"/>
        </w:rPr>
        <w:tab/>
      </w:r>
      <w:r>
        <w:rPr>
          <w:rFonts w:ascii="Times New Roman" w:cs="Times New Roman" w:eastAsia="Times New Roman" w:hAnsi="Times New Roman"/>
          <w:sz w:val="21"/>
          <w:szCs w:val="21"/>
          <w:b w:val="1"/>
          <w:bCs w:val="1"/>
          <w:i w:val="1"/>
          <w:iCs w:val="1"/>
          <w:color w:val="auto"/>
        </w:rPr>
        <w:t>Financial Statements, Reports, etc.</w:t>
      </w:r>
    </w:p>
    <w:p>
      <w:pPr>
        <w:spacing w:after="0" w:line="239" w:lineRule="exact"/>
        <w:rPr>
          <w:sz w:val="20"/>
          <w:szCs w:val="20"/>
          <w:color w:val="auto"/>
        </w:rPr>
      </w:pPr>
    </w:p>
    <w:p>
      <w:pPr>
        <w:ind w:left="760" w:hanging="104"/>
        <w:spacing w:after="0"/>
        <w:tabs>
          <w:tab w:leader="none" w:pos="7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the Administrative Agent and, in the case of Section 5.04(f) or (g), the applicable Lender:</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8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after the date in each fiscal year on which the Parent Borrower is required to file its Annual Report on Form 10-K with the SEC (or would be required if the Parent Borrower is no longer required to file regular and periodic reports with the SEC), in each case without giving effect to any extension thereof, the audited consolidated balance sheet and related consolidated statements of operations, changes in shareholders’ equity, comprehensive income and cash flows of the Parent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Parent Borrower and its consolidated subsidiaries on a consolidated basis in accordance with GAAP;</w:t>
      </w:r>
    </w:p>
    <w:p>
      <w:pPr>
        <w:spacing w:after="0" w:line="18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8"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after each date in each fiscal year on which the Parent Borrower is required to file a Quarterly Report on Form 10-Q with the SEC (or would be required if the Parent Borrower is no longer required to file regular and periodic reports with the SEC), in each case without giving effect to any extension thereof, the unaudited consolidated balance sheets and related consolidated statements of operations and cash flows of the Parent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Parent Borrower and its consolidated subsidiaries on a consolidated basis in accordance with GAAP, subject to normal year-end audit adjustments and the absence of footnotes;</w:t>
      </w:r>
    </w:p>
    <w:p>
      <w:pPr>
        <w:spacing w:after="0" w:line="18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8"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paragraph (a) or (b) above, a certificate in the form of Exhibit F (a “</w:t>
      </w:r>
      <w:r>
        <w:rPr>
          <w:rFonts w:ascii="Times New Roman" w:cs="Times New Roman" w:eastAsia="Times New Roman" w:hAnsi="Times New Roman"/>
          <w:sz w:val="22"/>
          <w:szCs w:val="22"/>
          <w:i w:val="1"/>
          <w:iCs w:val="1"/>
          <w:color w:val="auto"/>
        </w:rPr>
        <w:t>Compliance Certificate</w:t>
      </w:r>
      <w:r>
        <w:rPr>
          <w:rFonts w:ascii="Times New Roman" w:cs="Times New Roman" w:eastAsia="Times New Roman" w:hAnsi="Times New Roman"/>
          <w:sz w:val="22"/>
          <w:szCs w:val="22"/>
          <w:color w:val="auto"/>
        </w:rPr>
        <w:t>”) of a Financial Officer (i) certifying that no Event of Default or Default has occurred or, if such an Event of Default or Default has occurred, specifying the nature and extent thereof and any corrective action taken or proposed to be taken with respect thereto and (ii) setting forth computations in detail reasonably satisfactory to the Agents demonstrating compliance with the Financial Covenants;</w:t>
      </w:r>
    </w:p>
    <w:p>
      <w:pPr>
        <w:spacing w:after="0" w:line="3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2" w:name="page173"/>
    <w:bookmarkEnd w:id="172"/>
    <w:p>
      <w:pPr>
        <w:jc w:val="both"/>
        <w:ind w:firstLine="1304"/>
        <w:spacing w:after="0" w:line="256" w:lineRule="auto"/>
        <w:tabs>
          <w:tab w:leader="none" w:pos="180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receipt thereof, copies of any audit or other reports delivered to the board of directors of the Parent Borrower (or the audit committee of such board) by an independent registered public accounting firm in connection with such firm’s audit of the consolidated financial statements of the Parent Borrower if such reports identify material weaknesses in internal controls over financial reporting of the Parent Borrower;</w:t>
      </w:r>
    </w:p>
    <w:p>
      <w:pPr>
        <w:spacing w:after="0" w:line="176"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69"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same become publicly available, copies of all periodic and other reports, proxy statements and other materials (other than filings under Section 16 of the Securities Exchange Act of 1934) filed by the Parent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76"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5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172"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 request by any Lender, an updated organizational chart of the Parent Borrower and its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 and</w:t>
      </w:r>
    </w:p>
    <w:p>
      <w:pPr>
        <w:spacing w:after="0" w:line="19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12"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Documents required to be delivered pursuant to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Parent Borrower’s website on the Internet at http://www.civeo.com, (ii) shall be available on the website of the SEC at http://www.sec.gov or (iii) shall have been posted on the Parent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Parent Borrower with any such request for delivery, and each Lender shall be solely responsible for requesting delivery to it or maintaining its copies of such documents.</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Parent Borrower hereby acknowledges that (a) the Agents will make available to the Lenders and the Issuing Banks materials and/or information provided by or on behalf of the Loan Parties hereunder (collectively, the “</w:t>
      </w:r>
      <w:r>
        <w:rPr>
          <w:rFonts w:ascii="Times New Roman" w:cs="Times New Roman" w:eastAsia="Times New Roman" w:hAnsi="Times New Roman"/>
          <w:sz w:val="21"/>
          <w:szCs w:val="21"/>
          <w:i w:val="1"/>
          <w:iCs w:val="1"/>
          <w:color w:val="auto"/>
        </w:rPr>
        <w:t>Borrower Materials</w:t>
      </w:r>
      <w:r>
        <w:rPr>
          <w:rFonts w:ascii="Times New Roman" w:cs="Times New Roman" w:eastAsia="Times New Roman" w:hAnsi="Times New Roman"/>
          <w:sz w:val="21"/>
          <w:szCs w:val="21"/>
          <w:color w:val="auto"/>
        </w:rPr>
        <w:t>”) by posting the Borrower Materials on SyndTrak or another similar electronic system (the “</w:t>
      </w:r>
      <w:r>
        <w:rPr>
          <w:rFonts w:ascii="Times New Roman" w:cs="Times New Roman" w:eastAsia="Times New Roman" w:hAnsi="Times New Roman"/>
          <w:sz w:val="21"/>
          <w:szCs w:val="21"/>
          <w:i w:val="1"/>
          <w:iCs w:val="1"/>
          <w:color w:val="auto"/>
        </w:rPr>
        <w:t>Platform</w:t>
      </w:r>
      <w:r>
        <w:rPr>
          <w:rFonts w:ascii="Times New Roman" w:cs="Times New Roman" w:eastAsia="Times New Roman" w:hAnsi="Times New Roman"/>
          <w:sz w:val="21"/>
          <w:szCs w:val="21"/>
          <w:color w:val="auto"/>
        </w:rPr>
        <w:t>”) and (b) certain of the Lenders</w:t>
      </w:r>
    </w:p>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3" w:name="page174"/>
    <w:bookmarkEnd w:id="173"/>
    <w:p>
      <w:pPr>
        <w:jc w:val="both"/>
        <w:spacing w:after="0" w:line="248" w:lineRule="auto"/>
        <w:rPr>
          <w:sz w:val="20"/>
          <w:szCs w:val="20"/>
          <w:color w:val="auto"/>
        </w:rPr>
      </w:pPr>
      <w:r>
        <w:rPr>
          <w:rFonts w:ascii="Times New Roman" w:cs="Times New Roman" w:eastAsia="Times New Roman" w:hAnsi="Times New Roman"/>
          <w:sz w:val="22"/>
          <w:szCs w:val="22"/>
          <w:color w:val="auto"/>
        </w:rPr>
        <w:t>may be “public-side” Lenders (i.e., Lenders that do not wish to receive material non-public information with respect to any Loan Party or its securities) (each, a “</w:t>
      </w:r>
      <w:r>
        <w:rPr>
          <w:rFonts w:ascii="Times New Roman" w:cs="Times New Roman" w:eastAsia="Times New Roman" w:hAnsi="Times New Roman"/>
          <w:sz w:val="22"/>
          <w:szCs w:val="22"/>
          <w:i w:val="1"/>
          <w:iCs w:val="1"/>
          <w:color w:val="auto"/>
        </w:rPr>
        <w:t>Public Lender</w:t>
      </w:r>
      <w:r>
        <w:rPr>
          <w:rFonts w:ascii="Times New Roman" w:cs="Times New Roman" w:eastAsia="Times New Roman" w:hAnsi="Times New Roman"/>
          <w:sz w:val="22"/>
          <w:szCs w:val="22"/>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such Borrower Materials constitute Information, they shall be treated as set forth in Section 9.16).</w:t>
      </w:r>
    </w:p>
    <w:p>
      <w:pPr>
        <w:spacing w:after="0" w:line="18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5.05</w:t>
      </w:r>
      <w:r>
        <w:rPr>
          <w:sz w:val="20"/>
          <w:szCs w:val="20"/>
          <w:color w:val="auto"/>
        </w:rPr>
        <w:tab/>
      </w:r>
      <w:r>
        <w:rPr>
          <w:rFonts w:ascii="Times New Roman" w:cs="Times New Roman" w:eastAsia="Times New Roman" w:hAnsi="Times New Roman"/>
          <w:sz w:val="21"/>
          <w:szCs w:val="21"/>
          <w:b w:val="1"/>
          <w:bCs w:val="1"/>
          <w:i w:val="1"/>
          <w:iCs w:val="1"/>
          <w:color w:val="auto"/>
        </w:rPr>
        <w:t>Litigation and Other Notices</w:t>
      </w:r>
    </w:p>
    <w:p>
      <w:pPr>
        <w:spacing w:after="0" w:line="226" w:lineRule="exact"/>
        <w:rPr>
          <w:sz w:val="20"/>
          <w:szCs w:val="20"/>
          <w:color w:val="auto"/>
        </w:rPr>
      </w:pPr>
    </w:p>
    <w:p>
      <w:pPr>
        <w:ind w:left="760" w:hanging="104"/>
        <w:spacing w:after="0"/>
        <w:tabs>
          <w:tab w:leader="none" w:pos="7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obtaining knowledge thereof, furnish to the Administrative Agents prompt written notice of the following:</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813"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or Default, specifying the nature and extent thereof and the corrective action (if any) taken or proposed to be taken with respect thereto;</w:t>
      </w:r>
    </w:p>
    <w:p>
      <w:pPr>
        <w:spacing w:after="0" w:line="143"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768"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5"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or analogous event with respect to a Canadian Pension Plan, Defined Benefit Plan or Canadian Benefit Plan that, alone or together with any other such events that have occurred, could reasonably be expected to result in a Material Adverse Effect;</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95"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any form of written notice, summons, material correspondence or citation received from any Governmental Authority or any other person, (i) concerning material violations or alleged violations of Environmental Laws, which seeks or threatens to impose liability on the Parent Borrower or its Subsidiaries therefor, (ii) alleging liability for any material action or omission on the part of the Parent Borrower or any of its Subsidiaries in connection with any Release of Hazardous Material, (iii) providing any written notice of potential responsibility or liability under any Environmental Law, or (iv) concerning the filing of a Lien other than a Lien permitted by Section 6.02 upon, against or in connection with the Parent Borrower or any of its Subsidiaries, or any of their leased or owned material property, wherever located, in each of cases (i) through (iv) that, individually or in the aggregate, could reasonably be expected to result in a liability (to the extent not covered by insurance) of the Parent Borrower or any of its Subsidiaries in an aggregate amount exceeding $25,000,000; or</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4" w:name="page175"/>
    <w:bookmarkEnd w:id="174"/>
    <w:p>
      <w:pPr>
        <w:ind w:left="660" w:right="60" w:firstLine="648"/>
        <w:spacing w:after="0" w:line="448" w:lineRule="auto"/>
        <w:rPr>
          <w:sz w:val="20"/>
          <w:szCs w:val="20"/>
          <w:color w:val="auto"/>
        </w:rPr>
      </w:pPr>
      <w:r>
        <w:rPr>
          <w:rFonts w:ascii="Times New Roman" w:cs="Times New Roman" w:eastAsia="Times New Roman" w:hAnsi="Times New Roman"/>
          <w:sz w:val="22"/>
          <w:szCs w:val="22"/>
          <w:color w:val="auto"/>
        </w:rPr>
        <w:t xml:space="preserve">(e) any development that has resulted in, or could reasonably be expected to result in, a Material Adverse Effect. </w:t>
      </w:r>
      <w:r>
        <w:rPr>
          <w:rFonts w:ascii="Times New Roman" w:cs="Times New Roman" w:eastAsia="Times New Roman" w:hAnsi="Times New Roman"/>
          <w:sz w:val="22"/>
          <w:szCs w:val="22"/>
          <w:b w:val="1"/>
          <w:bCs w:val="1"/>
          <w:color w:val="auto"/>
        </w:rPr>
        <w:t xml:space="preserve">SECTION 5.06 </w:t>
      </w:r>
      <w:r>
        <w:rPr>
          <w:rFonts w:ascii="Times New Roman" w:cs="Times New Roman" w:eastAsia="Times New Roman" w:hAnsi="Times New Roman"/>
          <w:sz w:val="22"/>
          <w:szCs w:val="22"/>
          <w:b w:val="1"/>
          <w:bCs w:val="1"/>
          <w:i w:val="1"/>
          <w:iCs w:val="1"/>
          <w:color w:val="auto"/>
        </w:rPr>
        <w:t>Information Regarding Collateral</w:t>
      </w:r>
    </w:p>
    <w:p>
      <w:pPr>
        <w:spacing w:after="0" w:line="1" w:lineRule="exact"/>
        <w:rPr>
          <w:sz w:val="20"/>
          <w:szCs w:val="20"/>
          <w:color w:val="auto"/>
        </w:rPr>
      </w:pPr>
    </w:p>
    <w:p>
      <w:pPr>
        <w:ind w:left="760" w:hanging="104"/>
        <w:spacing w:after="0"/>
        <w:tabs>
          <w:tab w:leader="none" w:pos="76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 to the Administrative Agent prompt (and in any event within 30 days after the occurrence thereof) written notice</w:t>
      </w:r>
    </w:p>
    <w:p>
      <w:pPr>
        <w:spacing w:after="0" w:line="40" w:lineRule="exact"/>
        <w:rPr>
          <w:rFonts w:ascii="Times New Roman" w:cs="Times New Roman" w:eastAsia="Times New Roman" w:hAnsi="Times New Roman"/>
          <w:sz w:val="21"/>
          <w:szCs w:val="21"/>
          <w:color w:val="auto"/>
        </w:rPr>
      </w:pPr>
    </w:p>
    <w:p>
      <w:pPr>
        <w:ind w:firstLine="8"/>
        <w:spacing w:after="0" w:line="259" w:lineRule="auto"/>
        <w:tabs>
          <w:tab w:leader="none" w:pos="302"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change in the legal name, corporate structure, jurisdiction of organization or formation or organizational identification number of a Loan Party; and (b) if any material portion of the Collateral is expropriated, damaged or destroyed.</w:t>
      </w:r>
    </w:p>
    <w:p>
      <w:pPr>
        <w:spacing w:after="0" w:line="16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5.07</w:t>
      </w:r>
      <w:r>
        <w:rPr>
          <w:sz w:val="20"/>
          <w:szCs w:val="20"/>
          <w:color w:val="auto"/>
        </w:rPr>
        <w:tab/>
      </w:r>
      <w:r>
        <w:rPr>
          <w:rFonts w:ascii="Times New Roman" w:cs="Times New Roman" w:eastAsia="Times New Roman" w:hAnsi="Times New Roman"/>
          <w:sz w:val="21"/>
          <w:szCs w:val="21"/>
          <w:b w:val="1"/>
          <w:bCs w:val="1"/>
          <w:i w:val="1"/>
          <w:iCs w:val="1"/>
          <w:color w:val="auto"/>
        </w:rPr>
        <w:t>Maintaining Records; Access to Properties and Inspections</w:t>
      </w:r>
    </w:p>
    <w:p>
      <w:pPr>
        <w:spacing w:after="0" w:line="226" w:lineRule="exact"/>
        <w:rPr>
          <w:sz w:val="20"/>
          <w:szCs w:val="20"/>
          <w:color w:val="auto"/>
        </w:rPr>
      </w:pPr>
    </w:p>
    <w:p>
      <w:pPr>
        <w:jc w:val="both"/>
        <w:ind w:firstLine="656"/>
        <w:spacing w:after="0" w:line="249" w:lineRule="auto"/>
        <w:tabs>
          <w:tab w:leader="none" w:pos="78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Keep proper books of record and account in which full, true and correct entries in conformity with GAAP or other applicable accounting principles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Parent Borrower and at such reasonable times during normal business hours and as often as may be reasonably desired, upon reasonable advance notice to the applicable Loan Party or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17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5.08</w:t>
      </w:r>
      <w:r>
        <w:rPr>
          <w:sz w:val="20"/>
          <w:szCs w:val="20"/>
          <w:color w:val="auto"/>
        </w:rPr>
        <w:tab/>
      </w:r>
      <w:r>
        <w:rPr>
          <w:rFonts w:ascii="Times New Roman" w:cs="Times New Roman" w:eastAsia="Times New Roman" w:hAnsi="Times New Roman"/>
          <w:sz w:val="21"/>
          <w:szCs w:val="21"/>
          <w:b w:val="1"/>
          <w:bCs w:val="1"/>
          <w:i w:val="1"/>
          <w:iCs w:val="1"/>
          <w:color w:val="auto"/>
        </w:rPr>
        <w:t>Use of Proceeds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Use the proceeds of the Loans and request the issuance of Letters of Credit only for the purposes set forth in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3.13.</w:t>
      </w:r>
    </w:p>
    <w:p>
      <w:pPr>
        <w:spacing w:after="0" w:line="20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5.09</w:t>
      </w:r>
      <w:r>
        <w:rPr>
          <w:sz w:val="20"/>
          <w:szCs w:val="20"/>
          <w:color w:val="auto"/>
        </w:rPr>
        <w:tab/>
      </w:r>
      <w:r>
        <w:rPr>
          <w:rFonts w:ascii="Times New Roman" w:cs="Times New Roman" w:eastAsia="Times New Roman" w:hAnsi="Times New Roman"/>
          <w:sz w:val="21"/>
          <w:szCs w:val="21"/>
          <w:b w:val="1"/>
          <w:bCs w:val="1"/>
          <w:i w:val="1"/>
          <w:iCs w:val="1"/>
          <w:color w:val="auto"/>
        </w:rPr>
        <w:t>Further Assurances</w:t>
      </w:r>
    </w:p>
    <w:p>
      <w:pPr>
        <w:spacing w:after="0" w:line="226" w:lineRule="exact"/>
        <w:rPr>
          <w:sz w:val="20"/>
          <w:szCs w:val="20"/>
          <w:color w:val="auto"/>
        </w:rPr>
      </w:pPr>
    </w:p>
    <w:p>
      <w:pPr>
        <w:ind w:left="760" w:hanging="104"/>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its sole cost and expense,</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8"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any and all further documents, financing statements, agreements and 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5" w:name="page176"/>
    <w:bookmarkEnd w:id="175"/>
    <w:p>
      <w:pPr>
        <w:jc w:val="both"/>
        <w:ind w:firstLine="1304"/>
        <w:spacing w:after="0" w:line="265" w:lineRule="auto"/>
        <w:tabs>
          <w:tab w:leader="none" w:pos="178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Domestic Subsidiary that is a Material Subsidiary (other than a Domestic Subsidiary that is (i) a Subsidiary of a U.S. Owned Subsidiary or (ii) a FSHCO) or any Domestic Subsidiary that was not a Material Subsidiary that subsequently becomes a Material Subsidiary (other than a Domestic Subsidiary that is (i) a Subsidiary of a U.S. Owned Subsidiary or (ii) a FSHCO), to execute a supplement making it a party to the U.S.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68" w:lineRule="exact"/>
        <w:rPr>
          <w:rFonts w:ascii="Times New Roman" w:cs="Times New Roman" w:eastAsia="Times New Roman" w:hAnsi="Times New Roman"/>
          <w:sz w:val="21"/>
          <w:szCs w:val="21"/>
          <w:color w:val="auto"/>
        </w:rPr>
      </w:pPr>
    </w:p>
    <w:p>
      <w:pPr>
        <w:jc w:val="both"/>
        <w:ind w:firstLine="1304"/>
        <w:spacing w:after="0" w:line="272" w:lineRule="auto"/>
        <w:tabs>
          <w:tab w:leader="none" w:pos="1869"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w:t>
      </w:r>
    </w:p>
    <w:p>
      <w:pPr>
        <w:spacing w:after="0" w:line="160" w:lineRule="exact"/>
        <w:rPr>
          <w:rFonts w:ascii="Times New Roman" w:cs="Times New Roman" w:eastAsia="Times New Roman" w:hAnsi="Times New Roman"/>
          <w:sz w:val="21"/>
          <w:szCs w:val="21"/>
          <w:color w:val="auto"/>
        </w:rPr>
      </w:pPr>
    </w:p>
    <w:p>
      <w:pPr>
        <w:jc w:val="both"/>
        <w:ind w:firstLine="1304"/>
        <w:spacing w:after="0" w:line="268" w:lineRule="auto"/>
        <w:tabs>
          <w:tab w:leader="none" w:pos="186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Australian Subsidiary that is a Material Subsidiary or any Australian Subsidiary that was not a Material Subsidiary that subsequently becomes a Material Subsidiary to execute a supplement to the Australian Guarantee Agreement and a new Australian Security Document, in each case within thirty (30) days (or such longer period as may be agreed to by the Administrative Agent) after such acquisition, organization or change in status.</w:t>
      </w:r>
    </w:p>
    <w:p>
      <w:pPr>
        <w:spacing w:after="0" w:line="176" w:lineRule="exact"/>
        <w:rPr>
          <w:rFonts w:ascii="Times New Roman" w:cs="Times New Roman" w:eastAsia="Times New Roman" w:hAnsi="Times New Roman"/>
          <w:sz w:val="21"/>
          <w:szCs w:val="21"/>
          <w:color w:val="auto"/>
        </w:rPr>
      </w:pPr>
    </w:p>
    <w:p>
      <w:pPr>
        <w:jc w:val="both"/>
        <w:ind w:firstLine="1304"/>
        <w:spacing w:after="0" w:line="247" w:lineRule="auto"/>
        <w:tabs>
          <w:tab w:leader="none" w:pos="184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and each Domestic Subsidiary (other than any Domestic Subsidiary that is a subsidiary of a U.S. Owned Subsidiary) shall pledge substantially all of its material personal property located in the United States (provided that 100% of the Equity Interests of Material Subsidiaries that are Domestic Subsidiaries (other than a Domestic Subsidiary that is (i) a subsidiary of a U.S. Owned Subsidiary or (ii) a FSHCO) and 65% (and no more than 65%) of the total outstanding voting Equity Interests and 100% of the total outstanding nonvoting Equity Interests (if any) of each Material Subsidiary that is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a Foreign Subsidiary whose Equity Interests are directly owned by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or any Domestic Subsidiary (other than any Domestic Subsidiary that is a subsidiary of a U.S. Owned Subsidiary) or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highlight w:val="lightGray"/>
        </w:rPr>
        <w:t>B</w:t>
      </w:r>
      <w:r>
        <w:rPr>
          <w:rFonts w:ascii="Times New Roman" w:cs="Times New Roman" w:eastAsia="Times New Roman" w:hAnsi="Times New Roman"/>
          <w:sz w:val="22"/>
          <w:szCs w:val="22"/>
          <w:color w:val="auto"/>
        </w:rPr>
        <w:t>) a FSHCO shall be pledged in support of the Obligations</w:t>
      </w: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color w:val="auto"/>
        </w:rPr>
        <w:t>).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6" w:name="page177"/>
    <w:bookmarkEnd w:id="176"/>
    <w:p>
      <w:pPr>
        <w:jc w:val="both"/>
        <w:spacing w:after="0" w:line="257" w:lineRule="auto"/>
        <w:rPr>
          <w:sz w:val="20"/>
          <w:szCs w:val="20"/>
          <w:color w:val="auto"/>
        </w:rPr>
      </w:pPr>
      <w:r>
        <w:rPr>
          <w:rFonts w:ascii="Times New Roman" w:cs="Times New Roman" w:eastAsia="Times New Roman" w:hAnsi="Times New Roman"/>
          <w:sz w:val="22"/>
          <w:szCs w:val="22"/>
          <w:color w:val="auto"/>
        </w:rPr>
        <w:t>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Parent Borrower or any Subsidiary.</w:t>
      </w:r>
    </w:p>
    <w:p>
      <w:pPr>
        <w:spacing w:after="0" w:line="186" w:lineRule="exact"/>
        <w:rPr>
          <w:sz w:val="20"/>
          <w:szCs w:val="20"/>
          <w:color w:val="auto"/>
        </w:rPr>
      </w:pPr>
    </w:p>
    <w:p>
      <w:pPr>
        <w:jc w:val="both"/>
        <w:ind w:firstLine="1304"/>
        <w:spacing w:after="0" w:line="249" w:lineRule="auto"/>
        <w:tabs>
          <w:tab w:leader="none" w:pos="180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Date, without duplication, the Parent Borrower acquires or forms a Subsidiary or any Subsidiary that was not a Material Subsidiary subsequently becomes a Material Subsidiary, such Subsidiary shall provide a guarantee and security with respect to the Obligations of all the Borrowers in form and substance reasonably satisfactory to the Collateral Agents, in each case within thirty (30) days (or such longer period as may be agreed to by the Administrative Agent) after such acquisition or 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the limitations laid out in connection with the guarantee and security with respect to the Obligations of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in the foregoing paragraphs shall apply mutatis mutandis with respect to any relevant Subsidiary acquired or formed by the Parent Borrower after the Closing Date that is not specifically addressed in such foregoing paragraphs).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6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the Closing Date, any of the Australian Borrower, the Canadian Subsidiary Guarantors, the Australian Subsidiary Guarantors or any other U.S. Owned Subsidiary, as applicable, ceases to be a “controlled foreign corporation” within the meaning of Section 957 of the Code which is owned by (i)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a</w:t>
      </w:r>
      <w:r>
        <w:rPr>
          <w:rFonts w:ascii="Times New Roman" w:cs="Times New Roman" w:eastAsia="Times New Roman" w:hAnsi="Times New Roman"/>
          <w:sz w:val="22"/>
          <w:szCs w:val="22"/>
          <w:color w:val="auto"/>
        </w:rPr>
        <w:t xml:space="preserve"> U.S. Borrower or (ii) a Subsidiary of the Parent Borrower that is a U.S. Person, or a Domestic Subsidiary that was previously a FSHCO ceases to be a FSHCO owned by a U.S. Owned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the case of a Domestic Subsidiary that was both a FSHCO and owned by a U.S. Owned Subsidiary, such Domestic Subsidiary both ceases to be a FSHCO and ceases to be owned by a U.S. Owned Subsidiary), such person shall provide a guarantee and security with respect to the Obligations in form and substance reasonably satisfactory to the Collateral Agents, in each case within thirty (30) days (or such longer period as may be agreed to by the Administrative Agent) after such cessation.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9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this Section 5.09 shall not apply to limit or diminish any guarantee or security provided as of the Closing Date by a Subsidiary with respect to the Obligations (including as a result of a change in the ownership of such Subsidiary pursuant to a reorganization subsequent to the Closing Date or otherwise) without the consent of the Administrative Agent (not to be unreasonably withheld or delayed).</w:t>
      </w:r>
    </w:p>
    <w:p>
      <w:pPr>
        <w:spacing w:after="0" w:line="18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5.10</w:t>
      </w:r>
      <w:r>
        <w:rPr>
          <w:sz w:val="20"/>
          <w:szCs w:val="20"/>
          <w:color w:val="auto"/>
        </w:rPr>
        <w:tab/>
      </w:r>
      <w:r>
        <w:rPr>
          <w:rFonts w:ascii="Times New Roman" w:cs="Times New Roman" w:eastAsia="Times New Roman" w:hAnsi="Times New Roman"/>
          <w:sz w:val="21"/>
          <w:szCs w:val="21"/>
          <w:b w:val="1"/>
          <w:bCs w:val="1"/>
          <w:i w:val="1"/>
          <w:iCs w:val="1"/>
          <w:color w:val="auto"/>
        </w:rPr>
        <w:t>[Reserved]</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of the Borrowers covenants and agrees with each Lender that, so long as this Agreement shall remain in effect and until the Commitments have been terminated and the</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7" w:name="page178"/>
    <w:bookmarkEnd w:id="177"/>
    <w:p>
      <w:pPr>
        <w:jc w:val="both"/>
        <w:spacing w:after="0" w:line="256" w:lineRule="auto"/>
        <w:rPr>
          <w:sz w:val="20"/>
          <w:szCs w:val="20"/>
          <w:color w:val="auto"/>
        </w:rPr>
      </w:pPr>
      <w:r>
        <w:rPr>
          <w:rFonts w:ascii="Times New Roman" w:cs="Times New Roman" w:eastAsia="Times New Roman" w:hAnsi="Times New Roman"/>
          <w:sz w:val="22"/>
          <w:szCs w:val="22"/>
          <w:color w:val="auto"/>
        </w:rPr>
        <w:t>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6.01</w:t>
      </w:r>
      <w:r>
        <w:rPr>
          <w:sz w:val="20"/>
          <w:szCs w:val="20"/>
          <w:color w:val="auto"/>
        </w:rPr>
        <w:tab/>
      </w:r>
      <w:r>
        <w:rPr>
          <w:rFonts w:ascii="Times New Roman" w:cs="Times New Roman" w:eastAsia="Times New Roman" w:hAnsi="Times New Roman"/>
          <w:sz w:val="21"/>
          <w:szCs w:val="21"/>
          <w:b w:val="1"/>
          <w:bCs w:val="1"/>
          <w:i w:val="1"/>
          <w:iCs w:val="1"/>
          <w:color w:val="auto"/>
        </w:rPr>
        <w:t>Indebtedness</w:t>
      </w:r>
    </w:p>
    <w:p>
      <w:pPr>
        <w:spacing w:after="0" w:line="226" w:lineRule="exact"/>
        <w:rPr>
          <w:sz w:val="20"/>
          <w:szCs w:val="20"/>
          <w:color w:val="auto"/>
        </w:rPr>
      </w:pPr>
    </w:p>
    <w:p>
      <w:pPr>
        <w:ind w:left="760" w:hanging="104"/>
        <w:spacing w:after="0"/>
        <w:tabs>
          <w:tab w:leader="none" w:pos="7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Closing Date, incur, create, assume or permit to exist any Indebtedness, except:</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set forth in Schedule 6.01, and any Permitted Refinancing Indebtedness thereof;</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including the Indebtedness created hereunder and under the other Loan Documents;</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intercompany Indebtedness of the Borrowers and the Subsidiaries to the extent permitted by Sections 6.04(a),</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 (g), (k) and (l);</w:t>
      </w:r>
    </w:p>
    <w:p>
      <w:pPr>
        <w:spacing w:after="0" w:line="195"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0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7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issued pursuant to a Qualified Offering and any Permitted Refinancing Indebtedness thereof;</w:t>
      </w:r>
    </w:p>
    <w:p>
      <w:pPr>
        <w:spacing w:after="0" w:line="233"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Australian Borrower and guaranties thereunder by any Subsidiary created under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Bilateral Agreement;</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secured Indebtedness of a Borrower or any Subsidiary and guarantees thereof by any Subsidiary not otherwise permitted under this Section 6.01;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Liens securing such Indebtedness are permitted under Section 6.02(j) and (ii) the aggregate principal amount of such Indebtedness does not exceed $20,000,000 at any time outstanding;</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809"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 Borrower or any Subsidiary and guaranties thereunder by any Subsidiary in an aggregate principal amount not to exceed $25,000,000 at any time outstanding; and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connection with banking services and Hedging Agreements, in each case, permitted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9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6.02</w:t>
      </w:r>
      <w:r>
        <w:rPr>
          <w:sz w:val="20"/>
          <w:szCs w:val="20"/>
          <w:color w:val="auto"/>
        </w:rPr>
        <w:tab/>
      </w:r>
      <w:r>
        <w:rPr>
          <w:rFonts w:ascii="Times New Roman" w:cs="Times New Roman" w:eastAsia="Times New Roman" w:hAnsi="Times New Roman"/>
          <w:sz w:val="21"/>
          <w:szCs w:val="21"/>
          <w:b w:val="1"/>
          <w:bCs w:val="1"/>
          <w:i w:val="1"/>
          <w:iCs w:val="1"/>
          <w:color w:val="auto"/>
        </w:rPr>
        <w:t>Liens</w:t>
      </w:r>
    </w:p>
    <w:p>
      <w:pPr>
        <w:spacing w:after="0" w:line="239" w:lineRule="exact"/>
        <w:rPr>
          <w:sz w:val="20"/>
          <w:szCs w:val="20"/>
          <w:color w:val="auto"/>
        </w:rPr>
      </w:pPr>
    </w:p>
    <w:p>
      <w:pPr>
        <w:ind w:firstLine="656"/>
        <w:spacing w:after="0" w:line="271" w:lineRule="auto"/>
        <w:tabs>
          <w:tab w:leader="none" w:pos="75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Closing Date, create, incur, assume or permit to exist any Lien on any property or assets (including stock or other securities of any person, including any Subsidiary)</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now owned or hereafter acquired by it or on any income or revenues or rights in respect of any thereof, except:</w:t>
      </w:r>
    </w:p>
    <w:p>
      <w:pPr>
        <w:spacing w:after="0" w:line="216" w:lineRule="exact"/>
        <w:rPr>
          <w:sz w:val="20"/>
          <w:szCs w:val="20"/>
          <w:color w:val="auto"/>
        </w:rPr>
      </w:pPr>
    </w:p>
    <w:p>
      <w:pPr>
        <w:ind w:firstLine="1304"/>
        <w:spacing w:after="0" w:line="299" w:lineRule="auto"/>
        <w:tabs>
          <w:tab w:leader="none" w:pos="177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the Closing Date and set forth in Schedule 6.02;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Liens shall secure only those obligations which they secure on the date hereof and extensions, renewals and replacements thereof permitted hereunder;</w:t>
      </w:r>
    </w:p>
    <w:p>
      <w:pPr>
        <w:spacing w:after="0" w:line="144"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created under the Loan Documents;</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which are being contested in compliance with Section 5.03;</w:t>
      </w:r>
    </w:p>
    <w:p>
      <w:pPr>
        <w:spacing w:after="0" w:line="219"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77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5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(other than any Lien imposed by ERISA), pledges and deposits made in the ordinary course of business in compliance with workmen’s compensation, unemployment insurance and other social security laws or regulations;</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(other than for Indebtedness), leases (including Capital Lease Obligations), statutory obligations, surety and appeal bonds, performance bonds and other obligations of a like nature incurred in the ordinary course of business;</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201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all such judgments or awards </w:t>
      </w:r>
      <w:r>
        <w:rPr>
          <w:rFonts w:ascii="Times New Roman" w:cs="Times New Roman" w:eastAsia="Times New Roman" w:hAnsi="Times New Roman"/>
          <w:sz w:val="22"/>
          <w:szCs w:val="22"/>
          <w:color w:val="FF0000"/>
          <w:strike w:val="1"/>
        </w:rPr>
        <w:t>(and any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and the fair market value of any property subject to such Liens)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does not exceed U.S.$</w:t>
      </w:r>
      <w:r>
        <w:rPr>
          <w:rFonts w:ascii="Times New Roman" w:cs="Times New Roman" w:eastAsia="Times New Roman" w:hAnsi="Times New Roman"/>
          <w:sz w:val="22"/>
          <w:szCs w:val="22"/>
          <w:color w:val="FF0000"/>
          <w:strike w:val="1"/>
        </w:rPr>
        <w:t>10,000,000</w:t>
      </w:r>
      <w:r>
        <w:rPr>
          <w:rFonts w:ascii="Times New Roman" w:cs="Times New Roman" w:eastAsia="Times New Roman" w:hAnsi="Times New Roman"/>
          <w:sz w:val="22"/>
          <w:szCs w:val="22"/>
          <w:u w:val="single" w:color="auto"/>
          <w:color w:val="0000FF"/>
          <w:highlight w:val="lightGray"/>
        </w:rPr>
        <w:t>25,000,000</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at any time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outstanding;</w:t>
      </w:r>
    </w:p>
    <w:p>
      <w:pPr>
        <w:spacing w:after="0" w:line="178" w:lineRule="exact"/>
        <w:rPr>
          <w:rFonts w:ascii="Times New Roman" w:cs="Times New Roman" w:eastAsia="Times New Roman" w:hAnsi="Times New Roman"/>
          <w:sz w:val="22"/>
          <w:szCs w:val="22"/>
          <w:color w:val="auto"/>
        </w:rPr>
      </w:pPr>
    </w:p>
    <w:p>
      <w:pPr>
        <w:ind w:right="20" w:firstLine="1304"/>
        <w:spacing w:after="0" w:line="271" w:lineRule="auto"/>
        <w:tabs>
          <w:tab w:leader="none" w:pos="180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Section 6.01(e) and any Permitted Refinancing Indebtedness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subject to a Customary Junior Lien Intercreditor Agreement;</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security interests in real property, improvements thereto or personal property owned or acquired (or, in the case of improvements, constructed) by the Borrowers or any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such security interests in any of the foregoing types of property acquired after the Closing Date, (i) such security interests secure</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79" w:name="page180"/>
    <w:bookmarkEnd w:id="179"/>
    <w:p>
      <w:pPr>
        <w:jc w:val="both"/>
        <w:spacing w:after="0" w:line="272" w:lineRule="auto"/>
        <w:rPr>
          <w:sz w:val="20"/>
          <w:szCs w:val="20"/>
          <w:color w:val="auto"/>
        </w:rPr>
      </w:pPr>
      <w:r>
        <w:rPr>
          <w:rFonts w:ascii="Times New Roman" w:cs="Times New Roman" w:eastAsia="Times New Roman" w:hAnsi="Times New Roman"/>
          <w:sz w:val="21"/>
          <w:szCs w:val="21"/>
          <w:color w:val="auto"/>
        </w:rPr>
        <w:t>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personal property at the time of such acquisition (or construction) and (iv) such security interests do not apply to any other property or assets of the Borrowers or any Subsidiary;</w:t>
      </w:r>
    </w:p>
    <w:p>
      <w:pPr>
        <w:spacing w:after="0" w:line="161" w:lineRule="exact"/>
        <w:rPr>
          <w:sz w:val="20"/>
          <w:szCs w:val="20"/>
          <w:color w:val="auto"/>
        </w:rPr>
      </w:pPr>
    </w:p>
    <w:p>
      <w:pPr>
        <w:jc w:val="both"/>
        <w:ind w:firstLine="1304"/>
        <w:spacing w:after="0" w:line="257" w:lineRule="auto"/>
        <w:tabs>
          <w:tab w:leader="none" w:pos="193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Equity Interests in a Special Purpose Business Entity incurred for the purpose of providing independent financing for such Special Purpose Business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such Liens are non-recourse as to the Parent Borrower or any of its Subsidiaries holding any Equity Interests in such Special Purpose Business Entity;</w:t>
      </w:r>
    </w:p>
    <w:p>
      <w:pPr>
        <w:spacing w:after="0" w:line="168" w:lineRule="exact"/>
        <w:rPr>
          <w:rFonts w:ascii="Times New Roman" w:cs="Times New Roman" w:eastAsia="Times New Roman" w:hAnsi="Times New Roman"/>
          <w:sz w:val="22"/>
          <w:szCs w:val="22"/>
          <w:color w:val="auto"/>
        </w:rPr>
      </w:pPr>
    </w:p>
    <w:p>
      <w:pPr>
        <w:jc w:val="both"/>
        <w:ind w:firstLine="1304"/>
        <w:spacing w:after="0" w:line="283" w:lineRule="auto"/>
        <w:tabs>
          <w:tab w:leader="none" w:pos="1734"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Indebtedness and not otherwise permitted under this Section 6.02;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principal amount of all Indebtedness secured by such Liens does not exceed $20,000,000 at any time outstanding;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further </w:t>
      </w:r>
      <w:r>
        <w:rPr>
          <w:rFonts w:ascii="Times New Roman" w:cs="Times New Roman" w:eastAsia="Times New Roman" w:hAnsi="Times New Roman"/>
          <w:sz w:val="21"/>
          <w:szCs w:val="21"/>
          <w:color w:val="auto"/>
        </w:rPr>
        <w:t>that no Lien on any Collateral of any Borrower or any of their Subsidiaries shall be permitted by this Section 6.02(l);</w:t>
      </w:r>
    </w:p>
    <w:p>
      <w:pPr>
        <w:spacing w:after="0" w:line="148"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1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Liens arising in connection with a deemed security interest under Section 12(3) of the PPSA (Australia) which do not secure payment or performance of any obligation;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72" w:lineRule="auto"/>
        <w:tabs>
          <w:tab w:leader="none" w:pos="1769"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w:t>
      </w:r>
    </w:p>
    <w:p>
      <w:pPr>
        <w:spacing w:after="0" w:line="160" w:lineRule="exact"/>
        <w:rPr>
          <w:rFonts w:ascii="Times New Roman" w:cs="Times New Roman" w:eastAsia="Times New Roman" w:hAnsi="Times New Roman"/>
          <w:sz w:val="21"/>
          <w:szCs w:val="21"/>
          <w:color w:val="auto"/>
        </w:rPr>
      </w:pPr>
    </w:p>
    <w:p>
      <w:pPr>
        <w:jc w:val="both"/>
        <w:ind w:firstLine="1304"/>
        <w:spacing w:after="0" w:line="256" w:lineRule="auto"/>
        <w:tabs>
          <w:tab w:leader="none" w:pos="180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leasing cost or selling price (and other amounts incidental to those amounts) of such goods and products;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any netting or set-off arrangement entered into by any such entity in the ordinary course of its banking arrangements for the purposes of netting debit and credit balances; and</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any payment or close out netting or set-off arrangement pursuant to any derivative or foreign exchange transaction entered into by any such entity, but excluding any Liens under a credit support arrangement.</w:t>
      </w:r>
    </w:p>
    <w:p>
      <w:pPr>
        <w:spacing w:after="0" w:line="16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6.03</w:t>
      </w:r>
      <w:r>
        <w:rPr>
          <w:sz w:val="20"/>
          <w:szCs w:val="20"/>
          <w:color w:val="auto"/>
        </w:rPr>
        <w:tab/>
      </w:r>
      <w:r>
        <w:rPr>
          <w:rFonts w:ascii="Times New Roman" w:cs="Times New Roman" w:eastAsia="Times New Roman" w:hAnsi="Times New Roman"/>
          <w:sz w:val="21"/>
          <w:szCs w:val="21"/>
          <w:b w:val="1"/>
          <w:bCs w:val="1"/>
          <w:i w:val="1"/>
          <w:iCs w:val="1"/>
          <w:color w:val="auto"/>
        </w:rPr>
        <w:t>Sale and Lease-Back Transactions</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0" w:name="page181"/>
    <w:bookmarkEnd w:id="180"/>
    <w:p>
      <w:pPr>
        <w:jc w:val="both"/>
        <w:ind w:firstLine="656"/>
        <w:spacing w:after="0" w:line="256" w:lineRule="auto"/>
        <w:tabs>
          <w:tab w:leader="none" w:pos="75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arrangement, directly or indirectly, with any person 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6.04</w:t>
      </w:r>
      <w:r>
        <w:rPr>
          <w:sz w:val="20"/>
          <w:szCs w:val="20"/>
          <w:color w:val="auto"/>
        </w:rPr>
        <w:tab/>
      </w:r>
      <w:r>
        <w:rPr>
          <w:rFonts w:ascii="Times New Roman" w:cs="Times New Roman" w:eastAsia="Times New Roman" w:hAnsi="Times New Roman"/>
          <w:sz w:val="21"/>
          <w:szCs w:val="21"/>
          <w:b w:val="1"/>
          <w:bCs w:val="1"/>
          <w:i w:val="1"/>
          <w:iCs w:val="1"/>
          <w:color w:val="auto"/>
        </w:rPr>
        <w:t>Investments, Loans and Advances</w:t>
      </w:r>
    </w:p>
    <w:p>
      <w:pPr>
        <w:spacing w:after="0" w:line="226" w:lineRule="exact"/>
        <w:rPr>
          <w:sz w:val="20"/>
          <w:szCs w:val="20"/>
          <w:color w:val="auto"/>
        </w:rPr>
      </w:pPr>
    </w:p>
    <w:p>
      <w:pPr>
        <w:jc w:val="both"/>
        <w:ind w:firstLine="656"/>
        <w:spacing w:after="0" w:line="257" w:lineRule="auto"/>
        <w:tabs>
          <w:tab w:leader="none" w:pos="75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hold or acquire any Equity Interests, evidences of indebtedness or other securities of, make or permit to exist any loans or advances to, or make or permit to exist any investment or any other interest in, any other person (referred to herein as an “</w:t>
      </w:r>
      <w:r>
        <w:rPr>
          <w:rFonts w:ascii="Times New Roman" w:cs="Times New Roman" w:eastAsia="Times New Roman" w:hAnsi="Times New Roman"/>
          <w:sz w:val="22"/>
          <w:szCs w:val="22"/>
          <w:i w:val="1"/>
          <w:iCs w:val="1"/>
          <w:color w:val="auto"/>
        </w:rPr>
        <w:t>Investment</w:t>
      </w:r>
      <w:r>
        <w:rPr>
          <w:rFonts w:ascii="Times New Roman" w:cs="Times New Roman" w:eastAsia="Times New Roman" w:hAnsi="Times New Roman"/>
          <w:sz w:val="22"/>
          <w:szCs w:val="22"/>
          <w:color w:val="auto"/>
        </w:rPr>
        <w:t>”), except:</w:t>
      </w:r>
    </w:p>
    <w:p>
      <w:pPr>
        <w:spacing w:after="0" w:line="18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set forth on Schedule 6.04;</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83"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receivable owing to the Borrowers or any of the Subsidiaries arising from sales of inventory or the provision of services in the ordinary course of business;</w:t>
      </w:r>
    </w:p>
    <w:p>
      <w:pPr>
        <w:spacing w:after="0" w:line="157"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807"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2006"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Borrower or such Subsidiary, as the case may be, has paid no new consideration (other than forgiveness of Indebtedness) therefor;</w:t>
      </w:r>
    </w:p>
    <w:p>
      <w:pPr>
        <w:spacing w:after="0" w:line="19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 Loan Party in or to another Loan Party;</w:t>
      </w:r>
    </w:p>
    <w:p>
      <w:pPr>
        <w:spacing w:after="0" w:line="215" w:lineRule="exact"/>
        <w:rPr>
          <w:rFonts w:ascii="Times New Roman" w:cs="Times New Roman" w:eastAsia="Times New Roman" w:hAnsi="Times New Roman"/>
          <w:sz w:val="22"/>
          <w:szCs w:val="22"/>
          <w:color w:val="auto"/>
        </w:rPr>
      </w:pPr>
    </w:p>
    <w:p>
      <w:pPr>
        <w:ind w:firstLine="1304"/>
        <w:spacing w:after="0" w:line="275" w:lineRule="auto"/>
        <w:tabs>
          <w:tab w:leader="none" w:pos="1829"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a Loan Party or Subsidiary in or to a Special Purpose Business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transaction:</w:t>
      </w:r>
    </w:p>
    <w:p>
      <w:pPr>
        <w:spacing w:after="0" w:line="153"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2"/>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before and after giving effect thereto, no Event of Default or Default shall have occurred and be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205" w:lineRule="exact"/>
        <w:rPr>
          <w:rFonts w:ascii="Times New Roman" w:cs="Times New Roman" w:eastAsia="Times New Roman" w:hAnsi="Times New Roman"/>
          <w:sz w:val="21"/>
          <w:szCs w:val="21"/>
          <w:color w:val="auto"/>
        </w:rPr>
      </w:pPr>
    </w:p>
    <w:p>
      <w:pPr>
        <w:jc w:val="both"/>
        <w:ind w:left="660" w:firstLine="1292"/>
        <w:spacing w:after="0" w:line="249" w:lineRule="auto"/>
        <w:tabs>
          <w:tab w:leader="none" w:pos="2444" w:val="left"/>
        </w:tabs>
        <w:numPr>
          <w:ilvl w:val="2"/>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Borrower would be in compliance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(using the criteria therefor described in Section 6.04(i)) to such transaction and to any other event occurring during or after such period as to which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recalculation</w:t>
      </w: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1" w:name="page182"/>
    <w:bookmarkEnd w:id="181"/>
    <w:p>
      <w:pPr>
        <w:ind w:left="660" w:right="20"/>
        <w:spacing w:after="0" w:line="271" w:lineRule="auto"/>
        <w:rPr>
          <w:sz w:val="20"/>
          <w:szCs w:val="20"/>
          <w:color w:val="auto"/>
        </w:rPr>
      </w:pPr>
      <w:r>
        <w:rPr>
          <w:rFonts w:ascii="Times New Roman" w:cs="Times New Roman" w:eastAsia="Times New Roman" w:hAnsi="Times New Roman"/>
          <w:sz w:val="22"/>
          <w:szCs w:val="22"/>
          <w:color w:val="auto"/>
        </w:rPr>
        <w:t>is appropriate (including any Asset Sale and any other transaction described in Section 6.04(i) or Section 6.04(m) occurring during or after such period) as if such transaction had occurred as of the first day of such period; and</w:t>
      </w:r>
    </w:p>
    <w:p>
      <w:pPr>
        <w:spacing w:after="0" w:line="158" w:lineRule="exact"/>
        <w:rPr>
          <w:sz w:val="20"/>
          <w:szCs w:val="20"/>
          <w:color w:val="auto"/>
        </w:rPr>
      </w:pPr>
    </w:p>
    <w:p>
      <w:pPr>
        <w:ind w:left="660" w:firstLine="1292"/>
        <w:spacing w:after="0" w:line="284" w:lineRule="auto"/>
        <w:tabs>
          <w:tab w:leader="none" w:pos="2625"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there must be at least U.S.$</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highlight w:val="lightGray"/>
        </w:rPr>
        <w:t>20,000,000</w:t>
      </w:r>
      <w:r>
        <w:rPr>
          <w:rFonts w:ascii="Times New Roman" w:cs="Times New Roman" w:eastAsia="Times New Roman" w:hAnsi="Times New Roman"/>
          <w:sz w:val="22"/>
          <w:szCs w:val="22"/>
          <w:color w:val="auto"/>
        </w:rPr>
        <w:t xml:space="preserve"> of the Revolving Commitments unused and available;</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may enter into Hedging Agreements to the extent permitted by Section 6.12;</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Borrower and its Subsidiaries may acquire all or substantially all the assets of a person or line of business of such person, or Equity Interests of a person that would become a wholly owned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transaction:</w:t>
      </w:r>
    </w:p>
    <w:p>
      <w:pPr>
        <w:spacing w:after="0" w:line="186"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before and after giving effect thereto, no Event of Default or Default shall have occurred and be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196" w:lineRule="exact"/>
        <w:rPr>
          <w:sz w:val="20"/>
          <w:szCs w:val="20"/>
          <w:color w:val="auto"/>
        </w:rPr>
      </w:pPr>
    </w:p>
    <w:p>
      <w:pPr>
        <w:jc w:val="both"/>
        <w:ind w:left="660" w:firstLine="1292"/>
        <w:spacing w:after="0" w:line="250" w:lineRule="auto"/>
        <w:tabs>
          <w:tab w:leader="none" w:pos="244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would be in compliance on a pro forma basis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or Section 6.04(m) occurring during or after such period) as if such transaction had occurred as of the first day of such period; and</w:t>
      </w:r>
    </w:p>
    <w:p>
      <w:pPr>
        <w:spacing w:after="0" w:line="180" w:lineRule="exact"/>
        <w:rPr>
          <w:rFonts w:ascii="Times New Roman" w:cs="Times New Roman" w:eastAsia="Times New Roman" w:hAnsi="Times New Roman"/>
          <w:sz w:val="22"/>
          <w:szCs w:val="22"/>
          <w:color w:val="auto"/>
        </w:rPr>
      </w:pPr>
    </w:p>
    <w:p>
      <w:pPr>
        <w:ind w:left="660" w:firstLine="1292"/>
        <w:spacing w:after="0" w:line="271" w:lineRule="auto"/>
        <w:tabs>
          <w:tab w:leader="none" w:pos="262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there must be at least U.S.$</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highlight w:val="lightGray"/>
        </w:rPr>
        <w:t>20,000,000</w:t>
      </w:r>
      <w:r>
        <w:rPr>
          <w:rFonts w:ascii="Times New Roman" w:cs="Times New Roman" w:eastAsia="Times New Roman" w:hAnsi="Times New Roman"/>
          <w:sz w:val="22"/>
          <w:szCs w:val="22"/>
          <w:color w:val="auto"/>
        </w:rPr>
        <w:t xml:space="preserve"> of the Revolving Commitments unused and available;</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 </w:t>
      </w:r>
      <w:r>
        <w:rPr>
          <w:rFonts w:ascii="Times New Roman" w:cs="Times New Roman" w:eastAsia="Times New Roman" w:hAnsi="Times New Roman"/>
          <w:sz w:val="22"/>
          <w:szCs w:val="22"/>
          <w:color w:val="auto"/>
        </w:rPr>
        <w:t>that all pro forma calculations required to be made pursuant to this Section 6.04(i) shall (A) other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adjustments 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179" w:lineRule="exact"/>
        <w:rPr>
          <w:sz w:val="20"/>
          <w:szCs w:val="20"/>
          <w:color w:val="auto"/>
        </w:rPr>
      </w:pPr>
    </w:p>
    <w:p>
      <w:pPr>
        <w:ind w:left="1720" w:hanging="416"/>
        <w:spacing w:after="0"/>
        <w:tabs>
          <w:tab w:leader="none" w:pos="17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non-cash proceeds of </w:t>
      </w:r>
      <w:r>
        <w:rPr>
          <w:rFonts w:ascii="Times New Roman" w:cs="Times New Roman" w:eastAsia="Times New Roman" w:hAnsi="Times New Roman"/>
          <w:sz w:val="22"/>
          <w:szCs w:val="22"/>
          <w:color w:val="FF0000"/>
          <w:strike w:val="1"/>
        </w:rPr>
        <w:t>Asset Sales</w:t>
      </w:r>
      <w:r>
        <w:rPr>
          <w:rFonts w:ascii="Times New Roman" w:cs="Times New Roman" w:eastAsia="Times New Roman" w:hAnsi="Times New Roman"/>
          <w:sz w:val="22"/>
          <w:szCs w:val="22"/>
          <w:u w:val="single" w:color="auto"/>
          <w:color w:val="0000FF"/>
          <w:highlight w:val="lightGray"/>
        </w:rPr>
        <w:t>dispositions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Parent Borrower or an existing Subsidiary in or to the Parent Borrower or an existing Subsidiary (but excluding, for the avoidance of doubt, Investments in any Person that will become a Subsidiary upon the making of such Investment);</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without duplication, in an aggregate amount (valued at cost or outstanding principal amount, as the case may be) not greater than 7.5% of the Parent Borrower’s Consolidated Net Worth calculated on the date of such Investment as of the most recent fiscal quarter for which financial statements are available;</w:t>
      </w:r>
    </w:p>
    <w:p>
      <w:pPr>
        <w:spacing w:after="0" w:line="3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2" w:name="page183"/>
    <w:bookmarkEnd w:id="182"/>
    <w:p>
      <w:pPr>
        <w:ind w:right="20" w:firstLine="1304"/>
        <w:spacing w:after="0" w:line="271" w:lineRule="auto"/>
        <w:tabs>
          <w:tab w:leader="none" w:pos="183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and its Subsidiaries may acquire Equity Interests of a person that would become a non-wholly owned Subsidiary (in each case referred to herein as the “</w:t>
      </w:r>
      <w:r>
        <w:rPr>
          <w:rFonts w:ascii="Times New Roman" w:cs="Times New Roman" w:eastAsia="Times New Roman" w:hAnsi="Times New Roman"/>
          <w:sz w:val="22"/>
          <w:szCs w:val="22"/>
          <w:i w:val="1"/>
          <w:iCs w:val="1"/>
          <w:color w:val="auto"/>
        </w:rPr>
        <w:t>Non-Wholly Owned Entity</w:t>
      </w:r>
      <w:r>
        <w:rPr>
          <w:rFonts w:ascii="Times New Roman" w:cs="Times New Roman" w:eastAsia="Times New Roman" w:hAnsi="Times New Roman"/>
          <w:sz w:val="22"/>
          <w:szCs w:val="22"/>
          <w:color w:val="auto"/>
        </w:rPr>
        <w:t>”); provided that:</w:t>
      </w:r>
    </w:p>
    <w:p>
      <w:pPr>
        <w:spacing w:after="0" w:line="157"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before and after giving effect thereto, no Event of Default or Default shall have occurred and be</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207" w:lineRule="exact"/>
        <w:rPr>
          <w:rFonts w:ascii="Times New Roman" w:cs="Times New Roman" w:eastAsia="Times New Roman" w:hAnsi="Times New Roman"/>
          <w:sz w:val="21"/>
          <w:szCs w:val="21"/>
          <w:color w:val="auto"/>
        </w:rPr>
      </w:pPr>
    </w:p>
    <w:p>
      <w:pPr>
        <w:jc w:val="both"/>
        <w:ind w:left="660" w:firstLine="1292"/>
        <w:spacing w:after="0" w:line="262" w:lineRule="auto"/>
        <w:tabs>
          <w:tab w:leader="none" w:pos="2449"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would (A) be in compliance with the covenants set forth in Section 6.10 and (B) after giving effect to such acquisition, have a Total Net Leverage Ratio less than or equal to the Total Net Leverage Ratio immediately prior to such acquisition,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Section 6.04(i) or this Section 6.04(m) occurring during or after such period) as if such transaction had occurred as of the first day of such period;</w:t>
      </w:r>
    </w:p>
    <w:p>
      <w:pPr>
        <w:spacing w:after="0" w:line="172" w:lineRule="exact"/>
        <w:rPr>
          <w:rFonts w:ascii="Times New Roman" w:cs="Times New Roman" w:eastAsia="Times New Roman" w:hAnsi="Times New Roman"/>
          <w:sz w:val="21"/>
          <w:szCs w:val="21"/>
          <w:color w:val="auto"/>
        </w:rPr>
      </w:pPr>
    </w:p>
    <w:p>
      <w:pPr>
        <w:ind w:left="660" w:firstLine="1292"/>
        <w:spacing w:after="0" w:line="271" w:lineRule="auto"/>
        <w:tabs>
          <w:tab w:leader="none" w:pos="2625"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there must be at least U.S.$</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highlight w:val="lightGray"/>
        </w:rPr>
        <w:t>20,000,000</w:t>
      </w:r>
      <w:r>
        <w:rPr>
          <w:rFonts w:ascii="Times New Roman" w:cs="Times New Roman" w:eastAsia="Times New Roman" w:hAnsi="Times New Roman"/>
          <w:sz w:val="22"/>
          <w:szCs w:val="22"/>
          <w:color w:val="auto"/>
        </w:rPr>
        <w:t xml:space="preserve"> of the Revolving Commitments unused and available;</w:t>
      </w:r>
    </w:p>
    <w:p>
      <w:pPr>
        <w:spacing w:after="0" w:line="171"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655"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 Parent Borrower shall continue to own, directly or indirectly, beneficially and of record, a majority of the issued and outstanding Equity Interests of such Non-Wholly Owned Entity unless otherwise disposed of in accordance with Section 6.05;</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437"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such acquisition, the Non-Wholly Owned Entity and any Borrower and/or Subsidiary that holds any Equity Interests in such Non-Wholly Owned Entity shall have each complied with the requirements of Section 5.09 regardless of whether such Non-Wholly Owned Entity is a Material Subsidiary; and</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7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consideration for all such acquisitions made pursuant to this Section 6.04(m) after the Closing Date shall not exceed 10% of the Parent Borrower’s Consolidated Net Worth calculated on the date of such acquisition as of the most recent fiscal quarter for which financial statements are available;</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 </w:t>
      </w:r>
      <w:r>
        <w:rPr>
          <w:rFonts w:ascii="Times New Roman" w:cs="Times New Roman" w:eastAsia="Times New Roman" w:hAnsi="Times New Roman"/>
          <w:sz w:val="22"/>
          <w:szCs w:val="22"/>
          <w:color w:val="auto"/>
        </w:rPr>
        <w:t>that all pro forma calculations required to be made pursuant to this Section 6.04(m) shall (A)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than adjustments 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 </w:t>
      </w:r>
      <w:r>
        <w:rPr>
          <w:rFonts w:ascii="Times New Roman" w:cs="Times New Roman" w:eastAsia="Times New Roman" w:hAnsi="Times New Roman"/>
          <w:sz w:val="22"/>
          <w:szCs w:val="22"/>
          <w:color w:val="FF0000"/>
          <w:strike w:val="1"/>
        </w:rPr>
        <w:t>and</w:t>
      </w:r>
    </w:p>
    <w:p>
      <w:pPr>
        <w:spacing w:after="0" w:line="172" w:lineRule="exact"/>
        <w:rPr>
          <w:sz w:val="20"/>
          <w:szCs w:val="20"/>
          <w:color w:val="auto"/>
        </w:rPr>
      </w:pPr>
    </w:p>
    <w:p>
      <w:pPr>
        <w:ind w:left="2000" w:hanging="696"/>
        <w:spacing w:after="0"/>
        <w:tabs>
          <w:tab w:leader="none" w:pos="20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banking services and Hedging Agreements, in each case, permitted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highlight w:val="lightGray"/>
        </w:rPr>
        <w:t>; and</w:t>
      </w: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3" w:name="page184"/>
    <w:bookmarkEnd w:id="183"/>
    <w:p>
      <w:pPr>
        <w:jc w:val="both"/>
        <w:ind w:firstLine="1304"/>
        <w:spacing w:after="0" w:line="257" w:lineRule="auto"/>
        <w:tabs>
          <w:tab w:leader="none" w:pos="1939" w:val="left"/>
        </w:tabs>
        <w:numPr>
          <w:ilvl w:val="0"/>
          <w:numId w:val="199"/>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u w:val="single" w:color="auto"/>
          <w:color w:val="0000FF"/>
          <w:highlight w:val="lightGray"/>
        </w:rPr>
        <w:t>Investments of any person in existence at the time such person becomes a Subsidiary (other than in Subsidiaries of any such person); provided that such Investment was not made in connection with or in anticipation of such person becoming a Subsidiary.</w:t>
      </w:r>
    </w:p>
    <w:p>
      <w:pPr>
        <w:spacing w:after="0" w:line="180" w:lineRule="exact"/>
        <w:rPr>
          <w:sz w:val="20"/>
          <w:szCs w:val="20"/>
          <w:color w:val="auto"/>
        </w:rPr>
      </w:pPr>
    </w:p>
    <w:p>
      <w:pPr>
        <w:ind w:left="660" w:right="3820"/>
        <w:spacing w:after="0" w:line="451" w:lineRule="auto"/>
        <w:rPr>
          <w:sz w:val="20"/>
          <w:szCs w:val="20"/>
          <w:color w:val="auto"/>
        </w:rPr>
      </w:pPr>
      <w:r>
        <w:rPr>
          <w:rFonts w:ascii="Times New Roman" w:cs="Times New Roman" w:eastAsia="Times New Roman" w:hAnsi="Times New Roman"/>
          <w:sz w:val="22"/>
          <w:szCs w:val="22"/>
          <w:b w:val="1"/>
          <w:bCs w:val="1"/>
          <w:color w:val="auto"/>
        </w:rPr>
        <w:t xml:space="preserve">SECTION 6.05 </w:t>
      </w:r>
      <w:r>
        <w:rPr>
          <w:rFonts w:ascii="Times New Roman" w:cs="Times New Roman" w:eastAsia="Times New Roman" w:hAnsi="Times New Roman"/>
          <w:sz w:val="22"/>
          <w:szCs w:val="22"/>
          <w:b w:val="1"/>
          <w:bCs w:val="1"/>
          <w:i w:val="1"/>
          <w:iCs w:val="1"/>
          <w:color w:val="auto"/>
        </w:rPr>
        <w:t>Mergers, Consolidations, Sales of Assets and Acquisitions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jc w:val="both"/>
        <w:ind w:firstLine="1304"/>
        <w:spacing w:after="0" w:line="247" w:lineRule="auto"/>
        <w:tabs>
          <w:tab w:leader="none" w:pos="188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Merge, amalgamate or consolidate with or into any other person, or 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Parent Borrower may merge, amalgamate or consolidate with any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 Change in Control occurs, (ii) immediately after giving effect to any such proposed transaction no Default or Event of Default would exist, and (iii) the Parent Borrower is the surviving entity, (b) the Parent Borrower may merge or amalgamate with any of its wholly owned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immediately after giving effect to any such proposed transaction no Default would exist and the Parent Borrower is 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other than with respect to any merger among the Parent Borrower and one or more wholly owned Subsidiaries and/or among wholly owned Subsidiaries of the Parent Borrower, the requirements of Section 6.04(i) are met with respect to such merger described in this clause (c) and (ii) if any such merger described in this clause (c) shall involve a Loan Party, the surviving entity of such merger shall be or become a Loan Party and (d) any Subsidiary of the Parent Borrower may liquidate or dissolve if the Parent Borrower determines in good faith that such liquidation or dissolution is in the best interests of the Parent Borrower and is not materially disadvantageous to the Lenders.</w:t>
      </w:r>
    </w:p>
    <w:p>
      <w:pPr>
        <w:spacing w:after="0" w:line="18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6.06</w:t>
      </w:r>
      <w:r>
        <w:rPr>
          <w:sz w:val="20"/>
          <w:szCs w:val="20"/>
          <w:color w:val="auto"/>
        </w:rPr>
        <w:tab/>
      </w:r>
      <w:r>
        <w:rPr>
          <w:rFonts w:ascii="Times New Roman" w:cs="Times New Roman" w:eastAsia="Times New Roman" w:hAnsi="Times New Roman"/>
          <w:sz w:val="21"/>
          <w:szCs w:val="21"/>
          <w:b w:val="1"/>
          <w:bCs w:val="1"/>
          <w:i w:val="1"/>
          <w:iCs w:val="1"/>
          <w:color w:val="auto"/>
        </w:rPr>
        <w:t>Restricted Payments; Restrictive Agreements</w:t>
      </w:r>
    </w:p>
    <w:p>
      <w:pPr>
        <w:spacing w:after="0" w:line="226" w:lineRule="exact"/>
        <w:rPr>
          <w:sz w:val="20"/>
          <w:szCs w:val="20"/>
          <w:color w:val="auto"/>
        </w:rPr>
      </w:pPr>
    </w:p>
    <w:p>
      <w:pPr>
        <w:jc w:val="both"/>
        <w:ind w:firstLine="1304"/>
        <w:spacing w:after="0" w:line="255" w:lineRule="auto"/>
        <w:tabs>
          <w:tab w:leader="none" w:pos="1784" w:val="left"/>
        </w:tabs>
        <w:numPr>
          <w:ilvl w:val="1"/>
          <w:numId w:val="201"/>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xml:space="preserve">. (a) Declare or make, or agree to declare or make, directly or indirectly, any Restricted Payment (including pursuant to any Synthetic Purchase Agreement), or incur any obligation (contingent or otherwise) to do so;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any Subsidiary may declare and pay dividends or make other distributions ratably to its equity holders of a given class,</w:t>
      </w:r>
    </w:p>
    <w:p>
      <w:pPr>
        <w:ind w:left="320" w:hanging="312"/>
        <w:spacing w:after="0"/>
        <w:tabs>
          <w:tab w:leader="none" w:pos="3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or Default shall have occurred and be continuing or</w:t>
      </w: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4" w:name="page185"/>
    <w:bookmarkEnd w:id="184"/>
    <w:p>
      <w:pPr>
        <w:jc w:val="both"/>
        <w:spacing w:after="0" w:line="260" w:lineRule="auto"/>
        <w:rPr>
          <w:sz w:val="20"/>
          <w:szCs w:val="20"/>
          <w:color w:val="auto"/>
        </w:rPr>
      </w:pPr>
      <w:r>
        <w:rPr>
          <w:rFonts w:ascii="Times New Roman" w:cs="Times New Roman" w:eastAsia="Times New Roman" w:hAnsi="Times New Roman"/>
          <w:sz w:val="21"/>
          <w:szCs w:val="21"/>
          <w:color w:val="auto"/>
        </w:rPr>
        <w:t>would result therefrom, the Parent Borrower may repurchase its Equity Interests owned by employees of the Parent Borrower or the Subsidiaries or make payments to employees of the Parent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 and (iii) so long as (A) no Event of Default or Default shall have occurred and be continuing or result therefrom, (B) at least U.S.$</w:t>
      </w:r>
      <w:r>
        <w:rPr>
          <w:rFonts w:ascii="Times New Roman" w:cs="Times New Roman" w:eastAsia="Times New Roman" w:hAnsi="Times New Roman"/>
          <w:sz w:val="21"/>
          <w:szCs w:val="21"/>
          <w:color w:val="FF0000"/>
          <w:strike w:val="1"/>
        </w:rPr>
        <w:t>40,000,000 of the Revolving Commitments is unused and available after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giving effect to such Restricted Payment, of which at least $30,000,000 must be comprised</w:t>
      </w:r>
      <w:r>
        <w:rPr>
          <w:rFonts w:ascii="Times New Roman" w:cs="Times New Roman" w:eastAsia="Times New Roman" w:hAnsi="Times New Roman"/>
          <w:sz w:val="21"/>
          <w:szCs w:val="21"/>
          <w:u w:val="single" w:color="auto"/>
          <w:color w:val="0000FF"/>
          <w:highlight w:val="lightGray"/>
        </w:rPr>
        <w:t>20,000,000</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of the Canadian Revolving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Commitments and the U.S. Revolving Commitments </w:t>
      </w:r>
      <w:r>
        <w:rPr>
          <w:rFonts w:ascii="Times New Roman" w:cs="Times New Roman" w:eastAsia="Times New Roman" w:hAnsi="Times New Roman"/>
          <w:sz w:val="21"/>
          <w:szCs w:val="21"/>
          <w:color w:val="FF0000"/>
          <w:strike w:val="1"/>
        </w:rPr>
        <w:t>unused and available</w:t>
      </w:r>
      <w:r>
        <w:rPr>
          <w:rFonts w:ascii="Times New Roman" w:cs="Times New Roman" w:eastAsia="Times New Roman" w:hAnsi="Times New Roman"/>
          <w:sz w:val="21"/>
          <w:szCs w:val="21"/>
          <w:color w:val="000000"/>
        </w:rPr>
        <w:t>, in the aggregate</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 is unused and available after giving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effect to such Restricted Payment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and (C) the Parent Borrower would have a Total Net Leverage Ratio less than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2.50</w:t>
      </w:r>
      <w:r>
        <w:rPr>
          <w:rFonts w:ascii="Times New Roman" w:cs="Times New Roman" w:eastAsia="Times New Roman" w:hAnsi="Times New Roman"/>
          <w:sz w:val="21"/>
          <w:szCs w:val="21"/>
          <w:u w:val="single" w:color="auto"/>
          <w:color w:val="0000FF"/>
          <w:highlight w:val="lightGray"/>
        </w:rPr>
        <w:t>2.75</w:t>
      </w:r>
      <w:r>
        <w:rPr>
          <w:rFonts w:ascii="Times New Roman" w:cs="Times New Roman" w:eastAsia="Times New Roman" w:hAnsi="Times New Roman"/>
          <w:sz w:val="21"/>
          <w:szCs w:val="21"/>
          <w:color w:val="000000"/>
        </w:rPr>
        <w:t>:1.00 as</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Times New Roman" w:cs="Times New Roman" w:eastAsia="Times New Roman" w:hAnsi="Times New Roman"/>
          <w:sz w:val="21"/>
          <w:szCs w:val="21"/>
          <w:i w:val="1"/>
          <w:iCs w:val="1"/>
          <w:color w:val="000000"/>
        </w:rPr>
        <w:t>pro forma</w:t>
      </w:r>
      <w:r>
        <w:rPr>
          <w:rFonts w:ascii="Times New Roman" w:cs="Times New Roman" w:eastAsia="Times New Roman" w:hAnsi="Times New Roman"/>
          <w:sz w:val="21"/>
          <w:szCs w:val="21"/>
          <w:color w:val="000000"/>
        </w:rPr>
        <w:t xml:space="preserve"> effect (using the criteria therefor described in Section 6.04(i)) to such transaction and to any other event occurring during or after such period as to which pro forma recalculation is appropriate as if such transaction had occurred as of the first day of such period, the Parent Borrower may make Restricted Payments in any amount.</w:t>
      </w:r>
    </w:p>
    <w:p>
      <w:pPr>
        <w:spacing w:after="0" w:line="185" w:lineRule="exact"/>
        <w:rPr>
          <w:sz w:val="20"/>
          <w:szCs w:val="20"/>
          <w:color w:val="auto"/>
        </w:rPr>
      </w:pPr>
    </w:p>
    <w:p>
      <w:pPr>
        <w:jc w:val="both"/>
        <w:ind w:firstLine="1304"/>
        <w:spacing w:after="0" w:line="246" w:lineRule="auto"/>
        <w:tabs>
          <w:tab w:leader="none" w:pos="183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incur or permit to exist any agreement or other arrangement that prohibits, restricts or imposes any condition upon (i) the ability of the Parent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Parent Borrower or any other Subsidiary or to Guarantee Indebtedness of the Parent Borrower or any other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foregoing shall not apply to restrictions and conditions imposed by law or by any Loan Document, (B) the foregoing shall not apply to customary restrictions and conditions contained in agreements relating to the sale of a Subsidiary pending such sale,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restrictions and conditions apply only to the Subsidiary that is to be sold and such sale is permitted hereunder, (C) the foregoing shall not apply to restrictions and conditions imposed on any Foreign Subsidiary (other than any Canadian Subsidiary, the Australian Borrower or any Australian Subsidiary) by the terms of any Indebtedness of such Foreign 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the foregoing shall not apply to restrictions and conditions imposed pursuant to the Facility Letter or other agreements for Banking Services permitted hereunder.</w:t>
      </w:r>
    </w:p>
    <w:p>
      <w:pPr>
        <w:spacing w:after="0" w:line="20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6.07</w:t>
      </w:r>
      <w:r>
        <w:rPr>
          <w:sz w:val="20"/>
          <w:szCs w:val="20"/>
          <w:color w:val="auto"/>
        </w:rPr>
        <w:tab/>
      </w:r>
      <w:r>
        <w:rPr>
          <w:rFonts w:ascii="Times New Roman" w:cs="Times New Roman" w:eastAsia="Times New Roman" w:hAnsi="Times New Roman"/>
          <w:sz w:val="21"/>
          <w:szCs w:val="21"/>
          <w:b w:val="1"/>
          <w:bCs w:val="1"/>
          <w:i w:val="1"/>
          <w:iCs w:val="1"/>
          <w:color w:val="auto"/>
        </w:rPr>
        <w:t>Transactions with Affiliates</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5" w:name="page186"/>
    <w:bookmarkEnd w:id="185"/>
    <w:p>
      <w:pPr>
        <w:jc w:val="both"/>
        <w:ind w:firstLine="656"/>
        <w:spacing w:after="0" w:line="253" w:lineRule="auto"/>
        <w:tabs>
          <w:tab w:leader="none" w:pos="76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transactions by or among Loan Parties and transactions expressly permitted under this Agreement, sell or transfer any property or assets to, or purchase or acquire 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6.08</w:t>
      </w:r>
      <w:r>
        <w:rPr>
          <w:sz w:val="20"/>
          <w:szCs w:val="20"/>
          <w:color w:val="auto"/>
        </w:rPr>
        <w:tab/>
      </w:r>
      <w:r>
        <w:rPr>
          <w:rFonts w:ascii="Times New Roman" w:cs="Times New Roman" w:eastAsia="Times New Roman" w:hAnsi="Times New Roman"/>
          <w:sz w:val="21"/>
          <w:szCs w:val="21"/>
          <w:b w:val="1"/>
          <w:bCs w:val="1"/>
          <w:i w:val="1"/>
          <w:iCs w:val="1"/>
          <w:color w:val="auto"/>
        </w:rPr>
        <w:t>Business of Borrowers and Subsidiaries</w:t>
      </w:r>
    </w:p>
    <w:p>
      <w:pPr>
        <w:spacing w:after="0" w:line="226" w:lineRule="exact"/>
        <w:rPr>
          <w:sz w:val="20"/>
          <w:szCs w:val="20"/>
          <w:color w:val="auto"/>
        </w:rPr>
      </w:pPr>
    </w:p>
    <w:p>
      <w:pPr>
        <w:ind w:firstLine="656"/>
        <w:spacing w:after="0" w:line="271" w:lineRule="auto"/>
        <w:tabs>
          <w:tab w:leader="none" w:pos="75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at any time in any business or business activity other than providing products and services to the energy industry, accommodations and business activities reasonably incidental thereto.</w:t>
      </w:r>
    </w:p>
    <w:p>
      <w:pPr>
        <w:spacing w:after="0" w:line="16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6.09</w:t>
      </w:r>
      <w:r>
        <w:rPr>
          <w:sz w:val="20"/>
          <w:szCs w:val="20"/>
          <w:color w:val="auto"/>
        </w:rPr>
        <w:tab/>
      </w:r>
      <w:r>
        <w:rPr>
          <w:rFonts w:ascii="Times New Roman" w:cs="Times New Roman" w:eastAsia="Times New Roman" w:hAnsi="Times New Roman"/>
          <w:sz w:val="21"/>
          <w:szCs w:val="21"/>
          <w:b w:val="1"/>
          <w:bCs w:val="1"/>
          <w:i w:val="1"/>
          <w:iCs w:val="1"/>
          <w:color w:val="auto"/>
        </w:rPr>
        <w:t>Other Indebtedness and Agreements</w:t>
      </w:r>
    </w:p>
    <w:p>
      <w:pPr>
        <w:spacing w:after="0" w:line="226" w:lineRule="exact"/>
        <w:rPr>
          <w:sz w:val="20"/>
          <w:szCs w:val="20"/>
          <w:color w:val="auto"/>
        </w:rPr>
      </w:pPr>
    </w:p>
    <w:p>
      <w:pPr>
        <w:jc w:val="both"/>
        <w:ind w:firstLine="1304"/>
        <w:spacing w:after="0" w:line="252" w:lineRule="auto"/>
        <w:tabs>
          <w:tab w:leader="none" w:pos="1881" w:val="left"/>
        </w:tabs>
        <w:numPr>
          <w:ilvl w:val="0"/>
          <w:numId w:val="206"/>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color w:val="auto"/>
        </w:rPr>
        <w:t>. (a) Permit any waiver, supplement, modification, amendment, termination or release of any 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179" w:lineRule="exact"/>
        <w:rPr>
          <w:rFonts w:ascii="Times New Roman" w:cs="Times New Roman" w:eastAsia="Times New Roman" w:hAnsi="Times New Roman"/>
          <w:sz w:val="22"/>
          <w:szCs w:val="22"/>
          <w:u w:val="single" w:color="auto"/>
          <w:color w:val="0000FF"/>
          <w:highlight w:val="lightGray"/>
        </w:rPr>
      </w:pPr>
    </w:p>
    <w:p>
      <w:pPr>
        <w:jc w:val="both"/>
        <w:ind w:firstLine="1304"/>
        <w:spacing w:after="0" w:line="250" w:lineRule="auto"/>
        <w:tabs>
          <w:tab w:leader="none" w:pos="187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Parent Borrower could make a Restricted Payment pursuant to Section 6.06(a), (ii) any Loan Party shall be entitled to pay any and all amounts owing to another Loan Party pursuant to any agreement providing for intercompany indebtedness or (iii) to the extent any such Indebtedness is repaid with the proceeds of Permitted Refinancing Indebtedness permitted under Section 6.01.</w:t>
      </w:r>
    </w:p>
    <w:p>
      <w:pPr>
        <w:spacing w:after="0" w:line="18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6.10</w:t>
      </w:r>
      <w:r>
        <w:rPr>
          <w:sz w:val="20"/>
          <w:szCs w:val="20"/>
          <w:color w:val="auto"/>
        </w:rPr>
        <w:tab/>
      </w:r>
      <w:r>
        <w:rPr>
          <w:rFonts w:ascii="Times New Roman" w:cs="Times New Roman" w:eastAsia="Times New Roman" w:hAnsi="Times New Roman"/>
          <w:sz w:val="21"/>
          <w:szCs w:val="21"/>
          <w:b w:val="1"/>
          <w:bCs w:val="1"/>
          <w:i w:val="1"/>
          <w:iCs w:val="1"/>
          <w:color w:val="auto"/>
        </w:rPr>
        <w:t>Interest Coverage Ratio</w:t>
      </w:r>
    </w:p>
    <w:p>
      <w:pPr>
        <w:spacing w:after="0" w:line="226" w:lineRule="exact"/>
        <w:rPr>
          <w:sz w:val="20"/>
          <w:szCs w:val="20"/>
          <w:color w:val="auto"/>
        </w:rPr>
      </w:pPr>
    </w:p>
    <w:p>
      <w:pPr>
        <w:jc w:val="both"/>
        <w:ind w:firstLine="656"/>
        <w:spacing w:after="0" w:line="263" w:lineRule="auto"/>
        <w:tabs>
          <w:tab w:leader="none" w:pos="78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four fiscal quarter period ending September 30, 2021, permit, as of the last day of any fiscal quarter, the Interest Coverage Ratio for any period of four consecutive fiscal quarters of the Parent Borrower, in each case taken as one accounting period, to be less than 3.0 to 1.0.</w:t>
      </w:r>
    </w:p>
    <w:p>
      <w:pPr>
        <w:spacing w:after="0" w:line="16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6.11</w:t>
      </w:r>
      <w:r>
        <w:rPr>
          <w:sz w:val="20"/>
          <w:szCs w:val="20"/>
          <w:color w:val="auto"/>
        </w:rPr>
        <w:tab/>
      </w:r>
      <w:r>
        <w:rPr>
          <w:rFonts w:ascii="Times New Roman" w:cs="Times New Roman" w:eastAsia="Times New Roman" w:hAnsi="Times New Roman"/>
          <w:sz w:val="21"/>
          <w:szCs w:val="21"/>
          <w:b w:val="1"/>
          <w:bCs w:val="1"/>
          <w:i w:val="1"/>
          <w:iCs w:val="1"/>
          <w:color w:val="auto"/>
        </w:rPr>
        <w:t>Leverage Ratios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right="20" w:firstLine="656"/>
        <w:spacing w:after="0" w:line="276" w:lineRule="auto"/>
        <w:tabs>
          <w:tab w:leader="none" w:pos="11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Maximum Total Net Leverage Ratio</w:t>
      </w:r>
      <w:r>
        <w:rPr>
          <w:rFonts w:ascii="Times New Roman" w:cs="Times New Roman" w:eastAsia="Times New Roman" w:hAnsi="Times New Roman"/>
          <w:sz w:val="22"/>
          <w:szCs w:val="22"/>
          <w:color w:val="auto"/>
        </w:rPr>
        <w:t>. Commencing with the four fiscal quarter period ending September 30, 2021,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permit, as of the last day of any fiscal quarter, the Total Net</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6" w:name="page187"/>
    <w:bookmarkEnd w:id="186"/>
    <w:p>
      <w:pPr>
        <w:jc w:val="both"/>
        <w:spacing w:after="0" w:line="257" w:lineRule="auto"/>
        <w:rPr>
          <w:sz w:val="20"/>
          <w:szCs w:val="20"/>
          <w:color w:val="auto"/>
        </w:rPr>
      </w:pPr>
      <w:r>
        <w:rPr>
          <w:rFonts w:ascii="Times New Roman" w:cs="Times New Roman" w:eastAsia="Times New Roman" w:hAnsi="Times New Roman"/>
          <w:sz w:val="22"/>
          <w:szCs w:val="22"/>
          <w:color w:val="auto"/>
        </w:rPr>
        <w:t>Leverage Ratio for any period of four consecutive fiscal quarters of the Parent Borrower, in each case taken as one accounting period, to be greater than (A) if a Qualified Offering has been consummated, 3.50:1.00 and (B) if a Qualified Offering has not been consummated:</w:t>
      </w:r>
    </w:p>
    <w:p>
      <w:pPr>
        <w:spacing w:after="0" w:line="207" w:lineRule="exact"/>
        <w:rPr>
          <w:sz w:val="20"/>
          <w:szCs w:val="20"/>
          <w:color w:val="auto"/>
        </w:rPr>
      </w:pPr>
    </w:p>
    <w:tbl>
      <w:tblPr>
        <w:tblLayout w:type="fixed"/>
        <w:tblInd w:w="670" w:type="dxa"/>
        <w:tblCellMar>
          <w:top w:w="0" w:type="dxa"/>
          <w:left w:w="0" w:type="dxa"/>
          <w:bottom w:w="0" w:type="dxa"/>
          <w:right w:w="0" w:type="dxa"/>
        </w:tblCellMar>
      </w:tblPr>
      <w:tr>
        <w:trPr>
          <w:trHeight w:val="230"/>
        </w:trPr>
        <w:tc>
          <w:tcPr>
            <w:tcW w:w="4480" w:type="dxa"/>
            <w:vAlign w:val="bottom"/>
            <w:tcBorders>
              <w:top w:val="single" w:sz="8" w:color="auto"/>
              <w:left w:val="single" w:sz="8" w:color="auto"/>
              <w:right w:val="single" w:sz="8" w:color="auto"/>
            </w:tcBorders>
            <w:gridSpan w:val="2"/>
          </w:tcPr>
          <w:p>
            <w:pPr>
              <w:ind w:left="20"/>
              <w:spacing w:after="0" w:line="229" w:lineRule="exact"/>
              <w:rPr>
                <w:sz w:val="20"/>
                <w:szCs w:val="20"/>
                <w:color w:val="auto"/>
              </w:rPr>
            </w:pPr>
            <w:r>
              <w:rPr>
                <w:rFonts w:ascii="Times New Roman" w:cs="Times New Roman" w:eastAsia="Times New Roman" w:hAnsi="Times New Roman"/>
                <w:sz w:val="22"/>
                <w:szCs w:val="22"/>
                <w:color w:val="auto"/>
              </w:rPr>
              <w:t>Fiscal Quarter Ending</w:t>
            </w:r>
          </w:p>
        </w:tc>
        <w:tc>
          <w:tcPr>
            <w:tcW w:w="5300" w:type="dxa"/>
            <w:vAlign w:val="bottom"/>
            <w:tcBorders>
              <w:top w:val="single" w:sz="8" w:color="auto"/>
              <w:right w:val="single" w:sz="8" w:color="auto"/>
            </w:tcBorders>
            <w:gridSpan w:val="3"/>
          </w:tcPr>
          <w:p>
            <w:pPr>
              <w:ind w:left="20"/>
              <w:spacing w:after="0" w:line="229" w:lineRule="exact"/>
              <w:rPr>
                <w:sz w:val="20"/>
                <w:szCs w:val="20"/>
                <w:color w:val="auto"/>
              </w:rPr>
            </w:pPr>
            <w:r>
              <w:rPr>
                <w:rFonts w:ascii="Times New Roman" w:cs="Times New Roman" w:eastAsia="Times New Roman" w:hAnsi="Times New Roman"/>
                <w:sz w:val="22"/>
                <w:szCs w:val="22"/>
                <w:color w:val="auto"/>
              </w:rPr>
              <w:t>Maximum Total Net Leverage Ratio</w:t>
            </w:r>
          </w:p>
        </w:tc>
      </w:tr>
      <w:tr>
        <w:trPr>
          <w:trHeight w:val="34"/>
        </w:trPr>
        <w:tc>
          <w:tcPr>
            <w:tcW w:w="1940" w:type="dxa"/>
            <w:vAlign w:val="bottom"/>
            <w:tcBorders>
              <w:top w:val="single" w:sz="8" w:color="auto"/>
              <w:left w:val="single" w:sz="8" w:color="auto"/>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top w:val="single" w:sz="8" w:color="auto"/>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64"/>
        </w:trPr>
        <w:tc>
          <w:tcPr>
            <w:tcW w:w="44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September 30, 2021</w:t>
            </w:r>
          </w:p>
        </w:tc>
        <w:tc>
          <w:tcPr>
            <w:tcW w:w="3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3.50:1.00</w:t>
            </w:r>
          </w:p>
        </w:tc>
        <w:tc>
          <w:tcPr>
            <w:tcW w:w="2140" w:type="dxa"/>
            <w:vAlign w:val="bottom"/>
            <w:tcBorders>
              <w:bottom w:val="single" w:sz="8" w:color="auto"/>
              <w:right w:val="single" w:sz="8" w:color="auto"/>
            </w:tcBorders>
          </w:tcPr>
          <w:p>
            <w:pPr>
              <w:spacing w:after="0"/>
              <w:rPr>
                <w:sz w:val="22"/>
                <w:szCs w:val="22"/>
                <w:color w:val="auto"/>
              </w:rPr>
            </w:pPr>
          </w:p>
        </w:tc>
      </w:tr>
      <w:tr>
        <w:trPr>
          <w:trHeight w:val="263"/>
        </w:trPr>
        <w:tc>
          <w:tcPr>
            <w:tcW w:w="44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December 31, 2021 and March 31, 2022</w:t>
            </w:r>
          </w:p>
        </w:tc>
        <w:tc>
          <w:tcPr>
            <w:tcW w:w="3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3.25:1.00</w:t>
            </w:r>
          </w:p>
        </w:tc>
        <w:tc>
          <w:tcPr>
            <w:tcW w:w="2140" w:type="dxa"/>
            <w:vAlign w:val="bottom"/>
            <w:tcBorders>
              <w:bottom w:val="single" w:sz="8" w:color="auto"/>
              <w:right w:val="single" w:sz="8" w:color="auto"/>
            </w:tcBorders>
          </w:tcPr>
          <w:p>
            <w:pPr>
              <w:spacing w:after="0"/>
              <w:rPr>
                <w:sz w:val="22"/>
                <w:szCs w:val="22"/>
                <w:color w:val="auto"/>
              </w:rPr>
            </w:pPr>
          </w:p>
        </w:tc>
      </w:tr>
      <w:tr>
        <w:trPr>
          <w:trHeight w:val="263"/>
        </w:trPr>
        <w:tc>
          <w:tcPr>
            <w:tcW w:w="44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June 30, 2022 and thereafter</w:t>
            </w:r>
          </w:p>
        </w:tc>
        <w:tc>
          <w:tcPr>
            <w:tcW w:w="3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3.00:1.00</w:t>
            </w:r>
          </w:p>
        </w:tc>
        <w:tc>
          <w:tcPr>
            <w:tcW w:w="2140" w:type="dxa"/>
            <w:vAlign w:val="bottom"/>
            <w:tcBorders>
              <w:bottom w:val="single" w:sz="8" w:color="auto"/>
              <w:right w:val="single" w:sz="8" w:color="auto"/>
            </w:tcBorders>
          </w:tcPr>
          <w:p>
            <w:pPr>
              <w:spacing w:after="0"/>
              <w:rPr>
                <w:sz w:val="22"/>
                <w:szCs w:val="22"/>
                <w:color w:val="auto"/>
              </w:rPr>
            </w:pPr>
          </w:p>
        </w:tc>
      </w:tr>
    </w:tbl>
    <w:p>
      <w:pPr>
        <w:spacing w:after="0" w:line="277" w:lineRule="exact"/>
        <w:rPr>
          <w:sz w:val="20"/>
          <w:szCs w:val="20"/>
          <w:color w:val="auto"/>
        </w:rPr>
      </w:pPr>
    </w:p>
    <w:p>
      <w:pPr>
        <w:jc w:val="both"/>
        <w:ind w:firstLine="656"/>
        <w:spacing w:after="0" w:line="258" w:lineRule="auto"/>
        <w:tabs>
          <w:tab w:leader="none" w:pos="114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Maximum Senior Secured Net Leverage Ratio</w:t>
      </w:r>
      <w:r>
        <w:rPr>
          <w:rFonts w:ascii="Times New Roman" w:cs="Times New Roman" w:eastAsia="Times New Roman" w:hAnsi="Times New Roman"/>
          <w:sz w:val="22"/>
          <w:szCs w:val="22"/>
          <w:color w:val="auto"/>
        </w:rPr>
        <w:t>. Commencing with the first fiscal quarter ending immediately after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issuance of a Qualified Offering, permit, as of the last day of any fiscal quarter, the Senior Secured Net Leverage Ratio for any period of four consecutive fiscal quarters of the Parent Borrower, in each case taken as one accounting period, to be greater than 2.00:1.00.</w:t>
      </w:r>
    </w:p>
    <w:p>
      <w:pPr>
        <w:spacing w:after="0" w:line="16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6.12</w:t>
      </w:r>
      <w:r>
        <w:rPr>
          <w:sz w:val="20"/>
          <w:szCs w:val="20"/>
          <w:color w:val="auto"/>
        </w:rPr>
        <w:tab/>
      </w:r>
      <w:r>
        <w:rPr>
          <w:rFonts w:ascii="Times New Roman" w:cs="Times New Roman" w:eastAsia="Times New Roman" w:hAnsi="Times New Roman"/>
          <w:sz w:val="21"/>
          <w:szCs w:val="21"/>
          <w:b w:val="1"/>
          <w:bCs w:val="1"/>
          <w:i w:val="1"/>
          <w:iCs w:val="1"/>
          <w:color w:val="auto"/>
        </w:rPr>
        <w:t>Hedging Agreements</w:t>
      </w:r>
    </w:p>
    <w:p>
      <w:pPr>
        <w:spacing w:after="0" w:line="226" w:lineRule="exact"/>
        <w:rPr>
          <w:sz w:val="20"/>
          <w:szCs w:val="20"/>
          <w:color w:val="auto"/>
        </w:rPr>
      </w:pPr>
    </w:p>
    <w:p>
      <w:pPr>
        <w:jc w:val="both"/>
        <w:ind w:firstLine="656"/>
        <w:spacing w:after="0" w:line="263" w:lineRule="auto"/>
        <w:tabs>
          <w:tab w:leader="none" w:pos="76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Hedging Agreement, other than Hedging Agreements entered into in the ordinary course of business to hedge or mitigate risks to which a Borrower or any Subsidiary is exposed in the conduct of its business or the management of its liabilities.</w:t>
      </w:r>
    </w:p>
    <w:p>
      <w:pPr>
        <w:spacing w:after="0" w:line="16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6.13</w:t>
      </w:r>
      <w:r>
        <w:rPr>
          <w:sz w:val="20"/>
          <w:szCs w:val="20"/>
          <w:color w:val="auto"/>
        </w:rPr>
        <w:tab/>
      </w:r>
      <w:r>
        <w:rPr>
          <w:rFonts w:ascii="Times New Roman" w:cs="Times New Roman" w:eastAsia="Times New Roman" w:hAnsi="Times New Roman"/>
          <w:sz w:val="21"/>
          <w:szCs w:val="21"/>
          <w:b w:val="1"/>
          <w:bCs w:val="1"/>
          <w:i w:val="1"/>
          <w:iCs w:val="1"/>
          <w:color w:val="auto"/>
        </w:rPr>
        <w:t>Pension Plans</w:t>
      </w:r>
    </w:p>
    <w:p>
      <w:pPr>
        <w:spacing w:after="0" w:line="226" w:lineRule="exact"/>
        <w:rPr>
          <w:sz w:val="20"/>
          <w:szCs w:val="20"/>
          <w:color w:val="auto"/>
        </w:rPr>
      </w:pPr>
    </w:p>
    <w:p>
      <w:pPr>
        <w:jc w:val="both"/>
        <w:ind w:firstLine="656"/>
        <w:spacing w:after="0" w:line="247" w:lineRule="auto"/>
        <w:tabs>
          <w:tab w:leader="none" w:pos="75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Terminate, in whole or in part, or initiate the termination of, in whole or in part, any Canadian Pension Plan so as to result in any liability to the Parent Borrower or its applicable Canadian Subsidiaries which could reasonably be expected to have a Material Adverse Effect; (b) permit to exist any event or condition in respect of any Canadian Pension Plan or Defined Benefit Plan which presents the risk of liability of the Parent Borrower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Parent Borrower or any of its Canadian Subsidiaries and which could reasonably be expected to have a Material Adverse Effect; (d) permit their unfunded obligations and liabilities under Canadian Pension Plans or Defined Benefit Plans to remain unfunded, other than in accordance with applicable law; (e) engage in any transactions which result in a fine or penalty against the Parent Borrower in excess of C$10,000,000 in respect of any Canadian Pension Plan, Defined Benefit Plan or Canadian Benefit Plan which fine or penalty has not been paid within 30 days of final assessment unless (i) such fine or penalty is being contested in good faith by appropriate proceedings, (ii) the Parent Borrower has set aside on its books adequate reserves with respect thereto in accordance with GAAP and (iii) such contest</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7" w:name="page188"/>
    <w:bookmarkEnd w:id="187"/>
    <w:p>
      <w:pPr>
        <w:jc w:val="both"/>
        <w:spacing w:after="0" w:line="253" w:lineRule="auto"/>
        <w:rPr>
          <w:sz w:val="20"/>
          <w:szCs w:val="20"/>
          <w:color w:val="auto"/>
        </w:rPr>
      </w:pPr>
      <w:r>
        <w:rPr>
          <w:rFonts w:ascii="Times New Roman" w:cs="Times New Roman" w:eastAsia="Times New Roman" w:hAnsi="Times New Roman"/>
          <w:sz w:val="22"/>
          <w:szCs w:val="22"/>
          <w:color w:val="auto"/>
        </w:rPr>
        <w:t>does not operate to suspend collection of the contested fine or penalty; or (f) fail to make a required contribution under any Canadian Pension Plan, Defined Benefit Plan or Canadian Benefit Plan which would result in the imposition of a Lien upon the assets of the Parent Borrower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17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6.14</w:t>
      </w:r>
      <w:r>
        <w:rPr>
          <w:sz w:val="20"/>
          <w:szCs w:val="20"/>
          <w:color w:val="auto"/>
        </w:rPr>
        <w:tab/>
      </w:r>
      <w:r>
        <w:rPr>
          <w:rFonts w:ascii="Times New Roman" w:cs="Times New Roman" w:eastAsia="Times New Roman" w:hAnsi="Times New Roman"/>
          <w:sz w:val="21"/>
          <w:szCs w:val="21"/>
          <w:b w:val="1"/>
          <w:bCs w:val="1"/>
          <w:i w:val="1"/>
          <w:iCs w:val="1"/>
          <w:color w:val="auto"/>
        </w:rPr>
        <w:t>Amendment of the Organizational Documents</w:t>
      </w:r>
    </w:p>
    <w:p>
      <w:pPr>
        <w:spacing w:after="0" w:line="226" w:lineRule="exact"/>
        <w:rPr>
          <w:sz w:val="20"/>
          <w:szCs w:val="20"/>
          <w:color w:val="auto"/>
        </w:rPr>
      </w:pPr>
    </w:p>
    <w:p>
      <w:pPr>
        <w:jc w:val="both"/>
        <w:ind w:firstLine="656"/>
        <w:spacing w:after="0" w:line="263" w:lineRule="auto"/>
        <w:tabs>
          <w:tab w:leader="none" w:pos="78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limited partnership agreement of any Subsidiary that is a limited partnership or otherwise take steps to expressly provide that the units of such limited partnership are securities for the purposes of this Securities Transfer Act (Alberta) without 30 days prior written notice to the Canadian Collateral Agent.</w:t>
      </w:r>
    </w:p>
    <w:p>
      <w:pPr>
        <w:spacing w:after="0" w:line="16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6.15</w:t>
      </w:r>
      <w:r>
        <w:rPr>
          <w:sz w:val="20"/>
          <w:szCs w:val="20"/>
          <w:color w:val="auto"/>
        </w:rPr>
        <w:tab/>
      </w:r>
      <w:r>
        <w:rPr>
          <w:rFonts w:ascii="Times New Roman" w:cs="Times New Roman" w:eastAsia="Times New Roman" w:hAnsi="Times New Roman"/>
          <w:sz w:val="21"/>
          <w:szCs w:val="21"/>
          <w:b w:val="1"/>
          <w:bCs w:val="1"/>
          <w:i w:val="1"/>
          <w:iCs w:val="1"/>
          <w:color w:val="auto"/>
        </w:rPr>
        <w:t>Sanction Laws and Regulations</w:t>
      </w:r>
    </w:p>
    <w:p>
      <w:pPr>
        <w:spacing w:after="0" w:line="222" w:lineRule="exact"/>
        <w:rPr>
          <w:sz w:val="20"/>
          <w:szCs w:val="20"/>
          <w:color w:val="auto"/>
        </w:rPr>
      </w:pPr>
    </w:p>
    <w:p>
      <w:pPr>
        <w:jc w:val="both"/>
        <w:ind w:firstLine="1304"/>
        <w:spacing w:after="0" w:line="254" w:lineRule="auto"/>
        <w:tabs>
          <w:tab w:leader="none" w:pos="1846" w:val="left"/>
        </w:tabs>
        <w:numPr>
          <w:ilvl w:val="0"/>
          <w:numId w:val="213"/>
        </w:numPr>
        <w:rPr>
          <w:rFonts w:ascii="Times New Roman" w:cs="Times New Roman" w:eastAsia="Times New Roman" w:hAnsi="Times New Roman"/>
          <w:sz w:val="22"/>
          <w:szCs w:val="22"/>
          <w:u w:val="single" w:color="auto"/>
          <w:color w:val="0000FF"/>
          <w:highlight w:val="lightGray"/>
        </w:rPr>
      </w:pP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Use the proceeds of the facilities under the Loan Documents, or lend, contribute or otherwise make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available such proceeds to any Borrower or any Subsidiary, joint venture partner or other person or entity for the purpose of (i) funding any activities or business of or with any Designated Person, or in any country or territory that at the time of such funding is, or whose government is, the subject of any sanctions under any Sanctions Laws and Regulations, or (ii) causing a violation of any Sanctions Laws and Regulations by any party to this Agreement.</w:t>
      </w:r>
    </w:p>
    <w:p>
      <w:pPr>
        <w:spacing w:after="0" w:line="177" w:lineRule="exact"/>
        <w:rPr>
          <w:rFonts w:ascii="Times New Roman" w:cs="Times New Roman" w:eastAsia="Times New Roman" w:hAnsi="Times New Roman"/>
          <w:sz w:val="22"/>
          <w:szCs w:val="22"/>
          <w:u w:val="single" w:color="auto"/>
          <w:color w:val="0000FF"/>
          <w:highlight w:val="lightGray"/>
        </w:rPr>
      </w:pPr>
    </w:p>
    <w:p>
      <w:pPr>
        <w:jc w:val="both"/>
        <w:ind w:firstLine="1304"/>
        <w:spacing w:after="0" w:line="252" w:lineRule="auto"/>
        <w:tabs>
          <w:tab w:leader="none" w:pos="186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amount due pursuant under the Loan Documents with funds obtained from transactions with or relating to Designated Persons or countries which are the subject of sanctions under any Sanctions Laws and Regulations, including but not limited to, Iran, Sudan, Cuba, and Syria, or with funds derived from any activity in violation of Anti-Money Laundering Laws.</w:t>
      </w:r>
    </w:p>
    <w:p>
      <w:pPr>
        <w:spacing w:after="0" w:line="18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6.16</w:t>
      </w:r>
      <w:r>
        <w:rPr>
          <w:sz w:val="20"/>
          <w:szCs w:val="20"/>
          <w:color w:val="auto"/>
        </w:rPr>
        <w:tab/>
      </w:r>
      <w:r>
        <w:rPr>
          <w:rFonts w:ascii="Times New Roman" w:cs="Times New Roman" w:eastAsia="Times New Roman" w:hAnsi="Times New Roman"/>
          <w:sz w:val="21"/>
          <w:szCs w:val="21"/>
          <w:b w:val="1"/>
          <w:bCs w:val="1"/>
          <w:i w:val="1"/>
          <w:iCs w:val="1"/>
          <w:color w:val="auto"/>
        </w:rPr>
        <w:t>Anti-Corruption Laws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Violate the laws or regulations described in Section 3.23 in such a manner as to result in a Material Adverse Effect.</w:t>
      </w:r>
    </w:p>
    <w:p>
      <w:pPr>
        <w:spacing w:after="0" w:line="21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6.17</w:t>
      </w:r>
      <w:r>
        <w:rPr>
          <w:sz w:val="20"/>
          <w:szCs w:val="20"/>
          <w:color w:val="auto"/>
        </w:rPr>
        <w:tab/>
      </w:r>
      <w:r>
        <w:rPr>
          <w:rFonts w:ascii="Times New Roman" w:cs="Times New Roman" w:eastAsia="Times New Roman" w:hAnsi="Times New Roman"/>
          <w:sz w:val="21"/>
          <w:szCs w:val="21"/>
          <w:b w:val="1"/>
          <w:bCs w:val="1"/>
          <w:i w:val="1"/>
          <w:iCs w:val="1"/>
          <w:color w:val="auto"/>
        </w:rPr>
        <w:t>Cross-Guarantee</w:t>
      </w:r>
    </w:p>
    <w:p>
      <w:pPr>
        <w:spacing w:after="0" w:line="226" w:lineRule="exact"/>
        <w:rPr>
          <w:sz w:val="20"/>
          <w:szCs w:val="20"/>
          <w:color w:val="auto"/>
        </w:rPr>
      </w:pPr>
    </w:p>
    <w:p>
      <w:pPr>
        <w:ind w:firstLine="656"/>
        <w:spacing w:after="0" w:line="271" w:lineRule="auto"/>
        <w:tabs>
          <w:tab w:leader="none" w:pos="75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shall enter into a deed of cross-guarantee for the purposes of ASIC Class Order CO 98/1418 other than with Civeo Holdings Company 1 Pty Limited and its subsidiaries.</w:t>
      </w:r>
    </w:p>
    <w:p>
      <w:pPr>
        <w:spacing w:after="0" w:line="1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1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7.01</w:t>
      </w:r>
      <w:r>
        <w:rPr>
          <w:sz w:val="20"/>
          <w:szCs w:val="20"/>
          <w:color w:val="auto"/>
        </w:rPr>
        <w:tab/>
      </w:r>
      <w:r>
        <w:rPr>
          <w:rFonts w:ascii="Times New Roman" w:cs="Times New Roman" w:eastAsia="Times New Roman" w:hAnsi="Times New Roman"/>
          <w:sz w:val="21"/>
          <w:szCs w:val="21"/>
          <w:b w:val="1"/>
          <w:bCs w:val="1"/>
          <w:i w:val="1"/>
          <w:iCs w:val="1"/>
          <w:color w:val="auto"/>
        </w:rPr>
        <w:t>Events of Default</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In case of the happening of any of the following events (“</w:t>
      </w:r>
      <w:r>
        <w:rPr>
          <w:rFonts w:ascii="Times New Roman" w:cs="Times New Roman" w:eastAsia="Times New Roman" w:hAnsi="Times New Roman"/>
          <w:sz w:val="22"/>
          <w:szCs w:val="22"/>
          <w:i w:val="1"/>
          <w:iCs w:val="1"/>
          <w:color w:val="auto"/>
        </w:rPr>
        <w:t>Events of Default</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8" w:name="page189"/>
    <w:bookmarkEnd w:id="188"/>
    <w:p>
      <w:pPr>
        <w:jc w:val="both"/>
        <w:ind w:firstLine="1304"/>
        <w:spacing w:after="0" w:line="251" w:lineRule="auto"/>
        <w:tabs>
          <w:tab w:leader="none" w:pos="181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5"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2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due observance or performance by a Borrower or any Subsidiary of any covenant, condition or agreement contained in Section 5.01(a), 5.05(a), 5.08 or in Article VI;</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1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Parent Borrower or (ii) any Responsible Officer of the Parent Borrower obtains actual knowledge thereof;</w:t>
      </w:r>
    </w:p>
    <w:p>
      <w:pPr>
        <w:spacing w:after="0" w:line="179" w:lineRule="exact"/>
        <w:rPr>
          <w:rFonts w:ascii="Times New Roman" w:cs="Times New Roman" w:eastAsia="Times New Roman" w:hAnsi="Times New Roman"/>
          <w:sz w:val="22"/>
          <w:szCs w:val="22"/>
          <w:color w:val="auto"/>
        </w:rPr>
      </w:pPr>
    </w:p>
    <w:p>
      <w:pPr>
        <w:jc w:val="both"/>
        <w:ind w:firstLine="1304"/>
        <w:spacing w:after="0" w:line="266" w:lineRule="auto"/>
        <w:tabs>
          <w:tab w:leader="none" w:pos="1738"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(ii) shall not apply to secured Indebtedness that becomes due as a result of the voluntary sale or transfer of the property or assets securing such Indebtedness;</w:t>
      </w:r>
    </w:p>
    <w:p>
      <w:pPr>
        <w:spacing w:after="0" w:line="165"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34"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89" w:name="page190"/>
    <w:bookmarkEnd w:id="189"/>
    <w:p>
      <w:pPr>
        <w:jc w:val="both"/>
        <w:spacing w:after="0" w:line="275" w:lineRule="auto"/>
        <w:rPr>
          <w:sz w:val="20"/>
          <w:szCs w:val="20"/>
          <w:color w:val="auto"/>
        </w:rPr>
      </w:pPr>
      <w:r>
        <w:rPr>
          <w:rFonts w:ascii="Times New Roman" w:cs="Times New Roman" w:eastAsia="Times New Roman" w:hAnsi="Times New Roman"/>
          <w:sz w:val="21"/>
          <w:szCs w:val="21"/>
          <w:color w:val="auto"/>
        </w:rPr>
        <w:t>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69" w:lineRule="exact"/>
        <w:rPr>
          <w:sz w:val="20"/>
          <w:szCs w:val="20"/>
          <w:color w:val="auto"/>
        </w:rPr>
      </w:pPr>
    </w:p>
    <w:p>
      <w:pPr>
        <w:jc w:val="both"/>
        <w:ind w:firstLine="1304"/>
        <w:spacing w:after="0" w:line="247" w:lineRule="auto"/>
        <w:tabs>
          <w:tab w:leader="none" w:pos="182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 (E) 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8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4"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16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71"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15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4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interest purported to be created by any Security Document shall cease to be, or shall be asserted by a Borrower or any other Loan Party not to be, a valid, perfected, first priority (except as otherwise expressly provided in this Agreement or such</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0" w:name="page191"/>
    <w:bookmarkEnd w:id="190"/>
    <w:p>
      <w:pPr>
        <w:jc w:val="both"/>
        <w:spacing w:after="0" w:line="257" w:lineRule="auto"/>
        <w:rPr>
          <w:sz w:val="20"/>
          <w:szCs w:val="20"/>
          <w:color w:val="auto"/>
        </w:rPr>
      </w:pPr>
      <w:r>
        <w:rPr>
          <w:rFonts w:ascii="Times New Roman" w:cs="Times New Roman" w:eastAsia="Times New Roman" w:hAnsi="Times New Roman"/>
          <w:sz w:val="22"/>
          <w:szCs w:val="22"/>
          <w:color w:val="auto"/>
        </w:rPr>
        <w:t>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18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(m)</w:t>
      </w:r>
      <w:r>
        <w:rPr>
          <w:sz w:val="20"/>
          <w:szCs w:val="20"/>
          <w:color w:val="auto"/>
        </w:rPr>
        <w:tab/>
      </w:r>
      <w:r>
        <w:rPr>
          <w:rFonts w:ascii="Times New Roman" w:cs="Times New Roman" w:eastAsia="Times New Roman" w:hAnsi="Times New Roman"/>
          <w:sz w:val="21"/>
          <w:szCs w:val="21"/>
          <w:color w:val="auto"/>
        </w:rPr>
        <w:t>a Change in Control shall have occurred.</w:t>
      </w:r>
    </w:p>
    <w:p>
      <w:pPr>
        <w:spacing w:after="0" w:line="21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7.02</w:t>
      </w:r>
      <w:r>
        <w:rPr>
          <w:sz w:val="20"/>
          <w:szCs w:val="20"/>
          <w:color w:val="auto"/>
        </w:rPr>
        <w:tab/>
      </w:r>
      <w:r>
        <w:rPr>
          <w:rFonts w:ascii="Times New Roman" w:cs="Times New Roman" w:eastAsia="Times New Roman" w:hAnsi="Times New Roman"/>
          <w:sz w:val="21"/>
          <w:szCs w:val="21"/>
          <w:b w:val="1"/>
          <w:bCs w:val="1"/>
          <w:i w:val="1"/>
          <w:iCs w:val="1"/>
          <w:color w:val="auto"/>
        </w:rPr>
        <w:t>Optional Acceleration of Maturity</w:t>
      </w:r>
    </w:p>
    <w:p>
      <w:pPr>
        <w:spacing w:after="0" w:line="226" w:lineRule="exact"/>
        <w:rPr>
          <w:sz w:val="20"/>
          <w:szCs w:val="20"/>
          <w:color w:val="auto"/>
        </w:rPr>
      </w:pPr>
    </w:p>
    <w:p>
      <w:pPr>
        <w:ind w:firstLine="656"/>
        <w:spacing w:after="0" w:line="271" w:lineRule="auto"/>
        <w:tabs>
          <w:tab w:leader="none" w:pos="76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Event of Default (other than an Event of Default pursuant to Section 7.01(g) or (h)) shall have occurred and be continuing, then, and in any such event: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8"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 shall at the request, or may, with the consent, of the Required Revolving Lenders, by notice to the Parent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Parent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900"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on demand of any Administrative Agent at the request or with the consent of the Required Revolving Lenders, Cash Collateralize the Letters of Credit in accordance with Section 2.21(k);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3"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6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7.03</w:t>
      </w:r>
      <w:r>
        <w:rPr>
          <w:sz w:val="20"/>
          <w:szCs w:val="20"/>
          <w:color w:val="auto"/>
        </w:rPr>
        <w:tab/>
      </w:r>
      <w:r>
        <w:rPr>
          <w:rFonts w:ascii="Times New Roman" w:cs="Times New Roman" w:eastAsia="Times New Roman" w:hAnsi="Times New Roman"/>
          <w:sz w:val="21"/>
          <w:szCs w:val="21"/>
          <w:b w:val="1"/>
          <w:bCs w:val="1"/>
          <w:i w:val="1"/>
          <w:iCs w:val="1"/>
          <w:color w:val="auto"/>
        </w:rPr>
        <w:t>Automatic Acceleration of Maturity</w:t>
      </w:r>
    </w:p>
    <w:p>
      <w:pPr>
        <w:spacing w:after="0" w:line="226" w:lineRule="exact"/>
        <w:rPr>
          <w:sz w:val="20"/>
          <w:szCs w:val="20"/>
          <w:color w:val="auto"/>
        </w:rPr>
      </w:pPr>
    </w:p>
    <w:p>
      <w:pPr>
        <w:ind w:left="760" w:hanging="104"/>
        <w:spacing w:after="0"/>
        <w:tabs>
          <w:tab w:leader="none" w:pos="76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Event of Default pursuant to Section 7.01(g) or (h) shall occur:</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1" w:name="page192"/>
    <w:bookmarkEnd w:id="191"/>
    <w:p>
      <w:pPr>
        <w:ind w:left="1780" w:hanging="476"/>
        <w:spacing w:after="0"/>
        <w:tabs>
          <w:tab w:leader="none" w:pos="17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Cash Collateralize the Letters of Credit in accordance with Section 2.21(k);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3"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Agents shall at the request of, or may with the consent of, the Required Lenders proceed to enforce its rights and remedies under the Security Documents, this Agreement, and any other Loan Document for the ratable benefit of the Lenders by appropriate proceedings.</w:t>
      </w:r>
    </w:p>
    <w:p>
      <w:pPr>
        <w:spacing w:after="0" w:line="16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7.04</w:t>
      </w:r>
      <w:r>
        <w:rPr>
          <w:sz w:val="20"/>
          <w:szCs w:val="20"/>
          <w:color w:val="auto"/>
        </w:rPr>
        <w:tab/>
      </w:r>
      <w:r>
        <w:rPr>
          <w:rFonts w:ascii="Times New Roman" w:cs="Times New Roman" w:eastAsia="Times New Roman" w:hAnsi="Times New Roman"/>
          <w:sz w:val="21"/>
          <w:szCs w:val="21"/>
          <w:b w:val="1"/>
          <w:bCs w:val="1"/>
          <w:i w:val="1"/>
          <w:iCs w:val="1"/>
          <w:color w:val="auto"/>
        </w:rPr>
        <w:t>Non-exclusivity of Remedies</w:t>
      </w:r>
    </w:p>
    <w:p>
      <w:pPr>
        <w:spacing w:after="0" w:line="226" w:lineRule="exact"/>
        <w:rPr>
          <w:sz w:val="20"/>
          <w:szCs w:val="20"/>
          <w:color w:val="auto"/>
        </w:rPr>
      </w:pPr>
    </w:p>
    <w:p>
      <w:pPr>
        <w:ind w:firstLine="656"/>
        <w:spacing w:after="0" w:line="295" w:lineRule="auto"/>
        <w:tabs>
          <w:tab w:leader="none" w:pos="783"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remedy conferred upon the Agents, the Issuing Banks and the Lenders is intended to be exclusive of any other remedy, and each remedy shall be cumulative of all other remedies existing by contract, at law, in equity, by statute or otherwise.</w:t>
      </w:r>
    </w:p>
    <w:p>
      <w:pPr>
        <w:spacing w:after="0" w:line="12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7.05</w:t>
      </w:r>
      <w:r>
        <w:rPr>
          <w:sz w:val="20"/>
          <w:szCs w:val="20"/>
          <w:color w:val="auto"/>
        </w:rPr>
        <w:tab/>
      </w:r>
      <w:r>
        <w:rPr>
          <w:rFonts w:ascii="Times New Roman" w:cs="Times New Roman" w:eastAsia="Times New Roman" w:hAnsi="Times New Roman"/>
          <w:sz w:val="21"/>
          <w:szCs w:val="21"/>
          <w:b w:val="1"/>
          <w:bCs w:val="1"/>
          <w:i w:val="1"/>
          <w:iCs w:val="1"/>
          <w:color w:val="auto"/>
        </w:rPr>
        <w:t>Application of Proceeds</w:t>
      </w:r>
    </w:p>
    <w:p>
      <w:pPr>
        <w:spacing w:after="0" w:line="239" w:lineRule="exact"/>
        <w:rPr>
          <w:sz w:val="20"/>
          <w:szCs w:val="20"/>
          <w:color w:val="auto"/>
        </w:rPr>
      </w:pPr>
    </w:p>
    <w:p>
      <w:pPr>
        <w:jc w:val="both"/>
        <w:ind w:firstLine="656"/>
        <w:spacing w:after="0" w:line="252" w:lineRule="auto"/>
        <w:tabs>
          <w:tab w:leader="none" w:pos="783"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From and during the continuance of any Event of Default, any monies or property actually received by an Agent pursuant to this Agreement or any other Loan Document, the exercise of any rights or remedies under any Security Document or any other agreement with any Loan Party which secures any of the Obligations, shall be applied by the Applicable Administrative Agent or Applicable Collateral Agent in the following order:</w:t>
      </w:r>
    </w:p>
    <w:p>
      <w:pPr>
        <w:spacing w:after="0" w:line="175" w:lineRule="exact"/>
        <w:rPr>
          <w:rFonts w:ascii="Times New Roman" w:cs="Times New Roman" w:eastAsia="Times New Roman" w:hAnsi="Times New Roman"/>
          <w:sz w:val="22"/>
          <w:szCs w:val="22"/>
          <w:b w:val="1"/>
          <w:bCs w:val="1"/>
          <w:color w:val="auto"/>
        </w:rPr>
      </w:pPr>
    </w:p>
    <w:p>
      <w:pPr>
        <w:ind w:right="20" w:firstLine="1304"/>
        <w:spacing w:after="0" w:line="275" w:lineRule="auto"/>
        <w:tabs>
          <w:tab w:leader="none" w:pos="175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fees, charges and disbursements of counsel to the Agents) payable to the Agents in their capacities as such;</w:t>
      </w:r>
    </w:p>
    <w:p>
      <w:pPr>
        <w:spacing w:after="0" w:line="16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7"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payment of that portion of the Obligations constituting fees, indemnities and other amounts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than principal, interest and Issuing Bank Fees) payable to the Lenders, the Issuing Banks and the Bilateral Lender (including fees, charges and disbursements of counsel to the respective Lenders, the Issuing Banks and the Bilateral Lender arising under the Loan Documents and the Bilateral Agreement), ratably among them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8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5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payment of that portion of the Obligations constituting accrued and unpaid Letter of Credit Fees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on the Loans, L/C Exposure and other Obligations arising under the Loan Documents and the Bilateral Agreement, ratably among the Lenders, the Issuing Banks and the Bilateral Agreement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5"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18"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Applicable Administrative Agent for the account of the Issuing Banks, to Cash Collateralize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portion of L/C Exposure comprised of the aggregate undrawn amount of Letters of Credit to the extent not otherwise Cash Collateralized by the Borrower pursuant to Section 2.21(k);</w:t>
      </w:r>
    </w:p>
    <w:p>
      <w:pPr>
        <w:spacing w:after="0" w:line="161" w:lineRule="exact"/>
        <w:rPr>
          <w:rFonts w:ascii="Times New Roman" w:cs="Times New Roman" w:eastAsia="Times New Roman" w:hAnsi="Times New Roman"/>
          <w:sz w:val="22"/>
          <w:szCs w:val="22"/>
          <w:color w:val="auto"/>
        </w:rPr>
      </w:pPr>
    </w:p>
    <w:p>
      <w:pPr>
        <w:ind w:firstLine="1304"/>
        <w:spacing w:after="0" w:line="275" w:lineRule="auto"/>
        <w:tabs>
          <w:tab w:leader="none" w:pos="1765"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payment of that portion of the Obligations constituting unpaid principal of the Loans, L/C Exposure,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then owing under Hedging Agreements</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2" w:name="page193"/>
    <w:bookmarkEnd w:id="192"/>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entered into with a counterparty that was a Lender (or an affiliate of a Lender) at the time such Hedging Agreement (other than Excluded Swap Obligations), Banking Services Obligations and any other Obligations, ratably among the Lenders, the Issuing Banks and the Bilateral Lender and, to the extent applicable, their Affiliates in proportion to the respective amounts described in this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payable by them; and</w:t>
      </w:r>
    </w:p>
    <w:p>
      <w:pPr>
        <w:spacing w:after="0" w:line="172" w:lineRule="exact"/>
        <w:rPr>
          <w:sz w:val="20"/>
          <w:szCs w:val="20"/>
          <w:color w:val="auto"/>
        </w:rPr>
      </w:pPr>
    </w:p>
    <w:p>
      <w:pPr>
        <w:jc w:val="both"/>
        <w:ind w:firstLine="1304"/>
        <w:spacing w:after="0" w:line="250" w:lineRule="auto"/>
        <w:tabs>
          <w:tab w:leader="none" w:pos="179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last</w:t>
      </w:r>
      <w:r>
        <w:rPr>
          <w:rFonts w:ascii="Times New Roman" w:cs="Times New Roman" w:eastAsia="Times New Roman" w:hAnsi="Times New Roman"/>
          <w:sz w:val="22"/>
          <w:szCs w:val="22"/>
          <w:color w:val="auto"/>
        </w:rPr>
        <w:t>, the balance, if any, after (i) the termination of all Commitments, (ii) the cancellation or expiration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Letter of Credit (except to the extent cash collateralized or backstopped, in each case, in a manner agreed to by the Borrower and the applicable Issuing Bank or as to which other arrangements satisfactory to the applicable Issuing Bank shall have been made) and (iii) the payment in full in cash of all Loans and other amounts owing to any Lender, any Agent, the Lead Arranger or the Bilateral Lender in respect of the Obligations (other than contingent or indemnification obligations not then due), including obligations in respect of Hedging Agreements and Banking Services Obligations, as the case may be, shall have been made to the Borrower or as may be directed by any court of competent jurisdiction.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Amounts used to Cash Collateralize the aggregate undrawn amount of Letters of Credit pursuant to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the foregoing, Obligations arising under Hedging Agreements and Banking Services Obligations shall be excluded from the application described above if the Applicable Administrative Agent has not received written notice thereof, together with such supporting documentation as such Administrative Agent may request, from the applicable Lender or its Affiliate, as the case may be.</w:t>
      </w:r>
    </w:p>
    <w:p>
      <w:pPr>
        <w:spacing w:after="0" w:line="18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ADMINISTRATIVE AGENTS, THE COLLATERAL AGENTS,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ISSUING BANKS AND THE SWING LINE LENDERS</w:t>
      </w:r>
    </w:p>
    <w:p>
      <w:pPr>
        <w:spacing w:after="0" w:line="20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8.01</w:t>
      </w:r>
      <w:r>
        <w:rPr>
          <w:sz w:val="20"/>
          <w:szCs w:val="20"/>
          <w:color w:val="auto"/>
        </w:rPr>
        <w:tab/>
      </w:r>
      <w:r>
        <w:rPr>
          <w:rFonts w:ascii="Times New Roman" w:cs="Times New Roman" w:eastAsia="Times New Roman" w:hAnsi="Times New Roman"/>
          <w:sz w:val="21"/>
          <w:szCs w:val="21"/>
          <w:b w:val="1"/>
          <w:bCs w:val="1"/>
          <w:i w:val="1"/>
          <w:iCs w:val="1"/>
          <w:color w:val="auto"/>
        </w:rPr>
        <w:t>Appointment and Authority</w:t>
      </w:r>
    </w:p>
    <w:p>
      <w:pPr>
        <w:spacing w:after="0" w:line="226" w:lineRule="exact"/>
        <w:rPr>
          <w:sz w:val="20"/>
          <w:szCs w:val="20"/>
          <w:color w:val="auto"/>
        </w:rPr>
      </w:pPr>
    </w:p>
    <w:p>
      <w:pPr>
        <w:jc w:val="both"/>
        <w:ind w:firstLine="656"/>
        <w:spacing w:after="0" w:line="262" w:lineRule="auto"/>
        <w:tabs>
          <w:tab w:leader="none" w:pos="75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the Swing Line Lenders and the Issuing Banks hereby irrevocably appoints RBC 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56" w:lineRule="auto"/>
        <w:rPr>
          <w:sz w:val="20"/>
          <w:szCs w:val="20"/>
          <w:color w:val="auto"/>
        </w:rPr>
      </w:pPr>
      <w:r>
        <w:rPr>
          <w:rFonts w:ascii="Times New Roman" w:cs="Times New Roman" w:eastAsia="Times New Roman" w:hAnsi="Times New Roman"/>
          <w:sz w:val="22"/>
          <w:szCs w:val="22"/>
          <w:color w:val="auto"/>
        </w:rPr>
        <w:t>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8.02</w:t>
      </w:r>
      <w:r>
        <w:rPr>
          <w:sz w:val="20"/>
          <w:szCs w:val="20"/>
          <w:color w:val="auto"/>
        </w:rPr>
        <w:tab/>
      </w:r>
      <w:r>
        <w:rPr>
          <w:rFonts w:ascii="Times New Roman" w:cs="Times New Roman" w:eastAsia="Times New Roman" w:hAnsi="Times New Roman"/>
          <w:sz w:val="21"/>
          <w:szCs w:val="21"/>
          <w:b w:val="1"/>
          <w:bCs w:val="1"/>
          <w:i w:val="1"/>
          <w:iCs w:val="1"/>
          <w:color w:val="auto"/>
        </w:rPr>
        <w:t>Rights as a Lender</w:t>
      </w:r>
    </w:p>
    <w:p>
      <w:pPr>
        <w:spacing w:after="0" w:line="226" w:lineRule="exact"/>
        <w:rPr>
          <w:sz w:val="20"/>
          <w:szCs w:val="20"/>
          <w:color w:val="auto"/>
        </w:rPr>
      </w:pPr>
    </w:p>
    <w:p>
      <w:pPr>
        <w:jc w:val="both"/>
        <w:ind w:firstLine="656"/>
        <w:spacing w:after="0" w:line="249" w:lineRule="auto"/>
        <w:tabs>
          <w:tab w:leader="none" w:pos="76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serving as an Agent or an Issuing Bank or a Swing Line Lender hereunder shall have the same rights 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17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8.03</w:t>
      </w:r>
      <w:r>
        <w:rPr>
          <w:sz w:val="20"/>
          <w:szCs w:val="20"/>
          <w:color w:val="auto"/>
        </w:rPr>
        <w:tab/>
      </w:r>
      <w:r>
        <w:rPr>
          <w:rFonts w:ascii="Times New Roman" w:cs="Times New Roman" w:eastAsia="Times New Roman" w:hAnsi="Times New Roman"/>
          <w:sz w:val="21"/>
          <w:szCs w:val="21"/>
          <w:b w:val="1"/>
          <w:bCs w:val="1"/>
          <w:i w:val="1"/>
          <w:iCs w:val="1"/>
          <w:color w:val="auto"/>
        </w:rPr>
        <w:t>Exculpatory Provisions</w:t>
      </w:r>
    </w:p>
    <w:p>
      <w:pPr>
        <w:spacing w:after="0" w:line="239" w:lineRule="exact"/>
        <w:rPr>
          <w:sz w:val="20"/>
          <w:szCs w:val="20"/>
          <w:color w:val="auto"/>
        </w:rPr>
      </w:pPr>
    </w:p>
    <w:p>
      <w:pPr>
        <w:jc w:val="both"/>
        <w:ind w:firstLine="656"/>
        <w:spacing w:after="0" w:line="257" w:lineRule="auto"/>
        <w:tabs>
          <w:tab w:leader="none" w:pos="75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Agents, Issuing Banks or the Swing Line Lenders shall have any duties or obligations except those expressly set forth herein and in the other Loan Documents. Without limiting the generality of the foregoing, none of the Agents or the Issuing Banks:</w:t>
      </w:r>
    </w:p>
    <w:p>
      <w:pPr>
        <w:spacing w:after="0" w:line="172"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subject to any fiduciary or other implied duties, regardless of whether a Default has occurred and is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209" w:lineRule="exact"/>
        <w:rPr>
          <w:rFonts w:ascii="Times New Roman" w:cs="Times New Roman" w:eastAsia="Times New Roman" w:hAnsi="Times New Roman"/>
          <w:sz w:val="21"/>
          <w:szCs w:val="21"/>
          <w:color w:val="auto"/>
        </w:rPr>
      </w:pPr>
    </w:p>
    <w:p>
      <w:pPr>
        <w:jc w:val="both"/>
        <w:ind w:firstLine="1304"/>
        <w:spacing w:after="0" w:line="265" w:lineRule="auto"/>
        <w:tabs>
          <w:tab w:leader="none" w:pos="2016"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68"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03"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except as expressly set forth herein and in the other Loan Documents, have any duty to disclose, and shall not be liable for the failure to disclose, any information relating to the Parent Borrower or any of its Affiliates or Subsidiaries that is communicated to or obtained by the person serving as Agent, Issuing Bank, Swing Line Lender or any of their respective Affiliates in any capacity.</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4" w:name="page195"/>
    <w:bookmarkEnd w:id="194"/>
    <w:p>
      <w:pPr>
        <w:jc w:val="both"/>
        <w:spacing w:after="0" w:line="256" w:lineRule="auto"/>
        <w:rPr>
          <w:sz w:val="20"/>
          <w:szCs w:val="20"/>
          <w:color w:val="auto"/>
        </w:rPr>
      </w:pPr>
      <w:r>
        <w:rPr>
          <w:rFonts w:ascii="Times New Roman" w:cs="Times New Roman" w:eastAsia="Times New Roman" w:hAnsi="Times New Roman"/>
          <w:sz w:val="22"/>
          <w:szCs w:val="22"/>
          <w:color w:val="auto"/>
        </w:rPr>
        <w:t>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8.04</w:t>
      </w:r>
      <w:r>
        <w:rPr>
          <w:sz w:val="20"/>
          <w:szCs w:val="20"/>
          <w:color w:val="auto"/>
        </w:rPr>
        <w:tab/>
      </w:r>
      <w:r>
        <w:rPr>
          <w:rFonts w:ascii="Times New Roman" w:cs="Times New Roman" w:eastAsia="Times New Roman" w:hAnsi="Times New Roman"/>
          <w:sz w:val="21"/>
          <w:szCs w:val="21"/>
          <w:b w:val="1"/>
          <w:bCs w:val="1"/>
          <w:i w:val="1"/>
          <w:iCs w:val="1"/>
          <w:color w:val="auto"/>
        </w:rPr>
        <w:t>Reliance by the Agents, the Issuing Banks and the Swing Line Lenders</w:t>
      </w:r>
    </w:p>
    <w:p>
      <w:pPr>
        <w:spacing w:after="0" w:line="239" w:lineRule="exact"/>
        <w:rPr>
          <w:sz w:val="20"/>
          <w:szCs w:val="20"/>
          <w:color w:val="auto"/>
        </w:rPr>
      </w:pPr>
    </w:p>
    <w:p>
      <w:pPr>
        <w:jc w:val="both"/>
        <w:ind w:firstLine="656"/>
        <w:spacing w:after="0" w:line="248" w:lineRule="auto"/>
        <w:tabs>
          <w:tab w:leader="none" w:pos="769"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Agents, Issuing Banks and the Swing Line 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8.05</w:t>
      </w:r>
      <w:r>
        <w:rPr>
          <w:sz w:val="20"/>
          <w:szCs w:val="20"/>
          <w:color w:val="auto"/>
        </w:rPr>
        <w:tab/>
      </w:r>
      <w:r>
        <w:rPr>
          <w:rFonts w:ascii="Times New Roman" w:cs="Times New Roman" w:eastAsia="Times New Roman" w:hAnsi="Times New Roman"/>
          <w:sz w:val="21"/>
          <w:szCs w:val="21"/>
          <w:b w:val="1"/>
          <w:bCs w:val="1"/>
          <w:i w:val="1"/>
          <w:iCs w:val="1"/>
          <w:color w:val="auto"/>
        </w:rPr>
        <w:t>Delegation of Duties</w:t>
      </w:r>
    </w:p>
    <w:p>
      <w:pPr>
        <w:spacing w:after="0" w:line="226" w:lineRule="exact"/>
        <w:rPr>
          <w:sz w:val="20"/>
          <w:szCs w:val="20"/>
          <w:color w:val="auto"/>
        </w:rPr>
      </w:pPr>
    </w:p>
    <w:p>
      <w:pPr>
        <w:jc w:val="both"/>
        <w:ind w:firstLine="656"/>
        <w:spacing w:after="0" w:line="256" w:lineRule="auto"/>
        <w:tabs>
          <w:tab w:leader="none" w:pos="7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Agents may perform any and all of its duties and exercise its rights and powers hereunder or under 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w:t>
      </w:r>
    </w:p>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5" w:name="page196"/>
    <w:bookmarkEnd w:id="195"/>
    <w:p>
      <w:pPr>
        <w:spacing w:after="0" w:line="271" w:lineRule="auto"/>
        <w:rPr>
          <w:sz w:val="20"/>
          <w:szCs w:val="20"/>
          <w:color w:val="auto"/>
        </w:rPr>
      </w:pPr>
      <w:r>
        <w:rPr>
          <w:rFonts w:ascii="Times New Roman" w:cs="Times New Roman" w:eastAsia="Times New Roman" w:hAnsi="Times New Roman"/>
          <w:sz w:val="22"/>
          <w:szCs w:val="22"/>
          <w:color w:val="auto"/>
        </w:rPr>
        <w:t>to the Related Parties of such Agent and any such sub-agent, and shall apply to their respective activities in connection with the syndication of the credit facilities provided for herein as well as activities as such Agent.</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8.06</w:t>
      </w:r>
      <w:r>
        <w:rPr>
          <w:sz w:val="20"/>
          <w:szCs w:val="20"/>
          <w:color w:val="auto"/>
        </w:rPr>
        <w:tab/>
      </w:r>
      <w:r>
        <w:rPr>
          <w:rFonts w:ascii="Times New Roman" w:cs="Times New Roman" w:eastAsia="Times New Roman" w:hAnsi="Times New Roman"/>
          <w:sz w:val="21"/>
          <w:szCs w:val="21"/>
          <w:b w:val="1"/>
          <w:bCs w:val="1"/>
          <w:i w:val="1"/>
          <w:iCs w:val="1"/>
          <w:color w:val="auto"/>
        </w:rPr>
        <w:t>Resignation of an Agent or a Swing Line Lender</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9" w:lineRule="auto"/>
        <w:tabs>
          <w:tab w:leader="none" w:pos="188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Agent may resign at any time by giving prior written notice thereof to the Lenders and the Parent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w:t>
      </w:r>
      <w:r>
        <w:rPr>
          <w:rFonts w:ascii="Times New Roman" w:cs="Times New Roman" w:eastAsia="Times New Roman" w:hAnsi="Times New Roman"/>
          <w:sz w:val="21"/>
          <w:szCs w:val="21"/>
          <w:u w:val="single" w:color="auto"/>
          <w:color w:val="0000FF"/>
          <w:highlight w:val="lightGray"/>
        </w:rPr>
        <w:t>Revolving</w:t>
      </w:r>
      <w:r>
        <w:rPr>
          <w:rFonts w:ascii="Times New Roman" w:cs="Times New Roman" w:eastAsia="Times New Roman" w:hAnsi="Times New Roman"/>
          <w:sz w:val="21"/>
          <w:szCs w:val="21"/>
          <w:color w:val="auto"/>
        </w:rPr>
        <w:t xml:space="preserve"> Lenders shall have the right to appoint, on behalf of the Parent Borrower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6" w:name="page197"/>
    <w:bookmarkEnd w:id="196"/>
    <w:p>
      <w:pPr>
        <w:jc w:val="both"/>
        <w:ind w:firstLine="1304"/>
        <w:spacing w:after="0" w:line="247" w:lineRule="auto"/>
        <w:tabs>
          <w:tab w:leader="none" w:pos="1763"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20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6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Swing Line Lender may resign at any time by giving prior written notice thereof to the Administrative Agent and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Borrowers shall have the right to appoint a successor U.S. Swing Line Lender. The Canadian Swing Line Lender may resign at any time by giving prior written notice thereof to the Canadian Administrative Agent and the Parent Borrower, such resignation to be effective upon the appointment of a successor Canadian Swing Line Lender or, if no successor Canadian Swing Line Lender has been appointed, forty-five (45) days after the retiring Canadian Swing Line Lender gives notice of its intention to resign. Upon any such resignation, the Parent Borrower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w:t>
      </w:r>
    </w:p>
    <w:p>
      <w:pPr>
        <w:spacing w:after="0" w:line="18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8.07</w:t>
      </w:r>
      <w:r>
        <w:rPr>
          <w:sz w:val="20"/>
          <w:szCs w:val="20"/>
          <w:color w:val="auto"/>
        </w:rPr>
        <w:tab/>
      </w:r>
      <w:r>
        <w:rPr>
          <w:rFonts w:ascii="Times New Roman" w:cs="Times New Roman" w:eastAsia="Times New Roman" w:hAnsi="Times New Roman"/>
          <w:sz w:val="21"/>
          <w:szCs w:val="21"/>
          <w:b w:val="1"/>
          <w:bCs w:val="1"/>
          <w:i w:val="1"/>
          <w:iCs w:val="1"/>
          <w:color w:val="auto"/>
        </w:rPr>
        <w:t>Non-Reliance on Agents and Other Lenders; Certain Acknowledgments</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48" w:lineRule="auto"/>
        <w:tabs>
          <w:tab w:leader="none" w:pos="176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184"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be deemed by delivering its signature page to this Agreement and making any Loan on the Closing Date to have consented to, approved or accepted each Loan Document and each other document or other matter referred to in Section 4.01, 4.02 or 4.03 required to be consented to or approved by or acceptable or satisfactory to the Agents, the Lead Arranger or the Lenders and to have been satisfied with the satisfaction of all other conditions precedent required to be satisfied under Section 4.01, 4.02 or 4.03.</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8.08</w:t>
      </w:r>
      <w:r>
        <w:rPr>
          <w:sz w:val="20"/>
          <w:szCs w:val="20"/>
          <w:color w:val="auto"/>
        </w:rPr>
        <w:tab/>
      </w:r>
      <w:r>
        <w:rPr>
          <w:rFonts w:ascii="Times New Roman" w:cs="Times New Roman" w:eastAsia="Times New Roman" w:hAnsi="Times New Roman"/>
          <w:sz w:val="21"/>
          <w:szCs w:val="21"/>
          <w:b w:val="1"/>
          <w:bCs w:val="1"/>
          <w:i w:val="1"/>
          <w:iCs w:val="1"/>
          <w:color w:val="auto"/>
        </w:rPr>
        <w:t>Indemnification</w:t>
      </w:r>
    </w:p>
    <w:p>
      <w:pPr>
        <w:spacing w:after="0" w:line="239" w:lineRule="exact"/>
        <w:rPr>
          <w:sz w:val="20"/>
          <w:szCs w:val="20"/>
          <w:color w:val="auto"/>
        </w:rPr>
      </w:pPr>
    </w:p>
    <w:p>
      <w:pPr>
        <w:jc w:val="both"/>
        <w:ind w:firstLine="656"/>
        <w:spacing w:after="0" w:line="247" w:lineRule="auto"/>
        <w:tabs>
          <w:tab w:leader="none" w:pos="75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Lenders severally agree to indemnify upon demand the Agents, the Issuing Banks, the Swing Line Lenders and 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Lender shall be liable for (a) the payment to any Indemnitee for any portion of such Indemnified 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Times New Roman" w:cs="Times New Roman" w:eastAsia="Times New Roman" w:hAnsi="Times New Roman"/>
          <w:sz w:val="22"/>
          <w:szCs w:val="22"/>
          <w:i w:val="1"/>
          <w:iCs w:val="1"/>
          <w:color w:val="auto"/>
        </w:rPr>
        <w:t xml:space="preserve">provided further, however, </w:t>
      </w:r>
      <w:r>
        <w:rPr>
          <w:rFonts w:ascii="Times New Roman" w:cs="Times New Roman" w:eastAsia="Times New Roman" w:hAnsi="Times New Roman"/>
          <w:sz w:val="22"/>
          <w:szCs w:val="22"/>
          <w:color w:val="auto"/>
        </w:rPr>
        <w:t>that no action taken in accordance with the directions of the Applicable Required Lenders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8" w:name="page199"/>
    <w:bookmarkEnd w:id="198"/>
    <w:p>
      <w:pPr>
        <w:jc w:val="both"/>
        <w:spacing w:after="0" w:line="253" w:lineRule="auto"/>
        <w:rPr>
          <w:sz w:val="20"/>
          <w:szCs w:val="20"/>
          <w:color w:val="auto"/>
        </w:rPr>
      </w:pPr>
      <w:r>
        <w:rPr>
          <w:rFonts w:ascii="Times New Roman" w:cs="Times New Roman" w:eastAsia="Times New Roman" w:hAnsi="Times New Roman"/>
          <w:sz w:val="22"/>
          <w:szCs w:val="22"/>
          <w:color w:val="auto"/>
        </w:rPr>
        <w:t>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8.09</w:t>
      </w:r>
      <w:r>
        <w:rPr>
          <w:sz w:val="20"/>
          <w:szCs w:val="20"/>
          <w:color w:val="auto"/>
        </w:rPr>
        <w:tab/>
      </w:r>
      <w:r>
        <w:rPr>
          <w:rFonts w:ascii="Times New Roman" w:cs="Times New Roman" w:eastAsia="Times New Roman" w:hAnsi="Times New Roman"/>
          <w:sz w:val="21"/>
          <w:szCs w:val="21"/>
          <w:b w:val="1"/>
          <w:bCs w:val="1"/>
          <w:i w:val="1"/>
          <w:iCs w:val="1"/>
          <w:color w:val="auto"/>
        </w:rPr>
        <w:t>Collateral and Guaranty Matters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0" w:lineRule="auto"/>
        <w:tabs>
          <w:tab w:leader="none" w:pos="186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186"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72"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176" w:lineRule="exact"/>
        <w:rPr>
          <w:rFonts w:ascii="Times New Roman" w:cs="Times New Roman" w:eastAsia="Times New Roman" w:hAnsi="Times New Roman"/>
          <w:sz w:val="21"/>
          <w:szCs w:val="21"/>
          <w:color w:val="auto"/>
        </w:rPr>
      </w:pPr>
    </w:p>
    <w:p>
      <w:pPr>
        <w:jc w:val="both"/>
        <w:ind w:left="660" w:firstLine="1292"/>
        <w:spacing w:after="0" w:line="257" w:lineRule="auto"/>
        <w:tabs>
          <w:tab w:leader="none" w:pos="2463"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468"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509"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action in exigent circumstances as may be reasonably necessary to preserve any rights or privileges of the Secured Parties under the Loan Documents or applicable law; and</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199" w:name="page200"/>
    <w:bookmarkEnd w:id="199"/>
    <w:p>
      <w:pPr>
        <w:ind w:left="660" w:firstLine="1292"/>
        <w:spacing w:after="0" w:line="271" w:lineRule="auto"/>
        <w:tabs>
          <w:tab w:leader="none" w:pos="2525"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subordinate any Lien on any property granted to or held by the Collateral Agent under any Loan Document to the holder of any Lien on such property that is permitted by Section 6.02(j).</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1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Collateral Agent at any time, the Secured Parties will confirm in writing the Collateral Agent’s authority to release particular types or items of Collateral pursuant to this Section 8.09.</w:t>
      </w:r>
    </w:p>
    <w:p>
      <w:pPr>
        <w:spacing w:after="0" w:line="14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4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18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8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Parent Borrower or selected by an Agent in good faith.</w:t>
      </w:r>
    </w:p>
    <w:p>
      <w:pPr>
        <w:spacing w:after="0" w:line="183"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6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any of the Loan Documents to the contrary notwithstanding, the Borrowers, the Agents and each Secured Party hereby agree that (i) no Secured Party shall have any right individually to realize upon any of the Collateral or to enforce any of the Guarantees in the Guarantee Agreements or any other Security Document, it being</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0" w:name="page201"/>
    <w:bookmarkEnd w:id="200"/>
    <w:p>
      <w:pPr>
        <w:jc w:val="both"/>
        <w:spacing w:after="0" w:line="248" w:lineRule="auto"/>
        <w:rPr>
          <w:sz w:val="20"/>
          <w:szCs w:val="20"/>
          <w:color w:val="auto"/>
        </w:rPr>
      </w:pPr>
      <w:r>
        <w:rPr>
          <w:rFonts w:ascii="Times New Roman" w:cs="Times New Roman" w:eastAsia="Times New Roman" w:hAnsi="Times New Roman"/>
          <w:sz w:val="22"/>
          <w:szCs w:val="22"/>
          <w:color w:val="auto"/>
        </w:rPr>
        <w:t>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 and (ii) in the event of a foreclosure or similar enforcement action by the Collateral Agent on any of the Collateral pursuant to a public or private sale or other disposition (including, without limitation, pursuant to Section 363(k), Section 1129(b)(2)(a)(ii) or otherwise of the Bankruptcy Code), the Collateral Agents (or any Lender, except with respect to a “credit bid” pursuant to Section 363(k), Section 1129(b)(2) (a)(ii) or otherwise of the Bankruptcy Code,) may be the purchaser or licensor of any or all of such Collateral at any such sale or other disposition and the Collateral Agents,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Agents at such sale or other disposition.</w:t>
      </w:r>
    </w:p>
    <w:p>
      <w:pPr>
        <w:spacing w:after="0" w:line="17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8.10</w:t>
      </w:r>
      <w:r>
        <w:rPr>
          <w:sz w:val="20"/>
          <w:szCs w:val="20"/>
          <w:color w:val="auto"/>
        </w:rPr>
        <w:tab/>
      </w:r>
      <w:r>
        <w:rPr>
          <w:rFonts w:ascii="Times New Roman" w:cs="Times New Roman" w:eastAsia="Times New Roman" w:hAnsi="Times New Roman"/>
          <w:sz w:val="21"/>
          <w:szCs w:val="21"/>
          <w:b w:val="1"/>
          <w:bCs w:val="1"/>
          <w:i w:val="1"/>
          <w:iCs w:val="1"/>
          <w:color w:val="auto"/>
        </w:rPr>
        <w:t>No Other Duties, etc.</w:t>
      </w:r>
    </w:p>
    <w:p>
      <w:pPr>
        <w:spacing w:after="0" w:line="226" w:lineRule="exact"/>
        <w:rPr>
          <w:sz w:val="20"/>
          <w:szCs w:val="20"/>
          <w:color w:val="auto"/>
        </w:rPr>
      </w:pPr>
    </w:p>
    <w:p>
      <w:pPr>
        <w:jc w:val="both"/>
        <w:ind w:firstLine="656"/>
        <w:spacing w:after="0" w:line="263" w:lineRule="auto"/>
        <w:tabs>
          <w:tab w:leader="none" w:pos="76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herein to the contrary notwithstanding,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highlight w:val="lightGray"/>
        </w:rPr>
        <w:t>no</w:t>
      </w:r>
      <w:r>
        <w:rPr>
          <w:rFonts w:ascii="Times New Roman" w:cs="Times New Roman" w:eastAsia="Times New Roman" w:hAnsi="Times New Roman"/>
          <w:sz w:val="22"/>
          <w:szCs w:val="22"/>
          <w:color w:val="auto"/>
        </w:rPr>
        <w:t xml:space="preserve"> Lead Arranger </w:t>
      </w:r>
      <w:r>
        <w:rPr>
          <w:rFonts w:ascii="Times New Roman" w:cs="Times New Roman" w:eastAsia="Times New Roman" w:hAnsi="Times New Roman"/>
          <w:sz w:val="22"/>
          <w:szCs w:val="22"/>
          <w:color w:val="FF0000"/>
          <w:strike w:val="1"/>
        </w:rPr>
        <w:t>and the Sole</w:t>
      </w:r>
      <w:r>
        <w:rPr>
          <w:rFonts w:ascii="Times New Roman" w:cs="Times New Roman" w:eastAsia="Times New Roman" w:hAnsi="Times New Roman"/>
          <w:sz w:val="22"/>
          <w:szCs w:val="22"/>
          <w:u w:val="single" w:color="auto"/>
          <w:color w:val="0000FF"/>
          <w:highlight w:val="lightGray"/>
        </w:rPr>
        <w:t>or</w:t>
      </w:r>
      <w:r>
        <w:rPr>
          <w:rFonts w:ascii="Times New Roman" w:cs="Times New Roman" w:eastAsia="Times New Roman" w:hAnsi="Times New Roman"/>
          <w:sz w:val="22"/>
          <w:szCs w:val="22"/>
          <w:color w:val="auto"/>
        </w:rPr>
        <w:t xml:space="preserve"> Bookrunner listed on the cover page hereof shall </w:t>
      </w:r>
      <w:r>
        <w:rPr>
          <w:rFonts w:ascii="Times New Roman" w:cs="Times New Roman" w:eastAsia="Times New Roman" w:hAnsi="Times New Roman"/>
          <w:sz w:val="22"/>
          <w:szCs w:val="22"/>
          <w:color w:val="FF0000"/>
          <w:strike w:val="1"/>
        </w:rPr>
        <w:t>not</w:t>
      </w:r>
      <w:r>
        <w:rPr>
          <w:rFonts w:ascii="Times New Roman" w:cs="Times New Roman" w:eastAsia="Times New Roman" w:hAnsi="Times New Roman"/>
          <w:sz w:val="22"/>
          <w:szCs w:val="22"/>
          <w:color w:val="auto"/>
        </w:rPr>
        <w:t xml:space="preserve"> have any powers, duties or responsibilities under this Agreement or any of the other Loan Documents, except in its capacity, as applicable, as an Agent, a Lender or an Issuing Bank.</w:t>
      </w:r>
    </w:p>
    <w:p>
      <w:pPr>
        <w:spacing w:after="0" w:line="16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8.11</w:t>
      </w:r>
      <w:r>
        <w:rPr>
          <w:sz w:val="20"/>
          <w:szCs w:val="20"/>
          <w:color w:val="auto"/>
        </w:rPr>
        <w:tab/>
      </w:r>
      <w:r>
        <w:rPr>
          <w:rFonts w:ascii="Times New Roman" w:cs="Times New Roman" w:eastAsia="Times New Roman" w:hAnsi="Times New Roman"/>
          <w:sz w:val="21"/>
          <w:szCs w:val="21"/>
          <w:b w:val="1"/>
          <w:bCs w:val="1"/>
          <w:i w:val="1"/>
          <w:iCs w:val="1"/>
          <w:color w:val="auto"/>
        </w:rPr>
        <w:t>Agents May File Proofs of Claim</w:t>
      </w:r>
    </w:p>
    <w:p>
      <w:pPr>
        <w:spacing w:after="0" w:line="226" w:lineRule="exact"/>
        <w:rPr>
          <w:sz w:val="20"/>
          <w:szCs w:val="20"/>
          <w:color w:val="auto"/>
        </w:rPr>
      </w:pPr>
    </w:p>
    <w:p>
      <w:pPr>
        <w:jc w:val="both"/>
        <w:ind w:firstLine="656"/>
        <w:spacing w:after="0" w:line="256" w:lineRule="auto"/>
        <w:tabs>
          <w:tab w:leader="none" w:pos="76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proceeding under any Insolvency Law or any other judicial 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3"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Disbursements and all other Obligations (other than obligations of the Parent Borrower or its Subsidiaries owing to any Lender or Affiliate thereof pursuant to any Hedging Agreement, any Banking Services Obligations or the Bilateral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w:t>
      </w:r>
    </w:p>
    <w:p>
      <w:pPr>
        <w:spacing w:after="0" w:line="180"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the same.</w:t>
      </w:r>
    </w:p>
    <w:p>
      <w:pPr>
        <w:spacing w:after="0" w:line="3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72" w:lineRule="auto"/>
        <w:rPr>
          <w:sz w:val="20"/>
          <w:szCs w:val="20"/>
          <w:color w:val="auto"/>
        </w:rPr>
      </w:pPr>
      <w:r>
        <w:rPr>
          <w:rFonts w:ascii="Times New Roman" w:cs="Times New Roman" w:eastAsia="Times New Roman" w:hAnsi="Times New Roman"/>
          <w:sz w:val="21"/>
          <w:szCs w:val="21"/>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9.08.</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18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8.12</w:t>
      </w:r>
      <w:r>
        <w:rPr>
          <w:sz w:val="20"/>
          <w:szCs w:val="20"/>
          <w:color w:val="auto"/>
        </w:rPr>
        <w:tab/>
      </w:r>
      <w:r>
        <w:rPr>
          <w:rFonts w:ascii="Times New Roman" w:cs="Times New Roman" w:eastAsia="Times New Roman" w:hAnsi="Times New Roman"/>
          <w:sz w:val="21"/>
          <w:szCs w:val="21"/>
          <w:b w:val="1"/>
          <w:bCs w:val="1"/>
          <w:i w:val="1"/>
          <w:iCs w:val="1"/>
          <w:color w:val="auto"/>
        </w:rPr>
        <w:t>Certain ERISA Matters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3" w:lineRule="auto"/>
        <w:tabs>
          <w:tab w:leader="none" w:pos="175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Applicable Administrative Agent, the Lead Arranger and their respective Affiliates, and not, for the avoidance of doubt, to or for the benefit of the Applicable Borrower or any other Loan Party, that at least one of the following is and will be true:</w:t>
      </w:r>
    </w:p>
    <w:p>
      <w:pPr>
        <w:spacing w:after="0" w:line="178" w:lineRule="exact"/>
        <w:rPr>
          <w:rFonts w:ascii="Times New Roman" w:cs="Times New Roman" w:eastAsia="Times New Roman" w:hAnsi="Times New Roman"/>
          <w:sz w:val="22"/>
          <w:szCs w:val="22"/>
          <w:color w:val="auto"/>
        </w:rPr>
      </w:pPr>
    </w:p>
    <w:p>
      <w:pPr>
        <w:ind w:left="660" w:firstLine="1292"/>
        <w:spacing w:after="0" w:line="271" w:lineRule="auto"/>
        <w:tabs>
          <w:tab w:leader="none" w:pos="2427"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in connection with the Loans, the Letters of Credit or the Commitments,</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85"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9" w:lineRule="exact"/>
        <w:rPr>
          <w:rFonts w:ascii="Times New Roman" w:cs="Times New Roman" w:eastAsia="Times New Roman" w:hAnsi="Times New Roman"/>
          <w:sz w:val="22"/>
          <w:szCs w:val="22"/>
          <w:color w:val="auto"/>
        </w:rPr>
      </w:pPr>
    </w:p>
    <w:p>
      <w:pPr>
        <w:jc w:val="both"/>
        <w:ind w:left="660" w:firstLine="1292"/>
        <w:spacing w:after="0" w:line="249" w:lineRule="auto"/>
        <w:tabs>
          <w:tab w:leader="none" w:pos="2639"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w:t>
      </w:r>
      <w:r>
        <w:rPr>
          <w:rFonts w:ascii="Times New Roman" w:cs="Times New Roman" w:eastAsia="Times New Roman" w:hAnsi="Times New Roman"/>
          <w:sz w:val="22"/>
          <w:szCs w:val="22"/>
          <w:i w:val="1"/>
          <w:iCs w:val="1"/>
          <w:color w:val="auto"/>
        </w:rPr>
        <w:t>Qualified Professional Asset Manager</w:t>
      </w:r>
      <w:r>
        <w:rPr>
          <w:rFonts w:ascii="Times New Roman" w:cs="Times New Roman" w:eastAsia="Times New Roman" w:hAnsi="Times New Roman"/>
          <w:sz w:val="22"/>
          <w:szCs w:val="22"/>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w:t>
      </w: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2" w:name="page203"/>
    <w:bookmarkEnd w:id="202"/>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6" w:lineRule="exact"/>
        <w:rPr>
          <w:sz w:val="20"/>
          <w:szCs w:val="20"/>
          <w:color w:val="auto"/>
        </w:rPr>
      </w:pPr>
    </w:p>
    <w:p>
      <w:pPr>
        <w:ind w:left="660" w:firstLine="1292"/>
        <w:spacing w:after="0" w:line="271" w:lineRule="auto"/>
        <w:tabs>
          <w:tab w:leader="none" w:pos="2713"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Applicable Administrative Agent, in its sole discretion, and such Lender.</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Section 8.12(a)(i) is true with respect to a Lender or such Lender has not provided another representation, warranty and covenant as provided in Section 8.12(a)(iv), such Lender further (x) represents and warrants, as of the date such Person became a Lender party hereto, to, and (y) covenants, from the date such Person became a Lender party hereto to the date such Person ceases being a Lender party hereto, for the benefit of, the Applicable Administrative Agent, and each Arranger and their respective Affiliates, and not, for the avoidance of doubt, to or for the benefit of the Applicable Borrower or any other Loan Party, that none of the Applicable Administrative Agent, or any Arranger or any of their respective Affiliates is a fiduciary with respect to the Collateral or the assets of such Lender (including in connection with the reservation or exercise of any rights by the Applicable Administrative Agent under this Agreement, any Loan Document or any documents related to hereto or thereto).</w:t>
      </w:r>
    </w:p>
    <w:p>
      <w:pPr>
        <w:spacing w:after="0" w:line="19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5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8.13</w:t>
      </w:r>
      <w:r>
        <w:rPr>
          <w:sz w:val="20"/>
          <w:szCs w:val="20"/>
          <w:color w:val="auto"/>
        </w:rPr>
        <w:tab/>
      </w:r>
      <w:r>
        <w:rPr>
          <w:rFonts w:ascii="Times New Roman" w:cs="Times New Roman" w:eastAsia="Times New Roman" w:hAnsi="Times New Roman"/>
          <w:sz w:val="21"/>
          <w:szCs w:val="21"/>
          <w:b w:val="1"/>
          <w:bCs w:val="1"/>
          <w:i w:val="1"/>
          <w:iCs w:val="1"/>
          <w:color w:val="auto"/>
        </w:rPr>
        <w:t>Erroneous Payments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6" w:lineRule="auto"/>
        <w:tabs>
          <w:tab w:leader="none" w:pos="1752"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a Lender, Issuing Bank or Secured Party, or any Person who has received funds on behalf of a Lender, Issuing Bank or Secured Party (any such Lender, Issuing Bank, Secured Party or other recipient, a “Payment Recipient”) that the Administrative Agent has determined in its sole reasonable discretion that any funds received by such Payment Recipient from the Administrative Agent or any of its Affiliates were</w:t>
      </w:r>
    </w:p>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3" w:name="page204"/>
    <w:bookmarkEnd w:id="203"/>
    <w:p>
      <w:pPr>
        <w:jc w:val="both"/>
        <w:spacing w:after="0" w:line="247" w:lineRule="auto"/>
        <w:rPr>
          <w:sz w:val="20"/>
          <w:szCs w:val="20"/>
          <w:color w:val="auto"/>
        </w:rPr>
      </w:pPr>
      <w:r>
        <w:rPr>
          <w:rFonts w:ascii="Times New Roman" w:cs="Times New Roman" w:eastAsia="Times New Roman" w:hAnsi="Times New Roman"/>
          <w:sz w:val="22"/>
          <w:szCs w:val="22"/>
          <w:color w:val="auto"/>
        </w:rPr>
        <w:t>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in same day funds (in the currency so received), the amount of any such Erroneous Payment (or portion thereof), together with interest thereon in respect of each day from and including the date such Erroneous Payment (or portion thereof) was received by such Payment Recipient to the date such amount is repaid to the Administrative Agent (i) in respect of amounts under the U.S. Revolving Credit Facility only, at the greater of the Federal Funds Effective Rate and a rate determined by the Administrative Agent in accordance with prevailing banking industry rules on interbank compensation from time to time in effect, or (ii) in respect of the Canadian Revolving Credit Facility only, at a rate determined by the Canadian Administrative Agent in accordance with prevailing banking industry rules on interbank compensation from time to time in effect.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A notice of the Administrative Agent to any Payment Recipient under this clause (a) shall be conclusive, absent manifest error.</w:t>
      </w:r>
    </w:p>
    <w:p>
      <w:pPr>
        <w:spacing w:after="0" w:line="187" w:lineRule="exact"/>
        <w:rPr>
          <w:sz w:val="20"/>
          <w:szCs w:val="20"/>
          <w:color w:val="auto"/>
        </w:rPr>
      </w:pPr>
    </w:p>
    <w:p>
      <w:pPr>
        <w:jc w:val="both"/>
        <w:ind w:firstLine="1304"/>
        <w:spacing w:after="0" w:line="248" w:lineRule="auto"/>
        <w:tabs>
          <w:tab w:leader="none" w:pos="1868"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Payment Recipient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(the “Payment Notice”), or (y) that was not preceded or accompanied by a Payment Notice sent by the Administrative Agent (or any of its Affiliates), then, said Payment Recipient shall be on notice, in each case, that an error has been made with respect to such Erroneous Payment. Each Payment Recipient agrees that, in each such case, or if it otherwise becomes aware an Erroneous Payment (or portion thereof) may have been sent in error, such Payment Recipient shall promptly notify the Administrative Agent of such occurrence and, upon demand from the Administrative Agent, it shall promptly, but in no event later than one Business Day thereafter, return to the Administrative Agent the amount of any such Erroneous Payment (or portion thereof) in same day funds (in the currency so received), together with interest thereon in respect of each day from and including the date such Erroneous Payment (or portion thereof) was received by such Payment Recipient to the date such amount is repaid to the Administrative Agent (i) in respect of amounts under the U.S. Revolving Credit Facility only, at the greater of the Federal Funds Effective Rate and a rate determined by the Administrative Agent in accordance with prevailing banking industry rules on interbank compensation from time to time in effect, or (ii) in respect of the Canadian Revolving Credit Facility only, at a rate</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4" w:name="page205"/>
    <w:bookmarkEnd w:id="204"/>
    <w:p>
      <w:pPr>
        <w:ind w:right="20"/>
        <w:spacing w:after="0" w:line="271" w:lineRule="auto"/>
        <w:rPr>
          <w:sz w:val="20"/>
          <w:szCs w:val="20"/>
          <w:color w:val="auto"/>
        </w:rPr>
      </w:pPr>
      <w:r>
        <w:rPr>
          <w:rFonts w:ascii="Times New Roman" w:cs="Times New Roman" w:eastAsia="Times New Roman" w:hAnsi="Times New Roman"/>
          <w:sz w:val="22"/>
          <w:szCs w:val="22"/>
          <w:color w:val="auto"/>
        </w:rPr>
        <w:t>determined by the Canadian Administrative Agent in accordance with prevailing banking industry rules on interbank compensation from time to time in effect.</w:t>
      </w:r>
    </w:p>
    <w:p>
      <w:pPr>
        <w:spacing w:after="0" w:line="158" w:lineRule="exact"/>
        <w:rPr>
          <w:sz w:val="20"/>
          <w:szCs w:val="20"/>
          <w:color w:val="auto"/>
        </w:rPr>
      </w:pPr>
    </w:p>
    <w:p>
      <w:pPr>
        <w:jc w:val="both"/>
        <w:ind w:firstLine="1304"/>
        <w:spacing w:after="0" w:line="256" w:lineRule="auto"/>
        <w:tabs>
          <w:tab w:leader="none" w:pos="183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any of the immediately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under the indemnification provisions of this Agreement.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Erroneous Payment (or portion thereof) is not recovered by the Administrative Agent for any reason, after demand therefor by the Administrative Agent (such unrecovered amount, an “Erroneous Payment Return Deficiency”), the Borrowers and each other Loan Party hereby agrees that (x) the Administrative Agent shall be subrogated to all the rights of such Payment Recipient with respect to such amount (including, without limitation, the right to sell and assign the Loans (or any portion thereof), which were subject to the Erroneous Payment Return Deficiency) and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w:t>
      </w:r>
      <w:r>
        <w:rPr>
          <w:rFonts w:ascii="Times New Roman" w:cs="Times New Roman" w:eastAsia="Times New Roman" w:hAnsi="Times New Roman"/>
          <w:sz w:val="22"/>
          <w:szCs w:val="22"/>
          <w:u w:val="single" w:color="auto"/>
          <w:color w:val="0000FF"/>
          <w:highlight w:val="lightGray"/>
        </w:rPr>
        <w:t>.</w:t>
      </w:r>
      <w:r>
        <w:rPr>
          <w:rFonts w:ascii="Times New Roman" w:cs="Times New Roman" w:eastAsia="Times New Roman" w:hAnsi="Times New Roman"/>
          <w:sz w:val="22"/>
          <w:szCs w:val="22"/>
          <w:color w:val="auto"/>
        </w:rPr>
        <w:t xml:space="preserve"> For the avoidance of doubt, no assignment of an Erroneous Payment Deficiency will reduce the Commitments of any Payment Recipient and such Commitments shall remain available in accordance with the terms of this Agreement. In addition, each party hereto agrees that, except to the extent that the Administrative Agent has sold a Loan (or portion thereof) acquired pursuant to the assignment of an Erroneous Payment Deficiency, and irrespective of whether the Administrative Agent may be equitably subrogated, the Administrative Agent shall be contractually subrogated to all the rights and interests of the applicable Payment Recipient under the Loan Documents with respect to each Erroneous Payment Return Deficiency.</w:t>
      </w:r>
    </w:p>
    <w:p>
      <w:pPr>
        <w:spacing w:after="0" w:line="18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8.13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8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8.13, each Lender:</w:t>
      </w:r>
    </w:p>
    <w:p>
      <w:pPr>
        <w:spacing w:after="0" w:line="3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5" w:name="page206"/>
    <w:bookmarkEnd w:id="205"/>
    <w:p>
      <w:pPr>
        <w:jc w:val="both"/>
        <w:ind w:left="660" w:firstLine="1292"/>
        <w:spacing w:after="0" w:line="257" w:lineRule="auto"/>
        <w:tabs>
          <w:tab w:leader="none" w:pos="240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it is executing and delivering this Agreement with respect to this Section 8.13 both on its own behalf and as agent for and on behalf of its Affiliates referred to in this Section 8.13 and any person receiving funds under or pursuant to any of the Loan Documents on behalf of such Lender or any of such Affiliates;</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8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warrants, covenants and agrees that its Affiliates referred to in this Section 8.13 and any person receiving funds under or pursuant to any of the Loan Documents on behalf of such Lender or any of such Affiliates are bound by the provisions of this Section 8.13; and</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60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any matter or thing done or omitted to be done by such Lender, its Affiliates or any person receiving funds under or pursuant to any of the Loan Documents on behalf of such Lender or any of such Affiliates which are the subject of this Section 8.13 will be binding upon such Lender and each Lender does hereby indemnify and save the Agent and its Affiliates harmless from any and all losses, expenses, claims, demands or other liabilities of the Agent and its Affiliates resulting from the failure of such Lender, its Affiliates or such persons to comply with their obligations under and in respect of this Section 8.13, in each case, in accordance with and subject to the limitations in Section 9.08.</w:t>
      </w:r>
    </w:p>
    <w:p>
      <w:pPr>
        <w:spacing w:after="0" w:line="1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9.01</w:t>
      </w:r>
      <w:r>
        <w:rPr>
          <w:sz w:val="20"/>
          <w:szCs w:val="20"/>
          <w:color w:val="auto"/>
        </w:rPr>
        <w:tab/>
      </w:r>
      <w:r>
        <w:rPr>
          <w:rFonts w:ascii="Times New Roman" w:cs="Times New Roman" w:eastAsia="Times New Roman" w:hAnsi="Times New Roman"/>
          <w:sz w:val="21"/>
          <w:szCs w:val="21"/>
          <w:b w:val="1"/>
          <w:bCs w:val="1"/>
          <w:i w:val="1"/>
          <w:iCs w:val="1"/>
          <w:color w:val="auto"/>
        </w:rPr>
        <w:t>Notices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firstLine="1304"/>
        <w:spacing w:after="0" w:line="253" w:lineRule="auto"/>
        <w:tabs>
          <w:tab w:leader="none" w:pos="179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Generally. </w:t>
      </w:r>
      <w:r>
        <w:rPr>
          <w:rFonts w:ascii="Times New Roman" w:cs="Times New Roman" w:eastAsia="Times New Roman" w:hAnsi="Times New Roman"/>
          <w:sz w:val="22"/>
          <w:szCs w:val="22"/>
          <w:color w:val="auto"/>
        </w:rPr>
        <w:t>Except in the case of notices and other communications expressly permitted to be given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telephone (and except as provided in paragraph (b) below), notices and other communications provided for herein or (except as otherwise provided therein) any other Loan Document shall be in writing and shall be delivered by hand or overnight courier service, mailed by certified or registered mail or sent by fax, as follows:</w:t>
      </w:r>
    </w:p>
    <w:p>
      <w:pPr>
        <w:spacing w:after="0" w:line="179" w:lineRule="exact"/>
        <w:rPr>
          <w:rFonts w:ascii="Times New Roman" w:cs="Times New Roman" w:eastAsia="Times New Roman" w:hAnsi="Times New Roman"/>
          <w:sz w:val="22"/>
          <w:szCs w:val="22"/>
          <w:color w:val="auto"/>
        </w:rPr>
      </w:pPr>
    </w:p>
    <w:p>
      <w:pPr>
        <w:ind w:left="660" w:firstLine="1292"/>
        <w:spacing w:after="0" w:line="284" w:lineRule="auto"/>
        <w:tabs>
          <w:tab w:leader="none" w:pos="2453"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Parent Borrower, to it at Three Allen Center, 333 Clay Street, Suite 4980, Houston, Texas 77002, Attention of Chief Financial Officer (Fax No. (713) 510-2499);</w:t>
      </w:r>
    </w:p>
    <w:p>
      <w:pPr>
        <w:spacing w:after="0" w:line="143" w:lineRule="exact"/>
        <w:rPr>
          <w:rFonts w:ascii="Times New Roman" w:cs="Times New Roman" w:eastAsia="Times New Roman" w:hAnsi="Times New Roman"/>
          <w:sz w:val="22"/>
          <w:szCs w:val="22"/>
          <w:color w:val="auto"/>
        </w:rPr>
      </w:pPr>
    </w:p>
    <w:p>
      <w:pPr>
        <w:ind w:left="660" w:firstLine="1292"/>
        <w:spacing w:after="0" w:line="271" w:lineRule="auto"/>
        <w:tabs>
          <w:tab w:leader="none" w:pos="244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U.S. Borrower, to it at Three Allen Center, 333 Clay Street, Suite 4980, Houston, Texas 77002, Attention of Chief Financial Officer (Fax No. (713) 510-2499);</w:t>
      </w:r>
    </w:p>
    <w:p>
      <w:pPr>
        <w:spacing w:after="0" w:line="157" w:lineRule="exact"/>
        <w:rPr>
          <w:rFonts w:ascii="Times New Roman" w:cs="Times New Roman" w:eastAsia="Times New Roman" w:hAnsi="Times New Roman"/>
          <w:sz w:val="22"/>
          <w:szCs w:val="22"/>
          <w:color w:val="auto"/>
        </w:rPr>
      </w:pPr>
    </w:p>
    <w:p>
      <w:pPr>
        <w:ind w:left="660" w:right="20" w:firstLine="1292"/>
        <w:spacing w:after="0" w:line="295" w:lineRule="auto"/>
        <w:tabs>
          <w:tab w:leader="none" w:pos="2509"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Australian Borrower, to it at Civeo Pty Limited, c/o Civeo Corporation, Three Allen Center, 333 Clay Street, Suite 4980, Houston, Texas 77002, Attention of Chief Financial Officer (Fax No. (713) 510-2499);</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6" w:name="page207"/>
    <w:bookmarkEnd w:id="206"/>
    <w:p>
      <w:pPr>
        <w:ind w:left="660" w:firstLine="1292"/>
        <w:spacing w:after="0" w:line="284" w:lineRule="auto"/>
        <w:tabs>
          <w:tab w:leader="none" w:pos="263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the U.S. Collateral Agent, to Royal Bank of Canada, at 155 Wellington Street West,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Toronto, Ontario M5V 3K7, Attention: Manager, Agency Services Group;</w:t>
      </w:r>
    </w:p>
    <w:p>
      <w:pPr>
        <w:spacing w:after="0" w:line="48" w:lineRule="exact"/>
        <w:rPr>
          <w:rFonts w:ascii="Times New Roman" w:cs="Times New Roman" w:eastAsia="Times New Roman" w:hAnsi="Times New Roman"/>
          <w:sz w:val="22"/>
          <w:szCs w:val="22"/>
          <w:color w:val="auto"/>
        </w:rPr>
      </w:pPr>
    </w:p>
    <w:p>
      <w:pPr>
        <w:jc w:val="both"/>
        <w:ind w:left="660" w:right="20" w:firstLine="1292"/>
        <w:spacing w:after="0" w:line="234" w:lineRule="auto"/>
        <w:tabs>
          <w:tab w:leader="none" w:pos="244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Canadian Administrative Agent or the Canadian Collateral Agent, to Royal Bank of Canada, at 155 Wellington Street West,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Toronto, Ontario M5V 3K7, Attention: Manager, Agency Services Group (Fax No. (416) 842-4023);</w:t>
      </w:r>
    </w:p>
    <w:p>
      <w:pPr>
        <w:spacing w:after="0" w:line="191"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66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Australian Administrative Agent or the Australian Collateral Agent, to RBC Europe Limited, at RBC Europe Limited, Thames Court, One Queenhithe, London, EC4V 3DQ, United Kingdom, Attention: Manager Loans Agency (Fax No. +44 20 7029 7914); and</w:t>
      </w:r>
    </w:p>
    <w:p>
      <w:pPr>
        <w:spacing w:after="0" w:line="18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Lender or an Issuing Bank, to it at its address (or fax number) set forth in its Administrative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Questionnaire.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Lender shall be required only to provide notice of such change to the Applicable Borrower and the Applicable Administrative Agent.</w:t>
      </w:r>
    </w:p>
    <w:p>
      <w:pPr>
        <w:spacing w:after="0" w:line="176" w:lineRule="exact"/>
        <w:rPr>
          <w:sz w:val="20"/>
          <w:szCs w:val="20"/>
          <w:color w:val="auto"/>
        </w:rPr>
      </w:pPr>
    </w:p>
    <w:p>
      <w:pPr>
        <w:jc w:val="both"/>
        <w:ind w:firstLine="1304"/>
        <w:spacing w:after="0" w:line="251" w:lineRule="auto"/>
        <w:tabs>
          <w:tab w:leader="none" w:pos="192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Communications</w:t>
      </w:r>
      <w:r>
        <w:rPr>
          <w:rFonts w:ascii="Times New Roman" w:cs="Times New Roman" w:eastAsia="Times New Roman" w:hAnsi="Times New Roman"/>
          <w:sz w:val="22"/>
          <w:szCs w:val="22"/>
          <w:color w:val="auto"/>
        </w:rPr>
        <w:t>. Notices and other communications to the Lenders and the Issuing Banks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hereunder may be delivered or furnished by electronic communication (including e-mail and Internet or intranet websites) pursuant to procedures approved by the Applicable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to any Lender or Issuing Bank pursuant to Article II if such Lender or Issuing Bank, as applicable, has 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7" w:name="page208"/>
    <w:bookmarkEnd w:id="207"/>
    <w:p>
      <w:pPr>
        <w:spacing w:after="0" w:line="271" w:lineRule="auto"/>
        <w:rPr>
          <w:sz w:val="20"/>
          <w:szCs w:val="20"/>
          <w:color w:val="auto"/>
        </w:rPr>
      </w:pPr>
      <w:r>
        <w:rPr>
          <w:rFonts w:ascii="Times New Roman" w:cs="Times New Roman" w:eastAsia="Times New Roman" w:hAnsi="Times New Roman"/>
          <w:sz w:val="22"/>
          <w:szCs w:val="22"/>
          <w:color w:val="auto"/>
        </w:rPr>
        <w:t>address as described in the foregoing clause (i) of notification that such notice or communication is available and identifying the website address therefor.</w:t>
      </w:r>
    </w:p>
    <w:p>
      <w:pPr>
        <w:spacing w:after="0" w:line="154" w:lineRule="exact"/>
        <w:rPr>
          <w:sz w:val="20"/>
          <w:szCs w:val="20"/>
          <w:color w:val="auto"/>
        </w:rPr>
      </w:pPr>
    </w:p>
    <w:p>
      <w:pPr>
        <w:jc w:val="both"/>
        <w:ind w:firstLine="1304"/>
        <w:spacing w:after="0" w:line="252" w:lineRule="auto"/>
        <w:tabs>
          <w:tab w:leader="none" w:pos="1765"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of Facsimile Documents and Signatures</w:t>
      </w:r>
      <w:r>
        <w:rPr>
          <w:rFonts w:ascii="Times New Roman" w:cs="Times New Roman" w:eastAsia="Times New Roman" w:hAnsi="Times New Roman"/>
          <w:sz w:val="22"/>
          <w:szCs w:val="22"/>
          <w:color w:val="auto"/>
        </w:rPr>
        <w:t>. Loan Documents may be transmitted and/or signed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facsimile or in electronic (i.e., “pdf”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failure to request or deliver the same shall not limit the effectiveness of any facsimile document or signature.</w:t>
      </w:r>
    </w:p>
    <w:p>
      <w:pPr>
        <w:spacing w:after="0" w:line="188"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66"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Platform</w:t>
      </w:r>
      <w:r>
        <w:rPr>
          <w:rFonts w:ascii="Times New Roman" w:cs="Times New Roman" w:eastAsia="Times New Roman" w:hAnsi="Times New Roman"/>
          <w:sz w:val="21"/>
          <w:szCs w:val="21"/>
          <w:color w:val="auto"/>
        </w:rPr>
        <w:t>. THE PLATFORM IS PROVIDED “AS IS” AND “AS AVAILABLE.” THE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its Related Parties (collectively, the “</w:t>
      </w:r>
      <w:r>
        <w:rPr>
          <w:rFonts w:ascii="Times New Roman" w:cs="Times New Roman" w:eastAsia="Times New Roman" w:hAnsi="Times New Roman"/>
          <w:sz w:val="21"/>
          <w:szCs w:val="21"/>
          <w:i w:val="1"/>
          <w:iCs w:val="1"/>
          <w:color w:val="auto"/>
        </w:rPr>
        <w:t>Agent Parties</w:t>
      </w:r>
      <w:r>
        <w:rPr>
          <w:rFonts w:ascii="Times New Roman" w:cs="Times New Roman" w:eastAsia="Times New Roman" w:hAnsi="Times New Roman"/>
          <w:sz w:val="21"/>
          <w:szCs w:val="21"/>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 </w:t>
      </w:r>
      <w:r>
        <w:rPr>
          <w:rFonts w:ascii="Times New Roman" w:cs="Times New Roman" w:eastAsia="Times New Roman" w:hAnsi="Times New Roman"/>
          <w:sz w:val="21"/>
          <w:szCs w:val="21"/>
          <w:color w:val="auto"/>
        </w:rPr>
        <w:t>that in no event shall any Agent Party have any liability to any Borrower, any Lender, any Issuing Bank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other person for indirect, special, incidental, consequential or punitive damages (as opposed to direct or actual damages).</w:t>
      </w:r>
    </w:p>
    <w:p>
      <w:pPr>
        <w:spacing w:after="0" w:line="171"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79"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Reliance by Agents, Issuing Banks and Lenders</w:t>
      </w:r>
      <w:r>
        <w:rPr>
          <w:rFonts w:ascii="Times New Roman" w:cs="Times New Roman" w:eastAsia="Times New Roman" w:hAnsi="Times New Roman"/>
          <w:sz w:val="22"/>
          <w:szCs w:val="22"/>
          <w:color w:val="auto"/>
        </w:rPr>
        <w:t>. Each of the Agents, Issuing Banks and the Lenders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rely and act upon any 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any Borrower. All telephonic notices to and other communications with any Agent, Issuing Bank or Lender may be recorded by such Agent, Issuing Bank or Lender, and each of the parties hereto hereby consents to such recording.</w:t>
      </w:r>
    </w:p>
    <w:p>
      <w:pPr>
        <w:spacing w:after="0" w:line="17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9.02</w:t>
      </w:r>
      <w:r>
        <w:rPr>
          <w:sz w:val="20"/>
          <w:szCs w:val="20"/>
          <w:color w:val="auto"/>
        </w:rPr>
        <w:tab/>
      </w:r>
      <w:r>
        <w:rPr>
          <w:rFonts w:ascii="Times New Roman" w:cs="Times New Roman" w:eastAsia="Times New Roman" w:hAnsi="Times New Roman"/>
          <w:sz w:val="21"/>
          <w:szCs w:val="21"/>
          <w:b w:val="1"/>
          <w:bCs w:val="1"/>
          <w:i w:val="1"/>
          <w:iCs w:val="1"/>
          <w:color w:val="auto"/>
        </w:rPr>
        <w:t>Survival of Agreement</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8" w:name="page209"/>
    <w:bookmarkEnd w:id="208"/>
    <w:p>
      <w:pPr>
        <w:jc w:val="both"/>
        <w:ind w:firstLine="656"/>
        <w:spacing w:after="0" w:line="248" w:lineRule="auto"/>
        <w:tabs>
          <w:tab w:leader="none" w:pos="76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agreements, representations and warranties made by a Borrower herein and in the certificates 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17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9.03</w:t>
      </w:r>
      <w:r>
        <w:rPr>
          <w:sz w:val="20"/>
          <w:szCs w:val="20"/>
          <w:color w:val="auto"/>
        </w:rPr>
        <w:tab/>
      </w:r>
      <w:r>
        <w:rPr>
          <w:rFonts w:ascii="Times New Roman" w:cs="Times New Roman" w:eastAsia="Times New Roman" w:hAnsi="Times New Roman"/>
          <w:sz w:val="21"/>
          <w:szCs w:val="21"/>
          <w:b w:val="1"/>
          <w:bCs w:val="1"/>
          <w:i w:val="1"/>
          <w:iCs w:val="1"/>
          <w:color w:val="auto"/>
        </w:rPr>
        <w:t>Binding Effect</w:t>
      </w:r>
    </w:p>
    <w:p>
      <w:pPr>
        <w:spacing w:after="0" w:line="226" w:lineRule="exact"/>
        <w:rPr>
          <w:sz w:val="20"/>
          <w:szCs w:val="20"/>
          <w:color w:val="auto"/>
        </w:rPr>
      </w:pPr>
    </w:p>
    <w:p>
      <w:pPr>
        <w:jc w:val="both"/>
        <w:ind w:firstLine="656"/>
        <w:spacing w:after="0" w:line="263" w:lineRule="auto"/>
        <w:tabs>
          <w:tab w:leader="none" w:pos="75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become effective when it shall have been executed by the Borrowers and the Administrative Agent and when the Administrative Agent shall have received counterparts hereof which, when taken together, bear the signatures of each of the other parties hereto.</w:t>
      </w:r>
    </w:p>
    <w:p>
      <w:pPr>
        <w:spacing w:after="0" w:line="16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9.04</w:t>
      </w:r>
      <w:r>
        <w:rPr>
          <w:sz w:val="20"/>
          <w:szCs w:val="20"/>
          <w:color w:val="auto"/>
        </w:rPr>
        <w:tab/>
      </w:r>
      <w:r>
        <w:rPr>
          <w:rFonts w:ascii="Times New Roman" w:cs="Times New Roman" w:eastAsia="Times New Roman" w:hAnsi="Times New Roman"/>
          <w:sz w:val="21"/>
          <w:szCs w:val="21"/>
          <w:b w:val="1"/>
          <w:bCs w:val="1"/>
          <w:i w:val="1"/>
          <w:iCs w:val="1"/>
          <w:color w:val="auto"/>
        </w:rPr>
        <w:t>Successors and Assigns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p>
    <w:p>
      <w:pPr>
        <w:spacing w:after="0" w:line="220" w:lineRule="exact"/>
        <w:rPr>
          <w:sz w:val="20"/>
          <w:szCs w:val="20"/>
          <w:color w:val="auto"/>
        </w:rPr>
      </w:pPr>
    </w:p>
    <w:p>
      <w:pPr>
        <w:jc w:val="both"/>
        <w:ind w:firstLine="1304"/>
        <w:spacing w:after="0" w:line="262" w:lineRule="auto"/>
        <w:tabs>
          <w:tab w:leader="none" w:pos="1765"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The terms and provisions of this Agreement and the other Loan Documents shall be binding upon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inure to the benefit of the 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w:t>
      </w:r>
    </w:p>
    <w:p>
      <w:pPr>
        <w:spacing w:after="0" w:line="5" w:lineRule="exact"/>
        <w:rPr>
          <w:rFonts w:ascii="Times New Roman" w:cs="Times New Roman" w:eastAsia="Times New Roman" w:hAnsi="Times New Roman"/>
          <w:sz w:val="21"/>
          <w:szCs w:val="21"/>
          <w:color w:val="auto"/>
        </w:rPr>
      </w:pPr>
    </w:p>
    <w:p>
      <w:pPr>
        <w:jc w:val="both"/>
        <w:ind w:firstLine="8"/>
        <w:spacing w:after="0" w:line="246" w:lineRule="auto"/>
        <w:tabs>
          <w:tab w:leader="none" w:pos="307"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this Section (and any other attempted assignment or transfer by any party hereto shall be null and void);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any such assignment under the Australian Revolving Credit Facility, if such assignment would 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w:t>
      </w:r>
    </w:p>
    <w:p>
      <w:pPr>
        <w:spacing w:after="0" w:line="3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09" w:name="page210"/>
    <w:bookmarkEnd w:id="209"/>
    <w:p>
      <w:pPr>
        <w:spacing w:after="0" w:line="271" w:lineRule="auto"/>
        <w:rPr>
          <w:sz w:val="20"/>
          <w:szCs w:val="20"/>
          <w:color w:val="auto"/>
        </w:rPr>
      </w:pPr>
      <w:r>
        <w:rPr>
          <w:rFonts w:ascii="Times New Roman" w:cs="Times New Roman" w:eastAsia="Times New Roman" w:hAnsi="Times New Roman"/>
          <w:sz w:val="22"/>
          <w:szCs w:val="22"/>
          <w:color w:val="auto"/>
        </w:rPr>
        <w:t>expressly contemplated hereby, the Indemnitees) any legal or equitable right, remedy or claim under or by reason of this Agreement.</w:t>
      </w:r>
    </w:p>
    <w:p>
      <w:pPr>
        <w:spacing w:after="0" w:line="154" w:lineRule="exact"/>
        <w:rPr>
          <w:sz w:val="20"/>
          <w:szCs w:val="20"/>
          <w:color w:val="auto"/>
        </w:rPr>
      </w:pPr>
    </w:p>
    <w:p>
      <w:pPr>
        <w:jc w:val="both"/>
        <w:ind w:firstLine="1304"/>
        <w:spacing w:after="0" w:line="258" w:lineRule="auto"/>
        <w:tabs>
          <w:tab w:leader="none" w:pos="185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 Any Lender may at any time assign to one or more Eligible Assignees all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portion of its rights and obligations under this Agreement (including all or a portion of its Commitments (including, for purposes of this Section 9.04(b), participations in Letters of Credit and Swing Line Loans) and the Loans at the time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67"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Amounts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1300" w:firstLine="1300"/>
        <w:spacing w:after="0" w:line="281" w:lineRule="auto"/>
        <w:tabs>
          <w:tab w:leader="none" w:pos="3252" w:val="left"/>
        </w:tabs>
        <w:numPr>
          <w:ilvl w:val="2"/>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50" w:lineRule="exact"/>
        <w:rPr>
          <w:rFonts w:ascii="Times New Roman" w:cs="Times New Roman" w:eastAsia="Times New Roman" w:hAnsi="Times New Roman"/>
          <w:sz w:val="19"/>
          <w:szCs w:val="19"/>
          <w:color w:val="auto"/>
        </w:rPr>
      </w:pPr>
    </w:p>
    <w:p>
      <w:pPr>
        <w:jc w:val="both"/>
        <w:ind w:left="1300" w:firstLine="1300"/>
        <w:spacing w:after="0" w:line="249" w:lineRule="auto"/>
        <w:tabs>
          <w:tab w:leader="none" w:pos="3121"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Parent Borrower otherwise consents (each such consent not to be unreasonably withheld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6"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9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Proportionate Amounts</w:t>
      </w:r>
      <w:r>
        <w:rPr>
          <w:rFonts w:ascii="Times New Roman" w:cs="Times New Roman" w:eastAsia="Times New Roman" w:hAnsi="Times New Roman"/>
          <w:sz w:val="22"/>
          <w:szCs w:val="22"/>
          <w:color w:val="auto"/>
        </w:rPr>
        <w:t>. Each partial assignment shall be made as an assignment of a proportionate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 of all the assigning Lender’s rights and obligations under this Agreement with respect to the Loan or the Commitment assigned, except that this clause (ii) shall not apply to the Applicable Swing Line Lender’s rights and obligations in respect of Swing Line Loans.</w:t>
      </w:r>
    </w:p>
    <w:p>
      <w:pPr>
        <w:spacing w:after="0" w:line="188" w:lineRule="exact"/>
        <w:rPr>
          <w:rFonts w:ascii="Times New Roman" w:cs="Times New Roman" w:eastAsia="Times New Roman" w:hAnsi="Times New Roman"/>
          <w:sz w:val="22"/>
          <w:szCs w:val="22"/>
          <w:color w:val="auto"/>
        </w:rPr>
      </w:pPr>
    </w:p>
    <w:p>
      <w:pPr>
        <w:ind w:left="660" w:firstLine="1292"/>
        <w:spacing w:after="0" w:line="275" w:lineRule="auto"/>
        <w:tabs>
          <w:tab w:leader="none" w:pos="2496"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Required Consents</w:t>
      </w:r>
      <w:r>
        <w:rPr>
          <w:rFonts w:ascii="Times New Roman" w:cs="Times New Roman" w:eastAsia="Times New Roman" w:hAnsi="Times New Roman"/>
          <w:sz w:val="22"/>
          <w:szCs w:val="22"/>
          <w:color w:val="auto"/>
        </w:rPr>
        <w:t>. No consent shall be required for any assignment except to the extent required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(b)(i)(B) of this Section and, in addition:</w:t>
      </w:r>
    </w:p>
    <w:p>
      <w:pPr>
        <w:spacing w:after="0" w:line="153" w:lineRule="exact"/>
        <w:rPr>
          <w:rFonts w:ascii="Times New Roman" w:cs="Times New Roman" w:eastAsia="Times New Roman" w:hAnsi="Times New Roman"/>
          <w:sz w:val="22"/>
          <w:szCs w:val="22"/>
          <w:color w:val="auto"/>
        </w:rPr>
      </w:pPr>
    </w:p>
    <w:p>
      <w:pPr>
        <w:ind w:left="1300" w:right="20" w:firstLine="1300"/>
        <w:spacing w:after="0" w:line="271" w:lineRule="auto"/>
        <w:tabs>
          <w:tab w:leader="none" w:pos="3093"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consent of the Parent Borrower (such consent not to be unreasonably withheld or delayed) shall be required for assignments in respect of</w:t>
      </w: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10" w:name="page211"/>
    <w:bookmarkEnd w:id="210"/>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color w:val="FF0000"/>
          <w:strike w:val="1"/>
        </w:rPr>
        <w:t>Canadian Term Loan Facility, the</w:t>
      </w:r>
      <w:r>
        <w:rPr>
          <w:rFonts w:ascii="Times New Roman" w:cs="Times New Roman" w:eastAsia="Times New Roman" w:hAnsi="Times New Roman"/>
          <w:sz w:val="22"/>
          <w:szCs w:val="22"/>
          <w:color w:val="auto"/>
        </w:rPr>
        <w:t xml:space="preserve"> U.S. Revolving Credit Facility, the Canadian Revolving Credit Facility or the Australian Revolving Credit Facility, if such assignment is to a person that is not a Lender under </w:t>
      </w:r>
      <w:r>
        <w:rPr>
          <w:rFonts w:ascii="Times New Roman" w:cs="Times New Roman" w:eastAsia="Times New Roman" w:hAnsi="Times New Roman"/>
          <w:sz w:val="22"/>
          <w:szCs w:val="22"/>
          <w:color w:val="FF0000"/>
          <w:strike w:val="1"/>
        </w:rPr>
        <w:t>the Canadian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Term Loan Facility,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U.S. Revolving Credit Facility, the Canadian Revolving Credit Facility or the Australian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Revolving Credit Facility, an Affiliate of such Lender or any Approved Fund with respect to such Lender, </w:t>
      </w:r>
      <w:r>
        <w:rPr>
          <w:rFonts w:ascii="Times New Roman" w:cs="Times New Roman" w:eastAsia="Times New Roman" w:hAnsi="Times New Roman"/>
          <w:sz w:val="22"/>
          <w:szCs w:val="22"/>
          <w:i w:val="1"/>
          <w:iCs w:val="1"/>
          <w:color w:val="000000"/>
        </w:rPr>
        <w:t xml:space="preserve">provided </w:t>
      </w:r>
      <w:r>
        <w:rPr>
          <w:rFonts w:ascii="Times New Roman" w:cs="Times New Roman" w:eastAsia="Times New Roman" w:hAnsi="Times New Roman"/>
          <w:sz w:val="22"/>
          <w:szCs w:val="22"/>
          <w:color w:val="000000"/>
        </w:rPr>
        <w:t>that no such consent shall be required if an Event of Default shall have occurred and is continuing;</w:t>
      </w:r>
      <w:r>
        <w:rPr>
          <w:rFonts w:ascii="Times New Roman" w:cs="Times New Roman" w:eastAsia="Times New Roman" w:hAnsi="Times New Roman"/>
          <w:sz w:val="22"/>
          <w:szCs w:val="22"/>
          <w:i w:val="1"/>
          <w:iCs w:val="1"/>
          <w:color w:val="000000"/>
        </w:rPr>
        <w:t xml:space="preserve"> provided further </w:t>
      </w:r>
      <w:r>
        <w:rPr>
          <w:rFonts w:ascii="Times New Roman" w:cs="Times New Roman" w:eastAsia="Times New Roman" w:hAnsi="Times New Roman"/>
          <w:sz w:val="22"/>
          <w:szCs w:val="22"/>
          <w:color w:val="000000"/>
        </w:rPr>
        <w:t>that if the Parent Borrower shall fail to respond to a request for consent to an assignment within</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ten (10) Business Days following receipt of such request, the Parent Borrower shall be deemed to have given such consent.</w:t>
      </w:r>
    </w:p>
    <w:p>
      <w:pPr>
        <w:spacing w:after="0" w:line="195" w:lineRule="exact"/>
        <w:rPr>
          <w:sz w:val="20"/>
          <w:szCs w:val="20"/>
          <w:color w:val="auto"/>
        </w:rPr>
      </w:pPr>
    </w:p>
    <w:p>
      <w:pPr>
        <w:jc w:val="both"/>
        <w:ind w:left="1300" w:firstLine="1300"/>
        <w:spacing w:after="0" w:line="250" w:lineRule="auto"/>
        <w:tabs>
          <w:tab w:leader="none" w:pos="3187"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consent of the Applicable Administrative Agent (such consent not to be unreasonably withheld or delayed) shall be required </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color w:val="auto"/>
        </w:rPr>
        <w:t xml:space="preserve"> for assignments in respect of the U.S. Revolving Credit Facility, the Canadian Revolving Credit Facility or the Australian Revolving Credit Facility if such assignment is to a person that is not a Lender under the U.S. Revolving Credit Facility, the Canadian Revolving Credit Facility or the Australian Revolving Credit Facility, an Affiliate of such Lender or an Approved Fund with respect to such Lender </w:t>
      </w:r>
      <w:r>
        <w:rPr>
          <w:rFonts w:ascii="Times New Roman" w:cs="Times New Roman" w:eastAsia="Times New Roman" w:hAnsi="Times New Roman"/>
          <w:sz w:val="22"/>
          <w:szCs w:val="22"/>
          <w:color w:val="FF0000"/>
        </w:rPr>
        <w:t>or (2) for assignments of Canadian Term Loans to a person who is not a Lender, an Affiliate of a Lender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an Approved Fund</w:t>
      </w:r>
      <w:r>
        <w:rPr>
          <w:rFonts w:ascii="Times New Roman" w:cs="Times New Roman" w:eastAsia="Times New Roman" w:hAnsi="Times New Roman"/>
          <w:sz w:val="22"/>
          <w:szCs w:val="22"/>
          <w:color w:val="000000"/>
        </w:rPr>
        <w:t>;</w:t>
      </w:r>
    </w:p>
    <w:p>
      <w:pPr>
        <w:spacing w:after="0" w:line="180" w:lineRule="exact"/>
        <w:rPr>
          <w:rFonts w:ascii="Times New Roman" w:cs="Times New Roman" w:eastAsia="Times New Roman" w:hAnsi="Times New Roman"/>
          <w:sz w:val="20"/>
          <w:szCs w:val="20"/>
          <w:color w:val="auto"/>
        </w:rPr>
      </w:pPr>
    </w:p>
    <w:p>
      <w:pPr>
        <w:jc w:val="both"/>
        <w:ind w:left="1300" w:firstLine="1300"/>
        <w:spacing w:after="0" w:line="263" w:lineRule="auto"/>
        <w:tabs>
          <w:tab w:leader="none" w:pos="312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consent of each Issuing Bank (such consent not to be unreasonably withheld or delayed) shall be required for any assignment in respect of the U.S. Revolving Credit Facility, the Canadian Revolving Credit Facility or the Australian Revolving Credit Facility; and</w:t>
      </w:r>
    </w:p>
    <w:p>
      <w:pPr>
        <w:spacing w:after="0" w:line="167" w:lineRule="exact"/>
        <w:rPr>
          <w:rFonts w:ascii="Times New Roman" w:cs="Times New Roman" w:eastAsia="Times New Roman" w:hAnsi="Times New Roman"/>
          <w:sz w:val="20"/>
          <w:szCs w:val="20"/>
          <w:color w:val="auto"/>
        </w:rPr>
      </w:pPr>
    </w:p>
    <w:p>
      <w:pPr>
        <w:jc w:val="both"/>
        <w:ind w:left="1300" w:firstLine="1300"/>
        <w:spacing w:after="0" w:line="263" w:lineRule="auto"/>
        <w:tabs>
          <w:tab w:leader="none" w:pos="3236"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consent of the Applicable Swing Line Lender (such consent not to be unreasonably withheld or delayed) shall be required for any assignment in respect of the U.S. Revolving Credit Facility or the Canadian Revolving Credit Facility, as applicable.</w:t>
      </w:r>
    </w:p>
    <w:p>
      <w:pPr>
        <w:spacing w:after="0" w:line="163" w:lineRule="exact"/>
        <w:rPr>
          <w:rFonts w:ascii="Times New Roman" w:cs="Times New Roman" w:eastAsia="Times New Roman" w:hAnsi="Times New Roman"/>
          <w:sz w:val="20"/>
          <w:szCs w:val="20"/>
          <w:color w:val="auto"/>
        </w:rPr>
      </w:pPr>
    </w:p>
    <w:p>
      <w:pPr>
        <w:jc w:val="both"/>
        <w:ind w:left="660" w:firstLine="1292"/>
        <w:spacing w:after="0" w:line="249" w:lineRule="auto"/>
        <w:tabs>
          <w:tab w:leader="none" w:pos="267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The parties to each assignment shall execute and deliver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Applicable Administrative Agent an Assignment and Acceptance, together with a processing and recordation fee of $3,500;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Applicable Administrative Agent may, in its sole discretion, elect to waive such processing and recordation fee in the case of any assignment;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95" w:lineRule="exact"/>
        <w:rPr>
          <w:rFonts w:ascii="Times New Roman" w:cs="Times New Roman" w:eastAsia="Times New Roman" w:hAnsi="Times New Roman"/>
          <w:sz w:val="22"/>
          <w:szCs w:val="22"/>
          <w:color w:val="auto"/>
        </w:rPr>
      </w:pPr>
    </w:p>
    <w:p>
      <w:pPr>
        <w:ind w:left="660" w:firstLine="1292"/>
        <w:spacing w:after="0" w:line="275" w:lineRule="auto"/>
        <w:tabs>
          <w:tab w:leader="none" w:pos="245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Assignment to Borrower</w:t>
      </w:r>
      <w:r>
        <w:rPr>
          <w:rFonts w:ascii="Times New Roman" w:cs="Times New Roman" w:eastAsia="Times New Roman" w:hAnsi="Times New Roman"/>
          <w:sz w:val="22"/>
          <w:szCs w:val="22"/>
          <w:color w:val="auto"/>
        </w:rPr>
        <w:t>. No such assignment shall be made to the Parent Borrower or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Parent Borrower’s Affiliates 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-3459480</wp:posOffset>
            </wp:positionV>
            <wp:extent cx="59143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14390" cy="8255"/>
                    </a:xfrm>
                    <a:prstGeom prst="rect">
                      <a:avLst/>
                    </a:prstGeom>
                    <a:noFill/>
                  </pic:spPr>
                </pic:pic>
              </a:graphicData>
            </a:graphic>
          </wp:anchor>
        </w:drawing>
      </w: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11" w:name="page212"/>
    <w:bookmarkEnd w:id="211"/>
    <w:p>
      <w:pPr>
        <w:ind w:left="2480" w:hanging="528"/>
        <w:spacing w:after="0"/>
        <w:tabs>
          <w:tab w:leader="none" w:pos="248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Assignment to Natural Persons</w:t>
      </w:r>
      <w:r>
        <w:rPr>
          <w:rFonts w:ascii="Times New Roman" w:cs="Times New Roman" w:eastAsia="Times New Roman" w:hAnsi="Times New Roman"/>
          <w:sz w:val="22"/>
          <w:szCs w:val="22"/>
          <w:color w:val="auto"/>
        </w:rPr>
        <w:t>. No such assignment shall be made to a natural person.</w:t>
      </w:r>
    </w:p>
    <w:p>
      <w:pPr>
        <w:spacing w:after="0" w:line="219" w:lineRule="exact"/>
        <w:rPr>
          <w:rFonts w:ascii="Times New Roman" w:cs="Times New Roman" w:eastAsia="Times New Roman" w:hAnsi="Times New Roman"/>
          <w:sz w:val="22"/>
          <w:szCs w:val="22"/>
          <w:color w:val="auto"/>
        </w:rPr>
      </w:pPr>
    </w:p>
    <w:p>
      <w:pPr>
        <w:ind w:left="660" w:right="20" w:firstLine="1292"/>
        <w:spacing w:after="0" w:line="275" w:lineRule="auto"/>
        <w:tabs>
          <w:tab w:leader="none" w:pos="277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Defaulting Lenders</w:t>
      </w:r>
      <w:r>
        <w:rPr>
          <w:rFonts w:ascii="Times New Roman" w:cs="Times New Roman" w:eastAsia="Times New Roman" w:hAnsi="Times New Roman"/>
          <w:sz w:val="22"/>
          <w:szCs w:val="22"/>
          <w:color w:val="auto"/>
        </w:rPr>
        <w:t>. No assignment shall be made to any Defaulting Lender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or any person who, upon becoming a Lender hereunder, would constitute any of the foregoing persons.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Upon such execution, delivery, acceptance and recording thereof by the Applicable Administrative Agent pursuant to paragraph</w:t>
      </w:r>
    </w:p>
    <w:p>
      <w:pPr>
        <w:spacing w:after="0" w:line="39" w:lineRule="exact"/>
        <w:rPr>
          <w:sz w:val="20"/>
          <w:szCs w:val="20"/>
          <w:color w:val="auto"/>
        </w:rPr>
      </w:pPr>
    </w:p>
    <w:p>
      <w:pPr>
        <w:jc w:val="both"/>
        <w:ind w:firstLine="8"/>
        <w:spacing w:after="0" w:line="246" w:lineRule="auto"/>
        <w:tabs>
          <w:tab w:leader="none" w:pos="31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sub-participations, or other compensating actions, including funding, with the consent of the Parent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9" w:lineRule="exact"/>
        <w:rPr>
          <w:sz w:val="20"/>
          <w:szCs w:val="20"/>
          <w:color w:val="auto"/>
        </w:rPr>
      </w:pPr>
    </w:p>
    <w:p>
      <w:pPr>
        <w:jc w:val="both"/>
        <w:ind w:firstLine="1304"/>
        <w:spacing w:after="0" w:line="265" w:lineRule="auto"/>
        <w:tabs>
          <w:tab w:leader="none" w:pos="1779"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Applicable Administrative Agent shall maintain at its applicable lending office a copy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Assignment and Acceptance delivered to and accepted by it and a register for the recordation of the names and addresses of the Lenders and the Commitments of, and principal amount of the Loans owing to, each Lender from time to time</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212" w:name="page213"/>
    <w:bookmarkEnd w:id="212"/>
    <w:p>
      <w:pPr>
        <w:jc w:val="both"/>
        <w:spacing w:after="0" w:line="25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Parent Borrower, the U.S. Borrower</w:t>
      </w:r>
      <w:r>
        <w:rPr>
          <w:rFonts w:ascii="Times New Roman" w:cs="Times New Roman" w:eastAsia="Times New Roman" w:hAnsi="Times New Roman"/>
          <w:sz w:val="22"/>
          <w:szCs w:val="22"/>
          <w:u w:val="single" w:color="auto"/>
          <w:color w:val="0000FF"/>
          <w:highlight w:val="lightGray"/>
        </w:rPr>
        <w:t>s</w:t>
      </w:r>
      <w:r>
        <w:rPr>
          <w:rFonts w:ascii="Times New Roman" w:cs="Times New Roman" w:eastAsia="Times New Roman" w:hAnsi="Times New Roman"/>
          <w:sz w:val="22"/>
          <w:szCs w:val="22"/>
          <w:color w:val="auto"/>
        </w:rPr>
        <w:t xml:space="preserve"> or any Lender at any reasonable time and from time to time upon reasonable prior notice.</w:t>
      </w:r>
    </w:p>
    <w:p>
      <w:pPr>
        <w:spacing w:after="0" w:line="175" w:lineRule="exact"/>
        <w:rPr>
          <w:sz w:val="20"/>
          <w:szCs w:val="20"/>
          <w:color w:val="auto"/>
        </w:rPr>
      </w:pPr>
    </w:p>
    <w:p>
      <w:pPr>
        <w:jc w:val="both"/>
        <w:ind w:firstLine="1304"/>
        <w:spacing w:after="0" w:line="259" w:lineRule="auto"/>
        <w:tabs>
          <w:tab w:leader="none" w:pos="1777"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Participations</w:t>
      </w:r>
      <w:r>
        <w:rPr>
          <w:rFonts w:ascii="Times New Roman" w:cs="Times New Roman" w:eastAsia="Times New Roman" w:hAnsi="Times New Roman"/>
          <w:sz w:val="21"/>
          <w:szCs w:val="21"/>
          <w:color w:val="auto"/>
        </w:rPr>
        <w:t>. Any Lender may at any time, without the consent of, or notice to, the Parent Borrower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Administrative Agent, sell participations to any person (other than a natural person, a Defaulting Lender or the Parent Borrower or any of the Parent Borrower’s or a Defaulting Lender’s Affiliates or subsidiaries) (each, a “</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and the other Loan Documents (including all or a portion of its Commitment and/or the Loans (including such Lender’s participations in Letter of Credit Obligations and Swing Line Loans)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Parent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Parent Borrower agrees that each Participant shall be entitled to the benefits of 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auto"/>
        </w:rPr>
        <w: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213" w:name="page214"/>
    <w:bookmarkEnd w:id="213"/>
    <w:p>
      <w:pPr>
        <w:ind w:right="20"/>
        <w:spacing w:after="0" w:line="271" w:lineRule="auto"/>
        <w:rPr>
          <w:sz w:val="20"/>
          <w:szCs w:val="20"/>
          <w:color w:val="auto"/>
        </w:rPr>
      </w:pPr>
      <w:r>
        <w:rPr>
          <w:rFonts w:ascii="Times New Roman" w:cs="Times New Roman" w:eastAsia="Times New Roman" w:hAnsi="Times New Roman"/>
          <w:sz w:val="22"/>
          <w:szCs w:val="22"/>
          <w:color w:val="auto"/>
        </w:rPr>
        <w:t>Administrative Agent (in its capacity as Administrative Agent) shall have any responsibility for maintaining a Participant Register.</w:t>
      </w:r>
    </w:p>
    <w:p>
      <w:pPr>
        <w:spacing w:after="0" w:line="158" w:lineRule="exact"/>
        <w:rPr>
          <w:sz w:val="20"/>
          <w:szCs w:val="20"/>
          <w:color w:val="auto"/>
        </w:rPr>
      </w:pPr>
    </w:p>
    <w:p>
      <w:pPr>
        <w:jc w:val="both"/>
        <w:ind w:firstLine="1304"/>
        <w:spacing w:after="0" w:line="251" w:lineRule="auto"/>
        <w:tabs>
          <w:tab w:leader="none" w:pos="1888"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2.13 or 2.14 than the applicable Lender would have been entitled to receive with respect to the participation sold to such Participant, unless the sale of the participation to such Participant is made with the Parent Borrower’s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2"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any Lender (a “</w:t>
      </w:r>
      <w:r>
        <w:rPr>
          <w:rFonts w:ascii="Times New Roman" w:cs="Times New Roman" w:eastAsia="Times New Roman" w:hAnsi="Times New Roman"/>
          <w:sz w:val="22"/>
          <w:szCs w:val="22"/>
          <w:i w:val="1"/>
          <w:iCs w:val="1"/>
          <w:color w:val="auto"/>
        </w:rPr>
        <w:t>Granting Lender</w:t>
      </w:r>
      <w:r>
        <w:rPr>
          <w:rFonts w:ascii="Times New Roman" w:cs="Times New Roman" w:eastAsia="Times New Roman" w:hAnsi="Times New Roman"/>
          <w:sz w:val="22"/>
          <w:szCs w:val="22"/>
          <w:color w:val="auto"/>
        </w:rPr>
        <w:t>”) may grant to a special purpose funding vehicle identified as such in writing from time to time by the Granting Lender to the Applicable Administrative Agent and the Parent Borrower (an “</w:t>
      </w:r>
      <w:r>
        <w:rPr>
          <w:rFonts w:ascii="Times New Roman" w:cs="Times New Roman" w:eastAsia="Times New Roman" w:hAnsi="Times New Roman"/>
          <w:sz w:val="22"/>
          <w:szCs w:val="22"/>
          <w:i w:val="1"/>
          <w:iCs w:val="1"/>
          <w:color w:val="auto"/>
        </w:rPr>
        <w:t>SPC</w:t>
      </w:r>
      <w:r>
        <w:rPr>
          <w:rFonts w:ascii="Times New Roman" w:cs="Times New Roman" w:eastAsia="Times New Roman" w:hAnsi="Times New Roman"/>
          <w:sz w:val="22"/>
          <w:szCs w:val="22"/>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Parent Borrower and the Applicable Administrative Agent and without paying any processing fee therefor, assign all or any portion of its right to receive payment with respect to any Loan to the Granting Lender and (ii) disclose on a confidential basis any non-public information relating to its funding of Loans to any rating agency, commercial</w:t>
      </w:r>
    </w:p>
    <w:p>
      <w:pPr>
        <w:spacing w:after="0" w:line="3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color w:val="auto"/>
        </w:rPr>
        <w:t>paper dealer or provider of any surety or Guarantee or credit or liquidity enhancement to such SPC.</w:t>
      </w:r>
    </w:p>
    <w:p>
      <w:pPr>
        <w:spacing w:after="0" w:line="220" w:lineRule="exact"/>
        <w:rPr>
          <w:sz w:val="20"/>
          <w:szCs w:val="20"/>
          <w:color w:val="auto"/>
        </w:rPr>
      </w:pPr>
    </w:p>
    <w:p>
      <w:pPr>
        <w:jc w:val="both"/>
        <w:ind w:firstLine="1304"/>
        <w:spacing w:after="0" w:line="250" w:lineRule="auto"/>
        <w:tabs>
          <w:tab w:leader="none" w:pos="1807"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9.05</w:t>
      </w:r>
      <w:r>
        <w:rPr>
          <w:sz w:val="20"/>
          <w:szCs w:val="20"/>
          <w:color w:val="auto"/>
        </w:rPr>
        <w:tab/>
      </w:r>
      <w:r>
        <w:rPr>
          <w:rFonts w:ascii="Times New Roman" w:cs="Times New Roman" w:eastAsia="Times New Roman" w:hAnsi="Times New Roman"/>
          <w:sz w:val="21"/>
          <w:szCs w:val="21"/>
          <w:b w:val="1"/>
          <w:bCs w:val="1"/>
          <w:i w:val="1"/>
          <w:iCs w:val="1"/>
          <w:color w:val="auto"/>
        </w:rPr>
        <w:t>Expenses; Indemnity</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1304"/>
        <w:spacing w:after="0" w:line="259" w:lineRule="auto"/>
        <w:tabs>
          <w:tab w:leader="none" w:pos="1752"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Costs and Expenses. </w:t>
      </w:r>
      <w:r>
        <w:rPr>
          <w:rFonts w:ascii="Times New Roman" w:cs="Times New Roman" w:eastAsia="Times New Roman" w:hAnsi="Times New Roman"/>
          <w:sz w:val="21"/>
          <w:szCs w:val="21"/>
          <w:color w:val="auto"/>
        </w:rPr>
        <w:t>The Borrowers agree, jointly and severally, to pay or reimburse (i) all reasonable out-of-pocket expenses incurred by the 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person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Parent Borrower. The agreements in this Section shall survive the termination of the Commitments and repayment of all Obligations.</w:t>
      </w: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15" w:name="page216"/>
    <w:bookmarkEnd w:id="215"/>
    <w:p>
      <w:pPr>
        <w:jc w:val="both"/>
        <w:ind w:firstLine="1304"/>
        <w:spacing w:after="0" w:line="258" w:lineRule="auto"/>
        <w:tabs>
          <w:tab w:leader="none" w:pos="2061"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by the Borrowers. </w:t>
      </w:r>
      <w:r>
        <w:rPr>
          <w:rFonts w:ascii="Times New Roman" w:cs="Times New Roman" w:eastAsia="Times New Roman" w:hAnsi="Times New Roman"/>
          <w:sz w:val="21"/>
          <w:szCs w:val="21"/>
          <w:color w:val="auto"/>
        </w:rPr>
        <w:t>The Borrowers agree, jointly and severally, to indemnify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Agents, the Collateral Agents, each Lender, each Issuing Bank and the Related Parties of any of the foregoing persons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(collectively, the “</w:t>
      </w:r>
      <w:r>
        <w:rPr>
          <w:rFonts w:ascii="Times New Roman" w:cs="Times New Roman" w:eastAsia="Times New Roman" w:hAnsi="Times New Roman"/>
          <w:sz w:val="21"/>
          <w:szCs w:val="21"/>
          <w:i w:val="1"/>
          <w:iCs w:val="1"/>
          <w:color w:val="auto"/>
        </w:rPr>
        <w:t>Indemnified Liabilities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b w:val="1"/>
          <w:bCs w:val="1"/>
          <w:color w:val="auto"/>
        </w:rPr>
        <w:t>SUCH INDEMNITY SHALL EXPRESSLY</w:t>
      </w:r>
    </w:p>
    <w:p>
      <w:pPr>
        <w:spacing w:after="0" w:line="11"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INCLUDE ANY SUCH LOSSES, LIABILITIES, CLAIMS, DAMAGES OR EXPENSE INCURRED BY REASON OF THE PERSON BEING INDEMNIFIED’S OWN NEGLIGENCE;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foregoing indemnity will not, as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apply to losses, claims, damages, liabilities or related expenses to the extent they are found in a final, non-appealable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r>
        <w:rPr>
          <w:rFonts w:ascii="Times New Roman" w:cs="Times New Roman" w:eastAsia="Times New Roman" w:hAnsi="Times New Roman"/>
          <w:sz w:val="22"/>
          <w:szCs w:val="22"/>
          <w:color w:val="auto"/>
        </w:rPr>
        <w:t>.</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216" w:name="page217"/>
    <w:bookmarkEnd w:id="216"/>
    <w:p>
      <w:pPr>
        <w:ind w:firstLine="648"/>
        <w:spacing w:after="0" w:line="266" w:lineRule="auto"/>
        <w:rPr>
          <w:sz w:val="20"/>
          <w:szCs w:val="20"/>
          <w:color w:val="auto"/>
        </w:rPr>
      </w:pPr>
      <w:r>
        <w:rPr>
          <w:rFonts w:ascii="Times New Roman" w:cs="Times New Roman" w:eastAsia="Times New Roman" w:hAnsi="Times New Roman"/>
          <w:sz w:val="21"/>
          <w:szCs w:val="21"/>
          <w:color w:val="auto"/>
        </w:rPr>
        <w:t>No Borrower shall be liable for any settlement of any claim, litigation, investigation or proceeding (any of the foregoing, a “</w:t>
      </w:r>
      <w:r>
        <w:rPr>
          <w:rFonts w:ascii="Times New Roman" w:cs="Times New Roman" w:eastAsia="Times New Roman" w:hAnsi="Times New Roman"/>
          <w:sz w:val="21"/>
          <w:szCs w:val="21"/>
          <w:i w:val="1"/>
          <w:iCs w:val="1"/>
          <w:color w:val="auto"/>
        </w:rPr>
        <w:t>Proceeding</w:t>
      </w:r>
      <w:r>
        <w:rPr>
          <w:rFonts w:ascii="Times New Roman" w:cs="Times New Roman" w:eastAsia="Times New Roman" w:hAnsi="Times New Roman"/>
          <w:sz w:val="21"/>
          <w:szCs w:val="21"/>
          <w:color w:val="auto"/>
        </w:rPr>
        <w:t>”) effected without its consent (which consent shall not be unreasonably conditioned, withheld or delayed) unless</w:t>
      </w:r>
    </w:p>
    <w:p>
      <w:pPr>
        <w:spacing w:after="0" w:line="2" w:lineRule="exact"/>
        <w:rPr>
          <w:sz w:val="20"/>
          <w:szCs w:val="20"/>
          <w:color w:val="auto"/>
        </w:rPr>
      </w:pPr>
    </w:p>
    <w:p>
      <w:pPr>
        <w:jc w:val="both"/>
        <w:ind w:firstLine="8"/>
        <w:spacing w:after="0" w:line="246" w:lineRule="auto"/>
        <w:tabs>
          <w:tab w:leader="none" w:pos="31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has not confirmed that the indemnity provisions of this Section 9.05(b) are applicable or (y) a claim for indemnity has been made in accordance with this Section 9.05(b) which the Applicable Borrower has not paid with 30 days of the date on which such claim was made. If any Proceeding is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5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 by Lenders</w:t>
      </w:r>
      <w:r>
        <w:rPr>
          <w:rFonts w:ascii="Times New Roman" w:cs="Times New Roman" w:eastAsia="Times New Roman" w:hAnsi="Times New Roman"/>
          <w:sz w:val="22"/>
          <w:szCs w:val="22"/>
          <w:color w:val="auto"/>
        </w:rPr>
        <w:t>. To the extent that a Borrower for any reason fails to indefeasibly pay any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required under paragraph (a) or (b) of this Section to be paid by it to an Agent (or any sub-agent thereof), an Issuing Bank, a Swing Line Lender or any Related Party of any of the foregoing, each Lender severally agrees to pay to the Applicable Administrative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Applicable Administrative Agent (or any such sub-agent), the Applicable Issuing Bank or the Applicable Swing Line Lender in its capacity as such, or against any Related Party of any of the foregoing acting for the Applicable Administrative Agent (or any such sub-agent), Applicable Issuing Bank or the Applicable Swing Line Lender in connection with such capacity.</w:t>
      </w:r>
    </w:p>
    <w:p>
      <w:pPr>
        <w:spacing w:after="0" w:line="19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17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9.06</w:t>
      </w:r>
      <w:r>
        <w:rPr>
          <w:sz w:val="20"/>
          <w:szCs w:val="20"/>
          <w:color w:val="auto"/>
        </w:rPr>
        <w:tab/>
      </w:r>
      <w:r>
        <w:rPr>
          <w:rFonts w:ascii="Times New Roman" w:cs="Times New Roman" w:eastAsia="Times New Roman" w:hAnsi="Times New Roman"/>
          <w:sz w:val="21"/>
          <w:szCs w:val="21"/>
          <w:b w:val="1"/>
          <w:bCs w:val="1"/>
          <w:i w:val="1"/>
          <w:iCs w:val="1"/>
          <w:color w:val="auto"/>
        </w:rPr>
        <w:t>Right of Setoff</w:t>
      </w: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-179-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17" w:name="page218"/>
    <w:bookmarkEnd w:id="217"/>
    <w:p>
      <w:pPr>
        <w:jc w:val="both"/>
        <w:ind w:firstLine="656"/>
        <w:spacing w:after="0" w:line="247" w:lineRule="auto"/>
        <w:tabs>
          <w:tab w:leader="none" w:pos="783"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shall have occurred and be continuing, each Agent, Lender, Issuing Bank and each of their 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Parent Borrower and the Administrative Agent promptly after any such setoff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9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9.07</w:t>
      </w:r>
      <w:r>
        <w:rPr>
          <w:sz w:val="20"/>
          <w:szCs w:val="20"/>
          <w:color w:val="auto"/>
        </w:rPr>
        <w:tab/>
      </w:r>
      <w:r>
        <w:rPr>
          <w:rFonts w:ascii="Times New Roman" w:cs="Times New Roman" w:eastAsia="Times New Roman" w:hAnsi="Times New Roman"/>
          <w:sz w:val="21"/>
          <w:szCs w:val="21"/>
          <w:b w:val="1"/>
          <w:bCs w:val="1"/>
          <w:i w:val="1"/>
          <w:iCs w:val="1"/>
          <w:color w:val="auto"/>
        </w:rPr>
        <w:t>Applicable Law</w:t>
      </w:r>
    </w:p>
    <w:p>
      <w:pPr>
        <w:spacing w:after="0" w:line="226" w:lineRule="exact"/>
        <w:rPr>
          <w:sz w:val="20"/>
          <w:szCs w:val="20"/>
          <w:color w:val="auto"/>
        </w:rPr>
      </w:pPr>
    </w:p>
    <w:p>
      <w:pPr>
        <w:ind w:firstLine="656"/>
        <w:spacing w:after="0" w:line="271" w:lineRule="auto"/>
        <w:tabs>
          <w:tab w:leader="none" w:pos="75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IN ACCORDANCE WITH AND GOVERNED BY THE LAWS OF THE STATE OF NEW YORK.</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9.08</w:t>
      </w:r>
      <w:r>
        <w:rPr>
          <w:sz w:val="20"/>
          <w:szCs w:val="20"/>
          <w:color w:val="auto"/>
        </w:rPr>
        <w:tab/>
      </w:r>
      <w:r>
        <w:rPr>
          <w:rFonts w:ascii="Times New Roman" w:cs="Times New Roman" w:eastAsia="Times New Roman" w:hAnsi="Times New Roman"/>
          <w:sz w:val="21"/>
          <w:szCs w:val="21"/>
          <w:b w:val="1"/>
          <w:bCs w:val="1"/>
          <w:i w:val="1"/>
          <w:iCs w:val="1"/>
          <w:color w:val="auto"/>
        </w:rPr>
        <w:t>Waivers; Amendment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33" w:lineRule="exact"/>
        <w:rPr>
          <w:sz w:val="20"/>
          <w:szCs w:val="20"/>
          <w:color w:val="auto"/>
        </w:rPr>
      </w:pPr>
    </w:p>
    <w:p>
      <w:pPr>
        <w:jc w:val="both"/>
        <w:ind w:firstLine="1304"/>
        <w:spacing w:after="0" w:line="247" w:lineRule="auto"/>
        <w:tabs>
          <w:tab w:leader="none" w:pos="1431" w:val="left"/>
        </w:tabs>
        <w:numPr>
          <w:ilvl w:val="0"/>
          <w:numId w:val="26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 xml:space="preserve">(a) No failure or delay of any Agent, any Lender or any Issuing Bank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foregoing shall not prohibit (i) the Agent</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18" w:name="page219"/>
    <w:bookmarkEnd w:id="218"/>
    <w:p>
      <w:pPr>
        <w:jc w:val="both"/>
        <w:spacing w:after="0" w:line="250" w:lineRule="auto"/>
        <w:rPr>
          <w:sz w:val="20"/>
          <w:szCs w:val="20"/>
          <w:color w:val="auto"/>
        </w:rPr>
      </w:pPr>
      <w:r>
        <w:rPr>
          <w:rFonts w:ascii="Times New Roman" w:cs="Times New Roman" w:eastAsia="Times New Roman" w:hAnsi="Times New Roman"/>
          <w:sz w:val="22"/>
          <w:szCs w:val="22"/>
          <w:color w:val="auto"/>
        </w:rPr>
        <w:t>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180" w:lineRule="exact"/>
        <w:rPr>
          <w:sz w:val="20"/>
          <w:szCs w:val="20"/>
          <w:color w:val="auto"/>
        </w:rPr>
      </w:pPr>
    </w:p>
    <w:p>
      <w:pPr>
        <w:jc w:val="both"/>
        <w:ind w:firstLine="1304"/>
        <w:spacing w:after="0" w:line="249" w:lineRule="auto"/>
        <w:tabs>
          <w:tab w:leader="none" w:pos="1793"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waiver or consent shall be effective only in the specific instance and for the specific purpose for which given;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(x) any provision of this Agreement or any other Loan Document may be amended by an agreement in writing signed by the Administrative Agent and the Parent Borrower to cure any ambiguity, omission,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183"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495"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Maturity Date of or increase the stated amount of any Commitment of any Lender or reinstate any Commitment of any Lender terminated pursuant to the terms hereof without the written consent of such Lender;</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484"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for any scheduled payment (but not any prepayment) of principal, interest or fees due to any Lender hereunder without the written consent of such Lender;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60" w:lineRule="auto"/>
        <w:tabs>
          <w:tab w:leader="none" w:pos="2527" w:val="left"/>
        </w:tabs>
        <w:numPr>
          <w:ilvl w:val="2"/>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“Total Net Leverage Ratio”, “Senior Secured Net Leverage Ratio” or in the component definitions thereof, shall not constitute a reduction of rate of interest or any interest or Fees payable hereunder);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only the consent of the </w:t>
      </w:r>
      <w:r>
        <w:rPr>
          <w:rFonts w:ascii="Times New Roman" w:cs="Times New Roman" w:eastAsia="Times New Roman" w:hAnsi="Times New Roman"/>
          <w:sz w:val="21"/>
          <w:szCs w:val="21"/>
          <w:u w:val="single" w:color="auto"/>
          <w:color w:val="0000FF"/>
          <w:highlight w:val="lightGray"/>
        </w:rPr>
        <w:t>Required</w:t>
      </w:r>
      <w:r>
        <w:rPr>
          <w:rFonts w:ascii="Times New Roman" w:cs="Times New Roman" w:eastAsia="Times New Roman" w:hAnsi="Times New Roman"/>
          <w:sz w:val="21"/>
          <w:szCs w:val="21"/>
          <w:color w:val="auto"/>
        </w:rPr>
        <w:t xml:space="preserve"> U.S. </w:t>
      </w:r>
      <w:r>
        <w:rPr>
          <w:rFonts w:ascii="Times New Roman" w:cs="Times New Roman" w:eastAsia="Times New Roman" w:hAnsi="Times New Roman"/>
          <w:sz w:val="21"/>
          <w:szCs w:val="21"/>
          <w:color w:val="FF0000"/>
          <w:strike w:val="1"/>
        </w:rPr>
        <w:t>Required</w:t>
      </w:r>
      <w:r>
        <w:rPr>
          <w:rFonts w:ascii="Times New Roman" w:cs="Times New Roman" w:eastAsia="Times New Roman" w:hAnsi="Times New Roman"/>
          <w:sz w:val="21"/>
          <w:szCs w:val="21"/>
          <w:color w:val="auto"/>
        </w:rPr>
        <w:t xml:space="preserve"> Revolving Lenders shall be required to waive any obligation of the U.S. Borrower</w:t>
      </w:r>
      <w:r>
        <w:rPr>
          <w:rFonts w:ascii="Times New Roman" w:cs="Times New Roman" w:eastAsia="Times New Roman" w:hAnsi="Times New Roman"/>
          <w:sz w:val="21"/>
          <w:szCs w:val="21"/>
          <w:u w:val="single" w:color="auto"/>
          <w:color w:val="0000FF"/>
          <w:highlight w:val="lightGray"/>
        </w:rPr>
        <w:t>s</w:t>
      </w:r>
      <w:r>
        <w:rPr>
          <w:rFonts w:ascii="Times New Roman" w:cs="Times New Roman" w:eastAsia="Times New Roman" w:hAnsi="Times New Roman"/>
          <w:sz w:val="21"/>
          <w:szCs w:val="21"/>
          <w:color w:val="auto"/>
        </w:rPr>
        <w:t xml:space="preserve"> to pay default interest pursuant to Section 2.07 with respect to the U.S. Revolving Credit Facility, including with respect to any amount payable thereunder or in connection therewith</w:t>
      </w:r>
    </w:p>
    <w:p>
      <w:pPr>
        <w:spacing w:after="0" w:line="1"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only the consent of the </w:t>
      </w:r>
      <w:r>
        <w:rPr>
          <w:rFonts w:ascii="Times New Roman" w:cs="Times New Roman" w:eastAsia="Times New Roman" w:hAnsi="Times New Roman"/>
          <w:sz w:val="22"/>
          <w:szCs w:val="22"/>
          <w:color w:val="FF0000"/>
          <w:strike w:val="1"/>
        </w:rPr>
        <w:t>Canadian</w:t>
      </w:r>
      <w:r>
        <w:rPr>
          <w:rFonts w:ascii="Times New Roman" w:cs="Times New Roman" w:eastAsia="Times New Roman" w:hAnsi="Times New Roman"/>
          <w:sz w:val="22"/>
          <w:szCs w:val="22"/>
          <w:color w:val="auto"/>
        </w:rPr>
        <w:t xml:space="preserve"> Required </w:t>
      </w:r>
      <w:r>
        <w:rPr>
          <w:rFonts w:ascii="Times New Roman" w:cs="Times New Roman" w:eastAsia="Times New Roman" w:hAnsi="Times New Roman"/>
          <w:sz w:val="22"/>
          <w:szCs w:val="22"/>
          <w:u w:val="single" w:color="auto"/>
          <w:color w:val="0000FF"/>
          <w:highlight w:val="lightGray"/>
        </w:rPr>
        <w:t>Canadian</w:t>
      </w:r>
      <w:r>
        <w:rPr>
          <w:rFonts w:ascii="Times New Roman" w:cs="Times New Roman" w:eastAsia="Times New Roman" w:hAnsi="Times New Roman"/>
          <w:sz w:val="22"/>
          <w:szCs w:val="22"/>
          <w:color w:val="auto"/>
        </w:rPr>
        <w:t xml:space="preserve"> Revolving Lenders, as applicable shall be</w:t>
      </w:r>
    </w:p>
    <w:p>
      <w:pPr>
        <w:spacing w:after="0" w:line="3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19" w:name="page220"/>
    <w:bookmarkEnd w:id="219"/>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required to waive any obligation of the Parent Borrower </w:t>
      </w:r>
      <w:r>
        <w:rPr>
          <w:rFonts w:ascii="Times New Roman" w:cs="Times New Roman" w:eastAsia="Times New Roman" w:hAnsi="Times New Roman"/>
          <w:sz w:val="22"/>
          <w:szCs w:val="22"/>
          <w:u w:val="single" w:color="auto"/>
          <w:color w:val="0000FF"/>
          <w:highlight w:val="lightGray"/>
        </w:rPr>
        <w:t>or the U.S. Borrowers</w:t>
      </w:r>
      <w:r>
        <w:rPr>
          <w:rFonts w:ascii="Times New Roman" w:cs="Times New Roman" w:eastAsia="Times New Roman" w:hAnsi="Times New Roman"/>
          <w:sz w:val="22"/>
          <w:szCs w:val="22"/>
          <w:color w:val="auto"/>
        </w:rPr>
        <w:t xml:space="preserve"> to pay default interest pursuant to Section 2.07 with respect to the Canadian Revolving Credit Facility, including with respect to any amount payable thereunder or in connection therewith</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highlight w:val="lightGray"/>
        </w:rPr>
        <w:t>and</w:t>
      </w:r>
      <w:r>
        <w:rPr>
          <w:rFonts w:ascii="Times New Roman" w:cs="Times New Roman" w:eastAsia="Times New Roman" w:hAnsi="Times New Roman"/>
          <w:sz w:val="22"/>
          <w:szCs w:val="22"/>
          <w:color w:val="auto"/>
        </w:rPr>
        <w:t xml:space="preserve"> (C) only the consent of the </w:t>
      </w:r>
      <w:r>
        <w:rPr>
          <w:rFonts w:ascii="Times New Roman" w:cs="Times New Roman" w:eastAsia="Times New Roman" w:hAnsi="Times New Roman"/>
          <w:sz w:val="22"/>
          <w:szCs w:val="22"/>
          <w:color w:val="FF0000"/>
          <w:strike w:val="1"/>
        </w:rPr>
        <w:t>Australian</w:t>
      </w:r>
      <w:r>
        <w:rPr>
          <w:rFonts w:ascii="Times New Roman" w:cs="Times New Roman" w:eastAsia="Times New Roman" w:hAnsi="Times New Roman"/>
          <w:sz w:val="22"/>
          <w:szCs w:val="22"/>
          <w:color w:val="auto"/>
        </w:rPr>
        <w:t xml:space="preserve"> Required </w:t>
      </w:r>
      <w:r>
        <w:rPr>
          <w:rFonts w:ascii="Times New Roman" w:cs="Times New Roman" w:eastAsia="Times New Roman" w:hAnsi="Times New Roman"/>
          <w:sz w:val="22"/>
          <w:szCs w:val="22"/>
          <w:u w:val="single" w:color="auto"/>
          <w:color w:val="0000FF"/>
          <w:highlight w:val="lightGray"/>
        </w:rPr>
        <w:t>Australian</w:t>
      </w:r>
      <w:r>
        <w:rPr>
          <w:rFonts w:ascii="Times New Roman" w:cs="Times New Roman" w:eastAsia="Times New Roman" w:hAnsi="Times New Roman"/>
          <w:sz w:val="22"/>
          <w:szCs w:val="22"/>
          <w:color w:val="auto"/>
        </w:rPr>
        <w:t xml:space="preserve"> Revolving Lenders shall be required to waive any obligation of the Australian Borrower to pay default interest pursuant to Section 2.07 with respect to the Australian Revolving Credit Facility, including with respect to any amount payable thereunder or in connection therewith</w:t>
      </w:r>
      <w:r>
        <w:rPr>
          <w:rFonts w:ascii="Times New Roman" w:cs="Times New Roman" w:eastAsia="Times New Roman" w:hAnsi="Times New Roman"/>
          <w:sz w:val="22"/>
          <w:szCs w:val="22"/>
          <w:color w:val="FF0000"/>
          <w:strike w:val="1"/>
        </w:rPr>
        <w:t>, and (D) only the consent of the Required Canadian Term Lenders shall be required to waive (1) any obligation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of the Parent Borrower to pay default interest pursuant to Section 2.07 with respect to the Canadian Term Loan Facility, including with respect to any amount payable thereunder or in connection therewith or (2) any mandatory prepayment of Canadian Term Loans;</w:t>
      </w:r>
      <w:r>
        <w:rPr>
          <w:rFonts w:ascii="Times New Roman" w:cs="Times New Roman" w:eastAsia="Times New Roman" w:hAnsi="Times New Roman"/>
          <w:sz w:val="22"/>
          <w:szCs w:val="22"/>
          <w:u w:val="single" w:color="auto"/>
          <w:color w:val="0000FF"/>
          <w:highlight w:val="lightGray"/>
          <w:strike w:val="1"/>
        </w:rPr>
        <w:t>;</w:t>
      </w:r>
    </w:p>
    <w:p>
      <w:pPr>
        <w:spacing w:after="0" w:line="180" w:lineRule="exact"/>
        <w:rPr>
          <w:sz w:val="20"/>
          <w:szCs w:val="20"/>
          <w:color w:val="auto"/>
        </w:rPr>
      </w:pPr>
    </w:p>
    <w:p>
      <w:pPr>
        <w:jc w:val="both"/>
        <w:ind w:left="660" w:firstLine="1292"/>
        <w:spacing w:after="0" w:line="262" w:lineRule="auto"/>
        <w:tabs>
          <w:tab w:leader="none" w:pos="2524"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from the order set forth in such Section in a manner that adversely affects the Lenders under any Facility without the prior written consent of (A) if such Facility is the U.S. Revolving Credit Facility, the Required U.S. Lenders, (B) if such Facility is the Canadian Revolving Credit Facility, the Required Canadian Revolving Lenders, (C) if such Facility is the </w:t>
      </w:r>
      <w:r>
        <w:rPr>
          <w:rFonts w:ascii="Times New Roman" w:cs="Times New Roman" w:eastAsia="Times New Roman" w:hAnsi="Times New Roman"/>
          <w:sz w:val="21"/>
          <w:szCs w:val="21"/>
          <w:color w:val="FF0000"/>
          <w:strike w:val="1"/>
        </w:rPr>
        <w:t>Canadian Term Loan Facility, the Required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Canadian Term Lenders, (D) if such Facility is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Australian Revolving Credit Facility, the Required Australian Lenders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 (</w:t>
      </w:r>
      <w:r>
        <w:rPr>
          <w:rFonts w:ascii="Times New Roman" w:cs="Times New Roman" w:eastAsia="Times New Roman" w:hAnsi="Times New Roman"/>
          <w:sz w:val="21"/>
          <w:szCs w:val="21"/>
          <w:color w:val="FF0000"/>
          <w:strike w:val="1"/>
        </w:rPr>
        <w:t>E</w:t>
      </w:r>
      <w:r>
        <w:rPr>
          <w:rFonts w:ascii="Times New Roman" w:cs="Times New Roman" w:eastAsia="Times New Roman" w:hAnsi="Times New Roman"/>
          <w:sz w:val="21"/>
          <w:szCs w:val="21"/>
          <w:u w:val="single" w:color="auto"/>
          <w:color w:val="0000FF"/>
          <w:highlight w:val="lightGray"/>
        </w:rPr>
        <w:t>D</w:t>
      </w:r>
      <w:r>
        <w:rPr>
          <w:rFonts w:ascii="Times New Roman" w:cs="Times New Roman" w:eastAsia="Times New Roman" w:hAnsi="Times New Roman"/>
          <w:sz w:val="21"/>
          <w:szCs w:val="21"/>
          <w:color w:val="000000"/>
        </w:rPr>
        <w:t>) if the Bilateral Lender is materially and adversely affected by such change, the Bilateral Lender;</w:t>
      </w:r>
    </w:p>
    <w:p>
      <w:pPr>
        <w:spacing w:after="0" w:line="172" w:lineRule="exact"/>
        <w:rPr>
          <w:rFonts w:ascii="Times New Roman" w:cs="Times New Roman" w:eastAsia="Times New Roman" w:hAnsi="Times New Roman"/>
          <w:sz w:val="21"/>
          <w:szCs w:val="21"/>
          <w:color w:val="auto"/>
        </w:rPr>
      </w:pPr>
    </w:p>
    <w:p>
      <w:pPr>
        <w:jc w:val="both"/>
        <w:ind w:left="660" w:firstLine="1292"/>
        <w:spacing w:after="0" w:line="253" w:lineRule="auto"/>
        <w:tabs>
          <w:tab w:leader="none" w:pos="2433"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this Section, or the percentage specified in definition of “Required Lenders,” “Required U.S. Lenders,” “Required Canadian Revolving Lenders,” “Required </w:t>
      </w:r>
      <w:r>
        <w:rPr>
          <w:rFonts w:ascii="Times New Roman" w:cs="Times New Roman" w:eastAsia="Times New Roman" w:hAnsi="Times New Roman"/>
          <w:sz w:val="22"/>
          <w:szCs w:val="22"/>
          <w:color w:val="FF0000"/>
          <w:strike w:val="1"/>
        </w:rPr>
        <w:t>Canadian Term Lenders,” “Required</w:t>
      </w:r>
      <w:r>
        <w:rPr>
          <w:rFonts w:ascii="Times New Roman" w:cs="Times New Roman" w:eastAsia="Times New Roman" w:hAnsi="Times New Roman"/>
          <w:sz w:val="22"/>
          <w:szCs w:val="22"/>
          <w:color w:val="auto"/>
        </w:rPr>
        <w:t xml:space="preserve"> Australian Lenders,” or “Required Revolving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38"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permitted hereunder or under any Security Document, (A) release the guaranty provided by the Parent Borrower pursuant to the Guarantee Agreement without the written consent of each Lender, or (B) release all or substantially all of the value of the guaranties provided by the other Guarantors hereunder or all or substantially all of the Collateral without the written consent of each Lender;</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615"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Section 9.04 in a manner that imposes additional restrictions on the ability of any Lender under any Facility to assign any of its rights or obligations hereunder without the prior written consent of (A) if such Facility is the U.S. Revolving Credit Facility, the Required U.S. Lenders, (B) if such Facility is the Canadian Revolving Credit Facility, the Required Canadian Revolving Lenders, </w:t>
      </w:r>
      <w:r>
        <w:rPr>
          <w:rFonts w:ascii="Times New Roman" w:cs="Times New Roman" w:eastAsia="Times New Roman" w:hAnsi="Times New Roman"/>
          <w:sz w:val="22"/>
          <w:szCs w:val="22"/>
          <w:u w:val="single" w:color="auto"/>
          <w:color w:val="0000FF"/>
          <w:highlight w:val="lightGray"/>
        </w:rPr>
        <w:t>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22"/>
          <w:szCs w:val="22"/>
          <w:color w:val="FF0000"/>
          <w:strike w:val="1"/>
        </w:rPr>
        <w:t>) if such Facility is the Canadian Term Loan Facility,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the Required Canadian Term Lenders and</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20" w:name="page221"/>
    <w:bookmarkEnd w:id="220"/>
    <w:p>
      <w:pPr>
        <w:ind w:left="660"/>
        <w:spacing w:after="0"/>
        <w:rPr>
          <w:sz w:val="20"/>
          <w:szCs w:val="20"/>
          <w:color w:val="auto"/>
        </w:rPr>
      </w:pP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color w:val="000000"/>
        </w:rPr>
        <w:t>) if such Facility is the Australian Revolving Credit Facility, the Required Australian Lenders;</w:t>
      </w:r>
    </w:p>
    <w:p>
      <w:pPr>
        <w:spacing w:after="0" w:line="220" w:lineRule="exact"/>
        <w:rPr>
          <w:sz w:val="20"/>
          <w:szCs w:val="20"/>
          <w:color w:val="auto"/>
        </w:rPr>
      </w:pPr>
    </w:p>
    <w:p>
      <w:pPr>
        <w:jc w:val="both"/>
        <w:ind w:left="660" w:firstLine="1292"/>
        <w:spacing w:after="0" w:line="265" w:lineRule="auto"/>
        <w:tabs>
          <w:tab w:leader="none" w:pos="2677"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Lenders (if the U.S. Revolving Lenders are the adversely affected Class), Required Canadian Revolving Lenders (if the Canadian Revolving Lenders are the adversely affected Class)</w:t>
      </w:r>
      <w:r>
        <w:rPr>
          <w:rFonts w:ascii="Times New Roman" w:cs="Times New Roman" w:eastAsia="Times New Roman" w:hAnsi="Times New Roman"/>
          <w:sz w:val="21"/>
          <w:szCs w:val="21"/>
          <w:color w:val="FF0000"/>
          <w:strike w:val="1"/>
        </w:rPr>
        <w:t>, Required Canadian Term Lenders (if the Canadian Term Lenders are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adversely affected Class)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or Required Australian Lenders (if the Australian Lenders are the adversely affected Class);</w:t>
      </w:r>
    </w:p>
    <w:p>
      <w:pPr>
        <w:spacing w:after="0" w:line="168" w:lineRule="exact"/>
        <w:rPr>
          <w:rFonts w:ascii="Times New Roman" w:cs="Times New Roman" w:eastAsia="Times New Roman" w:hAnsi="Times New Roman"/>
          <w:sz w:val="21"/>
          <w:szCs w:val="21"/>
          <w:color w:val="auto"/>
        </w:rPr>
      </w:pPr>
    </w:p>
    <w:p>
      <w:pPr>
        <w:ind w:left="660" w:firstLine="1292"/>
        <w:spacing w:after="0" w:line="284" w:lineRule="auto"/>
        <w:tabs>
          <w:tab w:leader="none" w:pos="2552"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protections afforded to an SPC pursuant to the provisions of Section 9.04(g) without the written consent of such SPC;</w:t>
      </w:r>
    </w:p>
    <w:p>
      <w:pPr>
        <w:spacing w:after="0" w:line="143"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1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Section 7.05 or any Security Document in a manner that results in the Bilateral Obligations secured by such Security Document no longer being secured thereby on at least an equal and ratable basis with the principal of the Loans, or amend or otherwise change the definition of “Obligations”, in each case if the Bilateral Lender is adversely affected by such amendment, modification or change, without the written consent of the Bilateral Lender; or</w:t>
      </w:r>
    </w:p>
    <w:p>
      <w:pPr>
        <w:spacing w:after="0" w:line="194"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48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any Event of Default under Sections 7.01(g) or 7.01(h), (x) subordinate the Liens on the Collateral securing the Obligations to the Liens securing any other Indebtedness or other obligations in any transaction or series of related transactions or (y) subordinate any of the Obligations in contractual right of payment to any other Indebtedness or other obligations in any transaction or series of related transactions (in each case of clauses (x) and (y), other than in connection with (1) any Indebtedness that is expressly permitted by the Loan Documents as in effect on the Closing Date (or as later amended in connection with an unrelated transaction) to be secured by a lien on the Collateral that is senior to the Liens securing the Obligations, (2) any “debtor-in-possession” financing or the use of the Collateral in any proceeding under any Insolvency Law and/or (3) any other financing, in the case of this clause (3) with respect to which each Lender under this Agreement is offered the opportunity to provide such financing on the same terms and conditions), in each case without the consent of each adversely affected Lender (any such other Indebtedness or other obligations referred to in clause (x) or (y) above, to which such Liens securing any of the Obligations or such Obligations, as applicable, are subordinated, “Senior Indebtedness”);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no such agreement shall amend, modify or otherwise affect the rights or duties of an Agent, an Issuing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or a Swing Line Lender hereunder or under any other Loan Document without the prior written consent of such Agent, Issuing Bank or Swing Line Lender, respectively.</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21" w:name="page222"/>
    <w:bookmarkEnd w:id="22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 Lender or any Affiliate of a Lender shall have any voting rights under any Loan Document as a result of the existence of obligations owed to it under Hedging Agreements, Banking Services Obligations or the Bilateral Obligations.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in this Section 9.08 or any other provision of this Agreement or any other Loan Document, (A) the Security Documents and related documents in connection with this Agreement and the other Loan Documents may be in a form reasonably determined by the Administrative Agent and the Collateral Agent and may be, together with this Agreement, amended, supplemented and waived with the consent of the Administrative Agent and the Collateral Agent at the request of the Parent Borrower without the need to obtain the consent of any other Lender if such amendment, supplement or waiver is delivered in order (i) to comply with local law or advice of local counsel, or (ii) to cause such Security Documents or other documents to be consistent with this Agreement and the other Loan Documents, (B) this Agreement and any other Loan Document may be amended solely with the consent of the Administrative Agent and the Parent Borrower without the need to obtain the consent of any other Lender if such amendment is consummated in order (x) to correct or cure any ambiguities, errors, omissions, mistakes, inconsistencies or defects jointly identified by the Parent Borrower and the Administrative Agent, (y) to effect administrative changes of a technical or immaterial nature or (z) to fix incorrect cross-references or similar inaccuracies in this Agreement or the applicable Loan Document;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the Administrative Agent shall have notified the Lenders of such amendment and the Required Lenders shall not have objected in writing to such amendment within five Business Days of notice thereof, (C) the Administrative Agent and the Borrowers may, without the consent of any Lender, enter into amendments or modifications to this Agreement or any of the other Loan Documents or to enter into additional Loan Documents as the Administrative Agent deems appropriate in order to implement any Benchmark Replacement or any Conforming Changes or otherwise effectuate the terms of Section 2.26 in accordance with the terms thereof and (D) the Canadian Administrative Agent and the Borrowers may, without the consent of any Lender, enter into amendments or modifications to this Agreement or any of the other Loan Documents or to enter into additional Loan Documents as the Canadian Administrative Agent deems appropriate in order to implement any Canadian Benchmark Replacement or any Canadian Conforming Change or otherwise effectuate the terms of Section 2.27 in accordance with the terms thereof.</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22" w:name="page223"/>
    <w:bookmarkEnd w:id="222"/>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9.09</w:t>
      </w:r>
      <w:r>
        <w:rPr>
          <w:sz w:val="20"/>
          <w:szCs w:val="20"/>
          <w:color w:val="auto"/>
        </w:rPr>
        <w:tab/>
      </w:r>
      <w:r>
        <w:rPr>
          <w:rFonts w:ascii="Times New Roman" w:cs="Times New Roman" w:eastAsia="Times New Roman" w:hAnsi="Times New Roman"/>
          <w:sz w:val="21"/>
          <w:szCs w:val="21"/>
          <w:b w:val="1"/>
          <w:bCs w:val="1"/>
          <w:i w:val="1"/>
          <w:iCs w:val="1"/>
          <w:color w:val="auto"/>
        </w:rPr>
        <w:t>Interest Rate Limitation</w:t>
      </w:r>
    </w:p>
    <w:p>
      <w:pPr>
        <w:spacing w:after="0" w:line="226" w:lineRule="exact"/>
        <w:rPr>
          <w:sz w:val="20"/>
          <w:szCs w:val="20"/>
          <w:color w:val="auto"/>
        </w:rPr>
      </w:pPr>
    </w:p>
    <w:p>
      <w:pPr>
        <w:jc w:val="both"/>
        <w:ind w:firstLine="656"/>
        <w:spacing w:after="0" w:line="259" w:lineRule="auto"/>
        <w:tabs>
          <w:tab w:leader="none" w:pos="756"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any provisions contained in this Agreement or in any other Loan Documents, the Lenders shall never be deemed to have contracted for or be entitled to receive, collect or apply as interest on any Loan or participation in any L/C Disbursement any amount in excess of the maximum lawful rate (the “</w:t>
      </w:r>
      <w:r>
        <w:rPr>
          <w:rFonts w:ascii="Times New Roman" w:cs="Times New Roman" w:eastAsia="Times New Roman" w:hAnsi="Times New Roman"/>
          <w:sz w:val="21"/>
          <w:szCs w:val="21"/>
          <w:i w:val="1"/>
          <w:iCs w:val="1"/>
          <w:color w:val="auto"/>
        </w:rPr>
        <w:t>Maximum Rate</w:t>
      </w:r>
      <w:r>
        <w:rPr>
          <w:rFonts w:ascii="Times New Roman" w:cs="Times New Roman" w:eastAsia="Times New Roman" w:hAnsi="Times New Roman"/>
          <w:sz w:val="21"/>
          <w:szCs w:val="21"/>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18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9.10</w:t>
      </w:r>
      <w:r>
        <w:rPr>
          <w:sz w:val="20"/>
          <w:szCs w:val="20"/>
          <w:color w:val="auto"/>
        </w:rPr>
        <w:tab/>
      </w:r>
      <w:r>
        <w:rPr>
          <w:rFonts w:ascii="Times New Roman" w:cs="Times New Roman" w:eastAsia="Times New Roman" w:hAnsi="Times New Roman"/>
          <w:sz w:val="21"/>
          <w:szCs w:val="21"/>
          <w:b w:val="1"/>
          <w:bCs w:val="1"/>
          <w:i w:val="1"/>
          <w:iCs w:val="1"/>
          <w:color w:val="auto"/>
        </w:rPr>
        <w:t>Entire Agreement</w:t>
      </w:r>
    </w:p>
    <w:p>
      <w:pPr>
        <w:spacing w:after="0" w:line="239" w:lineRule="exact"/>
        <w:rPr>
          <w:sz w:val="20"/>
          <w:szCs w:val="20"/>
          <w:color w:val="auto"/>
        </w:rPr>
      </w:pPr>
    </w:p>
    <w:p>
      <w:pPr>
        <w:jc w:val="both"/>
        <w:ind w:firstLine="656"/>
        <w:spacing w:after="0" w:line="257" w:lineRule="auto"/>
        <w:tabs>
          <w:tab w:leader="none" w:pos="75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other Loan Documents and the Fee Letter constitute the entire contract among the parties relating to the subject matter hereof and supersede any and all previous agreements and understandings, oral or written, relating to the subject matter hereof.</w:t>
      </w:r>
    </w:p>
    <w:p>
      <w:pPr>
        <w:spacing w:after="0" w:line="16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9.11</w:t>
      </w:r>
      <w:r>
        <w:rPr>
          <w:sz w:val="20"/>
          <w:szCs w:val="20"/>
          <w:color w:val="auto"/>
        </w:rPr>
        <w:tab/>
      </w:r>
      <w:r>
        <w:rPr>
          <w:rFonts w:ascii="Times New Roman" w:cs="Times New Roman" w:eastAsia="Times New Roman" w:hAnsi="Times New Roman"/>
          <w:sz w:val="21"/>
          <w:szCs w:val="21"/>
          <w:b w:val="1"/>
          <w:bCs w:val="1"/>
          <w:i w:val="1"/>
          <w:iCs w:val="1"/>
          <w:color w:val="auto"/>
        </w:rPr>
        <w:t>WAIVER OF JURY TRIAL</w:t>
      </w:r>
    </w:p>
    <w:p>
      <w:pPr>
        <w:spacing w:after="0" w:line="226" w:lineRule="exact"/>
        <w:rPr>
          <w:sz w:val="20"/>
          <w:szCs w:val="20"/>
          <w:color w:val="auto"/>
        </w:rPr>
      </w:pPr>
    </w:p>
    <w:p>
      <w:pPr>
        <w:jc w:val="both"/>
        <w:ind w:firstLine="656"/>
        <w:spacing w:after="0" w:line="250" w:lineRule="auto"/>
        <w:tabs>
          <w:tab w:leader="none" w:pos="78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EXPRESSLY AND IRREVOCABLY WAIVES, TO THE 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6" w:right="339" w:bottom="1440" w:gutter="0" w:footer="0" w:header="0"/>
        </w:sectPr>
      </w:pPr>
    </w:p>
    <w:bookmarkStart w:id="223" w:name="page224"/>
    <w:bookmarkEnd w:id="223"/>
    <w:p>
      <w:pPr>
        <w:jc w:val="both"/>
        <w:ind w:firstLine="8"/>
        <w:spacing w:after="0" w:line="251" w:lineRule="auto"/>
        <w:tabs>
          <w:tab w:leader="none" w:pos="364"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7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9.12</w:t>
      </w:r>
      <w:r>
        <w:rPr>
          <w:sz w:val="20"/>
          <w:szCs w:val="20"/>
          <w:color w:val="auto"/>
        </w:rPr>
        <w:tab/>
      </w:r>
      <w:r>
        <w:rPr>
          <w:rFonts w:ascii="Times New Roman" w:cs="Times New Roman" w:eastAsia="Times New Roman" w:hAnsi="Times New Roman"/>
          <w:sz w:val="21"/>
          <w:szCs w:val="21"/>
          <w:b w:val="1"/>
          <w:bCs w:val="1"/>
          <w:i w:val="1"/>
          <w:iCs w:val="1"/>
          <w:color w:val="auto"/>
        </w:rPr>
        <w:t>Severability</w:t>
      </w:r>
    </w:p>
    <w:p>
      <w:pPr>
        <w:spacing w:after="0" w:line="226" w:lineRule="exact"/>
        <w:rPr>
          <w:sz w:val="20"/>
          <w:szCs w:val="20"/>
          <w:color w:val="auto"/>
        </w:rPr>
      </w:pPr>
    </w:p>
    <w:p>
      <w:pPr>
        <w:jc w:val="both"/>
        <w:ind w:firstLine="656"/>
        <w:spacing w:after="0" w:line="262" w:lineRule="auto"/>
        <w:tabs>
          <w:tab w:leader="none" w:pos="769"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6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9.13</w:t>
      </w:r>
      <w:r>
        <w:rPr>
          <w:sz w:val="20"/>
          <w:szCs w:val="20"/>
          <w:color w:val="auto"/>
        </w:rPr>
        <w:tab/>
      </w:r>
      <w:r>
        <w:rPr>
          <w:rFonts w:ascii="Times New Roman" w:cs="Times New Roman" w:eastAsia="Times New Roman" w:hAnsi="Times New Roman"/>
          <w:sz w:val="21"/>
          <w:szCs w:val="21"/>
          <w:b w:val="1"/>
          <w:bCs w:val="1"/>
          <w:i w:val="1"/>
          <w:iCs w:val="1"/>
          <w:color w:val="auto"/>
        </w:rPr>
        <w:t>Counterparts</w:t>
      </w:r>
    </w:p>
    <w:p>
      <w:pPr>
        <w:spacing w:after="0" w:line="226" w:lineRule="exact"/>
        <w:rPr>
          <w:sz w:val="20"/>
          <w:szCs w:val="20"/>
          <w:color w:val="auto"/>
        </w:rPr>
      </w:pPr>
    </w:p>
    <w:p>
      <w:pPr>
        <w:jc w:val="both"/>
        <w:ind w:firstLine="656"/>
        <w:spacing w:after="0" w:line="248" w:lineRule="auto"/>
        <w:tabs>
          <w:tab w:leader="none" w:pos="783"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counterparts (and by different parties hereto on different counterparts), each of which shall constitute an original but 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 The words “execution,” “execute”, “signed,” “signature,” and words of like import in or related to any document to be signed in connection with this Agreement or any other Loan Document and the transactions contemplated hereby shall be deemed to include electronic signatures, the electronic matching of assignment terms and contract formations on electronic platforms approved by the Administrative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may, in its discretion, require that any such documents and signatures executed electronically or delivered by fax or other electronic transmission be confirmed by a manually-signed original thereof; provided that the failure to</w:t>
      </w: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24" w:name="page225"/>
    <w:bookmarkEnd w:id="224"/>
    <w:p>
      <w:pPr>
        <w:spacing w:after="0" w:line="271" w:lineRule="auto"/>
        <w:rPr>
          <w:sz w:val="20"/>
          <w:szCs w:val="20"/>
          <w:color w:val="auto"/>
        </w:rPr>
      </w:pPr>
      <w:r>
        <w:rPr>
          <w:rFonts w:ascii="Times New Roman" w:cs="Times New Roman" w:eastAsia="Times New Roman" w:hAnsi="Times New Roman"/>
          <w:sz w:val="22"/>
          <w:szCs w:val="22"/>
          <w:color w:val="auto"/>
        </w:rPr>
        <w:t>request or deliver the same shall not limit the effectiveness of any document or signature executed electronically or delivered by fax or other electronic transmission.</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9.14</w:t>
      </w:r>
      <w:r>
        <w:rPr>
          <w:sz w:val="20"/>
          <w:szCs w:val="20"/>
          <w:color w:val="auto"/>
        </w:rPr>
        <w:tab/>
      </w:r>
      <w:r>
        <w:rPr>
          <w:rFonts w:ascii="Times New Roman" w:cs="Times New Roman" w:eastAsia="Times New Roman" w:hAnsi="Times New Roman"/>
          <w:sz w:val="21"/>
          <w:szCs w:val="21"/>
          <w:b w:val="1"/>
          <w:bCs w:val="1"/>
          <w:i w:val="1"/>
          <w:iCs w:val="1"/>
          <w:color w:val="auto"/>
        </w:rPr>
        <w:t>Headings</w:t>
      </w:r>
    </w:p>
    <w:p>
      <w:pPr>
        <w:spacing w:after="0" w:line="239" w:lineRule="exact"/>
        <w:rPr>
          <w:sz w:val="20"/>
          <w:szCs w:val="20"/>
          <w:color w:val="auto"/>
        </w:rPr>
      </w:pPr>
    </w:p>
    <w:p>
      <w:pPr>
        <w:ind w:firstLine="656"/>
        <w:spacing w:after="0" w:line="271" w:lineRule="auto"/>
        <w:tabs>
          <w:tab w:leader="none" w:pos="75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9.15</w:t>
      </w:r>
      <w:r>
        <w:rPr>
          <w:sz w:val="20"/>
          <w:szCs w:val="20"/>
          <w:color w:val="auto"/>
        </w:rPr>
        <w:tab/>
      </w:r>
      <w:r>
        <w:rPr>
          <w:rFonts w:ascii="Times New Roman" w:cs="Times New Roman" w:eastAsia="Times New Roman" w:hAnsi="Times New Roman"/>
          <w:sz w:val="21"/>
          <w:szCs w:val="21"/>
          <w:b w:val="1"/>
          <w:bCs w:val="1"/>
          <w:i w:val="1"/>
          <w:iCs w:val="1"/>
          <w:color w:val="auto"/>
        </w:rPr>
        <w:t>Jurisdiction; Consent to Service of Process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50" w:lineRule="auto"/>
        <w:tabs>
          <w:tab w:leader="none" w:pos="1404" w:val="left"/>
        </w:tabs>
        <w:numPr>
          <w:ilvl w:val="0"/>
          <w:numId w:val="27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Any legal action or proceeding with respect to this Agreement or any other Loan 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187" w:lineRule="exact"/>
        <w:rPr>
          <w:sz w:val="20"/>
          <w:szCs w:val="20"/>
          <w:color w:val="auto"/>
        </w:rPr>
      </w:pPr>
    </w:p>
    <w:p>
      <w:pPr>
        <w:jc w:val="both"/>
        <w:ind w:firstLine="1304"/>
        <w:spacing w:after="0" w:line="253" w:lineRule="auto"/>
        <w:tabs>
          <w:tab w:leader="none" w:pos="1769"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7"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(other than the Parent Borrower) hereby irrevocably appoints the Parent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Parent Borrower at the Parent Borrower’s address set forth in Section 9.01, and each such Loan Party hereby irrevocably authorizes and directs the Parent Borrower to accept such service on its behalf.</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25" w:name="page226"/>
    <w:bookmarkEnd w:id="225"/>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9.16</w:t>
      </w:r>
      <w:r>
        <w:rPr>
          <w:sz w:val="20"/>
          <w:szCs w:val="20"/>
          <w:color w:val="auto"/>
        </w:rPr>
        <w:tab/>
      </w:r>
      <w:r>
        <w:rPr>
          <w:rFonts w:ascii="Times New Roman" w:cs="Times New Roman" w:eastAsia="Times New Roman" w:hAnsi="Times New Roman"/>
          <w:sz w:val="21"/>
          <w:szCs w:val="21"/>
          <w:b w:val="1"/>
          <w:bCs w:val="1"/>
          <w:i w:val="1"/>
          <w:iCs w:val="1"/>
          <w:color w:val="auto"/>
        </w:rPr>
        <w:t>Confidentiality</w:t>
      </w:r>
    </w:p>
    <w:p>
      <w:pPr>
        <w:spacing w:after="0" w:line="226" w:lineRule="exact"/>
        <w:rPr>
          <w:sz w:val="20"/>
          <w:szCs w:val="20"/>
          <w:color w:val="auto"/>
        </w:rPr>
      </w:pPr>
    </w:p>
    <w:p>
      <w:pPr>
        <w:jc w:val="both"/>
        <w:ind w:firstLine="656"/>
        <w:spacing w:after="0" w:line="259" w:lineRule="auto"/>
        <w:tabs>
          <w:tab w:leader="none" w:pos="783"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Agents, the Issuing Banks and the Lenders agrees to maintain, and cause their respective Affiliates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Parent Borrower or (h) to the extent such Information (x) becomes publicly available other than as a result of a breach of this Section or (y) becomes available to any Agent, any Issuing Bank or any Lender on a non-confidential basis from a source other than a Borrower. For purposes of this Section, “</w:t>
      </w:r>
      <w:r>
        <w:rPr>
          <w:rFonts w:ascii="Times New Roman" w:cs="Times New Roman" w:eastAsia="Times New Roman" w:hAnsi="Times New Roman"/>
          <w:sz w:val="21"/>
          <w:szCs w:val="21"/>
          <w:i w:val="1"/>
          <w:iCs w:val="1"/>
          <w:color w:val="auto"/>
        </w:rPr>
        <w:t>Information</w:t>
      </w:r>
      <w:r>
        <w:rPr>
          <w:rFonts w:ascii="Times New Roman" w:cs="Times New Roman" w:eastAsia="Times New Roman" w:hAnsi="Times New Roman"/>
          <w:sz w:val="21"/>
          <w:szCs w:val="21"/>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9.17</w:t>
      </w:r>
      <w:r>
        <w:rPr>
          <w:sz w:val="20"/>
          <w:szCs w:val="20"/>
          <w:color w:val="auto"/>
        </w:rPr>
        <w:tab/>
      </w:r>
      <w:r>
        <w:rPr>
          <w:rFonts w:ascii="Times New Roman" w:cs="Times New Roman" w:eastAsia="Times New Roman" w:hAnsi="Times New Roman"/>
          <w:sz w:val="21"/>
          <w:szCs w:val="21"/>
          <w:b w:val="1"/>
          <w:bCs w:val="1"/>
          <w:i w:val="1"/>
          <w:iCs w:val="1"/>
          <w:color w:val="auto"/>
        </w:rPr>
        <w:t>Judgment Currency</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highlight w:val="lightGray"/>
        </w:rPr>
        <w:t>.</w:t>
      </w:r>
    </w:p>
    <w:p>
      <w:pPr>
        <w:spacing w:after="0" w:line="220" w:lineRule="exact"/>
        <w:rPr>
          <w:sz w:val="20"/>
          <w:szCs w:val="20"/>
          <w:color w:val="auto"/>
        </w:rPr>
      </w:pPr>
    </w:p>
    <w:p>
      <w:pPr>
        <w:jc w:val="both"/>
        <w:ind w:firstLine="1304"/>
        <w:spacing w:after="0" w:line="251" w:lineRule="auto"/>
        <w:tabs>
          <w:tab w:leader="none" w:pos="1404" w:val="left"/>
        </w:tabs>
        <w:numPr>
          <w:ilvl w:val="0"/>
          <w:numId w:val="28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The obligations of the Borrowers and the other Loan Parties hereunder and under the other Loan Documents to make payments in U.S. dollars, Canadian dollars or Australian dollars (the “</w:t>
      </w:r>
      <w:r>
        <w:rPr>
          <w:rFonts w:ascii="Times New Roman" w:cs="Times New Roman" w:eastAsia="Times New Roman" w:hAnsi="Times New Roman"/>
          <w:sz w:val="22"/>
          <w:szCs w:val="22"/>
          <w:i w:val="1"/>
          <w:iCs w:val="1"/>
          <w:color w:val="auto"/>
        </w:rPr>
        <w:t>Obligation Currency</w:t>
      </w:r>
      <w:r>
        <w:rPr>
          <w:rFonts w:ascii="Times New Roman" w:cs="Times New Roman" w:eastAsia="Times New Roman" w:hAnsi="Times New Roman"/>
          <w:sz w:val="22"/>
          <w:szCs w:val="22"/>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6" w:right="339" w:bottom="1440" w:gutter="0" w:footer="0" w:header="0"/>
        </w:sectPr>
      </w:pPr>
    </w:p>
    <w:bookmarkStart w:id="226" w:name="page227"/>
    <w:bookmarkEnd w:id="226"/>
    <w:p>
      <w:pPr>
        <w:jc w:val="both"/>
        <w:spacing w:after="0" w:line="262" w:lineRule="auto"/>
        <w:rPr>
          <w:sz w:val="20"/>
          <w:szCs w:val="20"/>
          <w:color w:val="auto"/>
        </w:rPr>
      </w:pPr>
      <w:r>
        <w:rPr>
          <w:rFonts w:ascii="Times New Roman" w:cs="Times New Roman" w:eastAsia="Times New Roman" w:hAnsi="Times New Roman"/>
          <w:sz w:val="21"/>
          <w:szCs w:val="21"/>
          <w:color w:val="auto"/>
        </w:rPr>
        <w:t>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21"/>
          <w:szCs w:val="21"/>
          <w:i w:val="1"/>
          <w:iCs w:val="1"/>
          <w:color w:val="auto"/>
        </w:rPr>
        <w:t>Judgment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Currency</w:t>
      </w:r>
      <w:r>
        <w:rPr>
          <w:rFonts w:ascii="Times New Roman" w:cs="Times New Roman" w:eastAsia="Times New Roman" w:hAnsi="Times New Roman"/>
          <w:sz w:val="21"/>
          <w:szCs w:val="21"/>
          <w:color w:val="auto"/>
        </w:rPr>
        <w:t>”) an amount due in the Obligation Currency, the conversion shall be made at the Canadian Dollar Equivalent, 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Times New Roman" w:cs="Times New Roman" w:eastAsia="Times New Roman" w:hAnsi="Times New Roman"/>
          <w:sz w:val="21"/>
          <w:szCs w:val="21"/>
          <w:i w:val="1"/>
          <w:iCs w:val="1"/>
          <w:color w:val="auto"/>
        </w:rPr>
        <w:t>Judgment Currency Conversion Date</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1304"/>
        <w:spacing w:after="0" w:line="250" w:lineRule="auto"/>
        <w:tabs>
          <w:tab w:leader="none" w:pos="1792"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4"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6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9.18</w:t>
      </w:r>
      <w:r>
        <w:rPr>
          <w:sz w:val="20"/>
          <w:szCs w:val="20"/>
          <w:color w:val="auto"/>
        </w:rPr>
        <w:tab/>
      </w:r>
      <w:r>
        <w:rPr>
          <w:rFonts w:ascii="Times New Roman" w:cs="Times New Roman" w:eastAsia="Times New Roman" w:hAnsi="Times New Roman"/>
          <w:sz w:val="21"/>
          <w:szCs w:val="21"/>
          <w:b w:val="1"/>
          <w:bCs w:val="1"/>
          <w:i w:val="1"/>
          <w:iCs w:val="1"/>
          <w:color w:val="auto"/>
        </w:rPr>
        <w:t>Exculpation Provisions</w:t>
      </w:r>
    </w:p>
    <w:p>
      <w:pPr>
        <w:spacing w:after="0" w:line="239" w:lineRule="exact"/>
        <w:rPr>
          <w:sz w:val="20"/>
          <w:szCs w:val="20"/>
          <w:color w:val="auto"/>
        </w:rPr>
      </w:pPr>
    </w:p>
    <w:p>
      <w:pPr>
        <w:jc w:val="both"/>
        <w:ind w:firstLine="656"/>
        <w:spacing w:after="0" w:line="261" w:lineRule="auto"/>
        <w:tabs>
          <w:tab w:leader="none" w:pos="823"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SPECIFICALLY AGREES THAT IT HAS 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-189-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27" w:name="page228"/>
    <w:bookmarkEnd w:id="227"/>
    <w:p>
      <w:pPr>
        <w:spacing w:after="0" w:line="271" w:lineRule="auto"/>
        <w:rPr>
          <w:sz w:val="20"/>
          <w:szCs w:val="20"/>
          <w:color w:val="auto"/>
        </w:rPr>
      </w:pPr>
      <w:r>
        <w:rPr>
          <w:rFonts w:ascii="Times New Roman" w:cs="Times New Roman" w:eastAsia="Times New Roman" w:hAnsi="Times New Roman"/>
          <w:sz w:val="22"/>
          <w:szCs w:val="22"/>
          <w:color w:val="auto"/>
        </w:rPr>
        <w:t>PROVISION OF THIS AGREEMENT AND THE OTHER LOAN DOCUMENTS ON THE BASIS THAT THE PARTY HAD NO NOTICE OR KNOWLEDGE OF SUCH PROVISION OR THAT THE PROVISION IS NOT “CONSPICUOUS.”</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9.19</w:t>
      </w:r>
      <w:r>
        <w:rPr>
          <w:sz w:val="20"/>
          <w:szCs w:val="20"/>
          <w:color w:val="auto"/>
        </w:rPr>
        <w:tab/>
      </w:r>
      <w:r>
        <w:rPr>
          <w:rFonts w:ascii="Times New Roman" w:cs="Times New Roman" w:eastAsia="Times New Roman" w:hAnsi="Times New Roman"/>
          <w:sz w:val="21"/>
          <w:szCs w:val="21"/>
          <w:b w:val="1"/>
          <w:bCs w:val="1"/>
          <w:i w:val="1"/>
          <w:iCs w:val="1"/>
          <w:color w:val="auto"/>
        </w:rPr>
        <w:t>Payments Set Aside</w:t>
      </w:r>
    </w:p>
    <w:p>
      <w:pPr>
        <w:spacing w:after="0" w:line="239" w:lineRule="exact"/>
        <w:rPr>
          <w:sz w:val="20"/>
          <w:szCs w:val="20"/>
          <w:color w:val="auto"/>
        </w:rPr>
      </w:pPr>
    </w:p>
    <w:p>
      <w:pPr>
        <w:jc w:val="both"/>
        <w:ind w:firstLine="656"/>
        <w:spacing w:after="0" w:line="248" w:lineRule="auto"/>
        <w:tabs>
          <w:tab w:leader="none" w:pos="75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by or on behalf of any Loan Party is made to any Agent, Issuing Bank or 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 (b) of the preceding sentence shall survive the payment in full of the Obligations and the termination of this Agreement.</w:t>
      </w:r>
    </w:p>
    <w:p>
      <w:pPr>
        <w:spacing w:after="0" w:line="17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9.20</w:t>
      </w:r>
      <w:r>
        <w:rPr>
          <w:sz w:val="20"/>
          <w:szCs w:val="20"/>
          <w:color w:val="auto"/>
        </w:rPr>
        <w:tab/>
      </w:r>
      <w:r>
        <w:rPr>
          <w:rFonts w:ascii="Times New Roman" w:cs="Times New Roman" w:eastAsia="Times New Roman" w:hAnsi="Times New Roman"/>
          <w:sz w:val="21"/>
          <w:szCs w:val="21"/>
          <w:b w:val="1"/>
          <w:bCs w:val="1"/>
          <w:i w:val="1"/>
          <w:iCs w:val="1"/>
          <w:color w:val="auto"/>
        </w:rPr>
        <w:t>Termination</w:t>
      </w:r>
    </w:p>
    <w:p>
      <w:pPr>
        <w:spacing w:after="0" w:line="226" w:lineRule="exact"/>
        <w:rPr>
          <w:sz w:val="20"/>
          <w:szCs w:val="20"/>
          <w:color w:val="auto"/>
        </w:rPr>
      </w:pPr>
    </w:p>
    <w:p>
      <w:pPr>
        <w:jc w:val="both"/>
        <w:ind w:firstLine="656"/>
        <w:spacing w:after="0" w:line="265" w:lineRule="auto"/>
        <w:tabs>
          <w:tab w:leader="none" w:pos="756"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and each other Loan Document, and the covenants and agreements set forth herein and therein, and, in 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16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9.21</w:t>
      </w:r>
      <w:r>
        <w:rPr>
          <w:sz w:val="20"/>
          <w:szCs w:val="20"/>
          <w:color w:val="auto"/>
        </w:rPr>
        <w:tab/>
      </w:r>
      <w:r>
        <w:rPr>
          <w:rFonts w:ascii="Times New Roman" w:cs="Times New Roman" w:eastAsia="Times New Roman" w:hAnsi="Times New Roman"/>
          <w:sz w:val="21"/>
          <w:szCs w:val="21"/>
          <w:b w:val="1"/>
          <w:bCs w:val="1"/>
          <w:i w:val="1"/>
          <w:iCs w:val="1"/>
          <w:color w:val="auto"/>
        </w:rPr>
        <w:t>Patriot Act Notice</w:t>
      </w:r>
    </w:p>
    <w:p>
      <w:pPr>
        <w:spacing w:after="0" w:line="226" w:lineRule="exact"/>
        <w:rPr>
          <w:sz w:val="20"/>
          <w:szCs w:val="20"/>
          <w:color w:val="auto"/>
        </w:rPr>
      </w:pPr>
    </w:p>
    <w:p>
      <w:pPr>
        <w:jc w:val="both"/>
        <w:ind w:firstLine="656"/>
        <w:spacing w:after="0" w:line="256" w:lineRule="auto"/>
        <w:tabs>
          <w:tab w:leader="none" w:pos="756"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notifies each Borrower that pursuant to the requirements of the USA Patriot Act (Title III of Pub. L. 107-56 (signed into law October 26, 2001))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9.22</w:t>
      </w:r>
      <w:r>
        <w:rPr>
          <w:sz w:val="20"/>
          <w:szCs w:val="20"/>
          <w:color w:val="auto"/>
        </w:rPr>
        <w:tab/>
      </w:r>
      <w:r>
        <w:rPr>
          <w:rFonts w:ascii="Times New Roman" w:cs="Times New Roman" w:eastAsia="Times New Roman" w:hAnsi="Times New Roman"/>
          <w:sz w:val="21"/>
          <w:szCs w:val="21"/>
          <w:b w:val="1"/>
          <w:bCs w:val="1"/>
          <w:i w:val="1"/>
          <w:iCs w:val="1"/>
          <w:color w:val="auto"/>
        </w:rPr>
        <w:t>Public Offer</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-190-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28" w:name="page229"/>
    <w:bookmarkEnd w:id="228"/>
    <w:p>
      <w:pPr>
        <w:ind w:firstLine="1304"/>
        <w:spacing w:after="0" w:line="275" w:lineRule="auto"/>
        <w:tabs>
          <w:tab w:leader="none" w:pos="184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Lead Arranger’s representations, warranties and undertakings</w:t>
      </w:r>
      <w:r>
        <w:rPr>
          <w:rFonts w:ascii="Times New Roman" w:cs="Times New Roman" w:eastAsia="Times New Roman" w:hAnsi="Times New Roman"/>
          <w:sz w:val="22"/>
          <w:szCs w:val="22"/>
          <w:color w:val="auto"/>
        </w:rPr>
        <w:t>. The Lead Arranger undertakes, represents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warrants to the Australian Loan Parties as follows:</w:t>
      </w:r>
    </w:p>
    <w:p>
      <w:pPr>
        <w:spacing w:after="0" w:line="153" w:lineRule="exact"/>
        <w:rPr>
          <w:rFonts w:ascii="Times New Roman" w:cs="Times New Roman" w:eastAsia="Times New Roman" w:hAnsi="Times New Roman"/>
          <w:sz w:val="22"/>
          <w:szCs w:val="22"/>
          <w:color w:val="auto"/>
        </w:rPr>
      </w:pPr>
    </w:p>
    <w:p>
      <w:pPr>
        <w:jc w:val="both"/>
        <w:ind w:left="660" w:firstLine="1292"/>
        <w:spacing w:after="0" w:line="268" w:lineRule="auto"/>
        <w:tabs>
          <w:tab w:leader="none" w:pos="2473"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63" w:lineRule="exact"/>
        <w:rPr>
          <w:rFonts w:ascii="Times New Roman" w:cs="Times New Roman" w:eastAsia="Times New Roman" w:hAnsi="Times New Roman"/>
          <w:sz w:val="21"/>
          <w:szCs w:val="21"/>
          <w:color w:val="auto"/>
        </w:rPr>
      </w:pPr>
    </w:p>
    <w:p>
      <w:pPr>
        <w:jc w:val="both"/>
        <w:ind w:left="660" w:firstLine="1292"/>
        <w:spacing w:after="0" w:line="256" w:lineRule="auto"/>
        <w:tabs>
          <w:tab w:leader="none" w:pos="2475"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42"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Arranger has not made and will not make offers or invitations referred to in paragraph (i) above to persons whom the relevant officers of the Lead Arranger involved in the transaction know or suspect are Offshore Associates of the Australian Loan Parties.</w:t>
      </w:r>
    </w:p>
    <w:p>
      <w:pPr>
        <w:spacing w:after="0" w:line="18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7"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Australian Loan Parties’ representations and warranties</w:t>
      </w:r>
      <w:r>
        <w:rPr>
          <w:rFonts w:ascii="Times New Roman" w:cs="Times New Roman" w:eastAsia="Times New Roman" w:hAnsi="Times New Roman"/>
          <w:sz w:val="22"/>
          <w:szCs w:val="22"/>
          <w:color w:val="auto"/>
        </w:rPr>
        <w:t>. The Australian Loan Parties represent and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none of the potential offerees whose names were disclosed to it by 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 (ii) 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w:t>
      </w:r>
    </w:p>
    <w:p>
      <w:pPr>
        <w:spacing w:after="0" w:line="185" w:lineRule="exact"/>
        <w:rPr>
          <w:rFonts w:ascii="Times New Roman" w:cs="Times New Roman" w:eastAsia="Times New Roman" w:hAnsi="Times New Roman"/>
          <w:sz w:val="22"/>
          <w:szCs w:val="22"/>
          <w:color w:val="auto"/>
        </w:rPr>
      </w:pPr>
    </w:p>
    <w:p>
      <w:pPr>
        <w:jc w:val="both"/>
        <w:ind w:firstLine="1304"/>
        <w:spacing w:after="0" w:line="258" w:lineRule="auto"/>
        <w:tabs>
          <w:tab w:leader="none" w:pos="1752"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Lenders’ representations and warranties</w:t>
      </w:r>
      <w:r>
        <w:rPr>
          <w:rFonts w:ascii="Times New Roman" w:cs="Times New Roman" w:eastAsia="Times New Roman" w:hAnsi="Times New Roman"/>
          <w:sz w:val="22"/>
          <w:szCs w:val="22"/>
          <w:color w:val="auto"/>
        </w:rPr>
        <w:t>. Each Lender represents and warrants to the Australian Loan Parties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if it received an invitation under paragraph (a)(i) above, at the time it received the invitation it was not an Offshore Associate of the Australian Loan Parties and it was carrying on the business of providing finance, or investing or dealing in securities, in the course of operating in financial markets.</w:t>
      </w:r>
    </w:p>
    <w:p>
      <w:pPr>
        <w:spacing w:after="0" w:line="167"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6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The Lead Arranger and each Lender will provide to the Australian Loan Parties when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requested any factual information in its possession or which it is reasonably able to provide to assist the Australian Loan Parties to demonstrate (based upon tax advice received by the Australian Loan Parties) that section 128F of the Australian Tax</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-191-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8" w:right="339" w:bottom="1440" w:gutter="0" w:footer="0" w:header="0"/>
        </w:sectPr>
      </w:pPr>
    </w:p>
    <w:bookmarkStart w:id="229" w:name="page230"/>
    <w:bookmarkEnd w:id="229"/>
    <w:p>
      <w:pPr>
        <w:spacing w:after="0" w:line="271" w:lineRule="auto"/>
        <w:rPr>
          <w:sz w:val="20"/>
          <w:szCs w:val="20"/>
          <w:color w:val="auto"/>
        </w:rPr>
      </w:pPr>
      <w:r>
        <w:rPr>
          <w:rFonts w:ascii="Times New Roman" w:cs="Times New Roman" w:eastAsia="Times New Roman" w:hAnsi="Times New Roman"/>
          <w:sz w:val="22"/>
          <w:szCs w:val="22"/>
          <w:color w:val="auto"/>
        </w:rPr>
        <w:t>Act has been satisfied where to do so will not, in the reasonable opinion of the Lead Arranger or the Lenders, breach any law or regulation or any duty of confidence.</w:t>
      </w:r>
    </w:p>
    <w:p>
      <w:pPr>
        <w:spacing w:after="0" w:line="154" w:lineRule="exact"/>
        <w:rPr>
          <w:sz w:val="20"/>
          <w:szCs w:val="20"/>
          <w:color w:val="auto"/>
        </w:rPr>
      </w:pPr>
    </w:p>
    <w:p>
      <w:pPr>
        <w:jc w:val="both"/>
        <w:ind w:firstLine="1304"/>
        <w:spacing w:after="0" w:line="254" w:lineRule="auto"/>
        <w:tabs>
          <w:tab w:leader="none" w:pos="180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Cooperation if s128F requirement not satisfied</w:t>
      </w:r>
      <w:r>
        <w:rPr>
          <w:rFonts w:ascii="Times New Roman" w:cs="Times New Roman" w:eastAsia="Times New Roman" w:hAnsi="Times New Roman"/>
          <w:sz w:val="22"/>
          <w:szCs w:val="22"/>
          <w:color w:val="auto"/>
        </w:rPr>
        <w:t>. If, for any reason, the requirements of section 128F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Australian Tax Act have not been 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73" w:lineRule="exact"/>
        <w:rPr>
          <w:rFonts w:ascii="Times New Roman" w:cs="Times New Roman" w:eastAsia="Times New Roman" w:hAnsi="Times New Roman"/>
          <w:sz w:val="22"/>
          <w:szCs w:val="22"/>
          <w:color w:val="auto"/>
        </w:rPr>
      </w:pPr>
    </w:p>
    <w:p>
      <w:pPr>
        <w:ind w:firstLine="1304"/>
        <w:spacing w:after="0" w:line="287" w:lineRule="auto"/>
        <w:tabs>
          <w:tab w:leader="none" w:pos="1957"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128F syndication statement</w:t>
      </w:r>
      <w:r>
        <w:rPr>
          <w:rFonts w:ascii="Times New Roman" w:cs="Times New Roman" w:eastAsia="Times New Roman" w:hAnsi="Times New Roman"/>
          <w:sz w:val="22"/>
          <w:szCs w:val="22"/>
          <w:color w:val="auto"/>
        </w:rPr>
        <w:t>. The parties agree that this Agreement is a “syndicated facility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for the purposes of section 128F(11)(a) of the Australian Tax Act.</w:t>
      </w:r>
    </w:p>
    <w:p>
      <w:pPr>
        <w:spacing w:after="0" w:line="13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9.23</w:t>
      </w:r>
      <w:r>
        <w:rPr>
          <w:sz w:val="20"/>
          <w:szCs w:val="20"/>
          <w:color w:val="auto"/>
        </w:rPr>
        <w:tab/>
      </w:r>
      <w:r>
        <w:rPr>
          <w:rFonts w:ascii="Times New Roman" w:cs="Times New Roman" w:eastAsia="Times New Roman" w:hAnsi="Times New Roman"/>
          <w:sz w:val="21"/>
          <w:szCs w:val="21"/>
          <w:b w:val="1"/>
          <w:bCs w:val="1"/>
          <w:i w:val="1"/>
          <w:iCs w:val="1"/>
          <w:color w:val="auto"/>
        </w:rPr>
        <w:t>Keepwell</w:t>
      </w:r>
    </w:p>
    <w:p>
      <w:pPr>
        <w:spacing w:after="0" w:line="226" w:lineRule="exact"/>
        <w:rPr>
          <w:sz w:val="20"/>
          <w:szCs w:val="20"/>
          <w:color w:val="auto"/>
        </w:rPr>
      </w:pPr>
    </w:p>
    <w:p>
      <w:pPr>
        <w:jc w:val="both"/>
        <w:ind w:firstLine="8"/>
        <w:spacing w:after="0" w:line="248" w:lineRule="auto"/>
        <w:tabs>
          <w:tab w:leader="none" w:pos="12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hereby absolutely, unconditionally and irrevocably undertakes to provide such funds or other support as may be needed from time to time by each Guarantor to honor all of its obligations under its Guarantee in respect of Swap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Parent Borrower shall only be liable under this Section 9.23 for the maximum amount of such liability that can be hereby incurred without rendering its obligations under this Section 9.23, or otherwise under this Agreement, voidable under applicable law relating to fraudulent conveyance or fraudulent transfer, and not for any greater amount). The obligations of the Parent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Applicable Administrative Agent and the Applicable Issuing Bank have been made). The Parent Borrower intends that this Section 9.23 constitute, and this Section 9.23 shall be deemed to constitute, a “keepwell, support, or other agreement” for the benefit of each Guarantor for all purposes of Section 1a(18)(A)(v)(II) of the Commodity Exchange Act.</w:t>
      </w:r>
    </w:p>
    <w:p>
      <w:pPr>
        <w:spacing w:after="0" w:line="18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9.24</w:t>
      </w:r>
      <w:r>
        <w:rPr>
          <w:sz w:val="20"/>
          <w:szCs w:val="20"/>
          <w:color w:val="auto"/>
        </w:rPr>
        <w:tab/>
      </w:r>
      <w:r>
        <w:rPr>
          <w:rFonts w:ascii="Times New Roman" w:cs="Times New Roman" w:eastAsia="Times New Roman" w:hAnsi="Times New Roman"/>
          <w:sz w:val="21"/>
          <w:szCs w:val="21"/>
          <w:b w:val="1"/>
          <w:bCs w:val="1"/>
          <w:i w:val="1"/>
          <w:iCs w:val="1"/>
          <w:color w:val="auto"/>
        </w:rPr>
        <w:t>Acknowledgement and Consent to Bail-In of Affected Financial Institutions</w:t>
      </w:r>
    </w:p>
    <w:p>
      <w:pPr>
        <w:spacing w:after="0" w:line="226" w:lineRule="exact"/>
        <w:rPr>
          <w:sz w:val="20"/>
          <w:szCs w:val="20"/>
          <w:color w:val="auto"/>
        </w:rPr>
      </w:pPr>
    </w:p>
    <w:p>
      <w:pPr>
        <w:jc w:val="both"/>
        <w:ind w:firstLine="656"/>
        <w:spacing w:after="0" w:line="256" w:lineRule="auto"/>
        <w:tabs>
          <w:tab w:leader="none" w:pos="823"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772"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Affected Resolution Authority to any such liabilities arising hereunder which may be payable to it by any party hereto that is an Affected Financial Institution; and</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-192-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30" w:name="page231"/>
    <w:bookmarkEnd w:id="230"/>
    <w:p>
      <w:pPr>
        <w:ind w:left="1780" w:hanging="476"/>
        <w:spacing w:after="0"/>
        <w:tabs>
          <w:tab w:leader="none" w:pos="178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18"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85"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Affected Resolution Authority.</w:t>
      </w:r>
    </w:p>
    <w:p>
      <w:pPr>
        <w:spacing w:after="0" w:line="165" w:lineRule="exact"/>
        <w:rPr>
          <w:sz w:val="20"/>
          <w:szCs w:val="20"/>
          <w:color w:val="auto"/>
        </w:rPr>
      </w:pPr>
    </w:p>
    <w:p>
      <w:pPr>
        <w:ind w:left="660"/>
        <w:spacing w:after="0"/>
        <w:tabs>
          <w:tab w:leader="none" w:pos="2320" w:val="left"/>
        </w:tabs>
        <w:rPr>
          <w:sz w:val="20"/>
          <w:szCs w:val="20"/>
          <w:color w:val="auto"/>
        </w:rPr>
      </w:pPr>
      <w:r>
        <w:rPr>
          <w:rFonts w:ascii="Times New Roman" w:cs="Times New Roman" w:eastAsia="Times New Roman" w:hAnsi="Times New Roman"/>
          <w:sz w:val="22"/>
          <w:szCs w:val="22"/>
          <w:b w:val="1"/>
          <w:bCs w:val="1"/>
          <w:color w:val="auto"/>
        </w:rPr>
        <w:t>SECTION 9.25</w:t>
      </w:r>
      <w:r>
        <w:rPr>
          <w:sz w:val="20"/>
          <w:szCs w:val="20"/>
          <w:color w:val="auto"/>
        </w:rPr>
        <w:tab/>
      </w:r>
      <w:r>
        <w:rPr>
          <w:rFonts w:ascii="Times New Roman" w:cs="Times New Roman" w:eastAsia="Times New Roman" w:hAnsi="Times New Roman"/>
          <w:sz w:val="21"/>
          <w:szCs w:val="21"/>
          <w:b w:val="1"/>
          <w:bCs w:val="1"/>
          <w:i w:val="1"/>
          <w:iCs w:val="1"/>
          <w:color w:val="auto"/>
        </w:rPr>
        <w:t>Acknowledgment Regarding Any Supported QFCs</w:t>
      </w:r>
    </w:p>
    <w:p>
      <w:pPr>
        <w:spacing w:after="0" w:line="226" w:lineRule="exact"/>
        <w:rPr>
          <w:sz w:val="20"/>
          <w:szCs w:val="20"/>
          <w:color w:val="auto"/>
        </w:rPr>
      </w:pPr>
    </w:p>
    <w:p>
      <w:pPr>
        <w:jc w:val="both"/>
        <w:ind w:firstLine="656"/>
        <w:spacing w:after="0" w:line="263" w:lineRule="auto"/>
        <w:tabs>
          <w:tab w:leader="none" w:pos="796"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Loan Documents provide support, through a guarantee or otherwise, for any agreement or instrument that is a QFC (such support “</w:t>
      </w:r>
      <w:r>
        <w:rPr>
          <w:rFonts w:ascii="Times New Roman" w:cs="Times New Roman" w:eastAsia="Times New Roman" w:hAnsi="Times New Roman"/>
          <w:sz w:val="21"/>
          <w:szCs w:val="21"/>
          <w:i w:val="1"/>
          <w:iCs w:val="1"/>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i w:val="1"/>
          <w:iCs w:val="1"/>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i w:val="1"/>
          <w:iCs w:val="1"/>
          <w:color w:val="auto"/>
        </w:rPr>
        <w:t>U.S. 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i w:val="1"/>
          <w:i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-193-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22" w:right="339" w:bottom="1440" w:gutter="0" w:footer="0" w:header="0"/>
        </w:sectPr>
      </w:pPr>
    </w:p>
    <w:bookmarkStart w:id="231" w:name="page232"/>
    <w:bookmarkEnd w:id="231"/>
    <w:p>
      <w:pPr>
        <w:ind w:left="660"/>
        <w:spacing w:after="0"/>
        <w:tabs>
          <w:tab w:leader="none" w:pos="2320" w:val="left"/>
        </w:tabs>
        <w:rPr>
          <w:sz w:val="20"/>
          <w:szCs w:val="20"/>
          <w:color w:val="auto"/>
        </w:rPr>
      </w:pPr>
      <w:r>
        <w:rPr>
          <w:rFonts w:ascii="Times New Roman" w:cs="Times New Roman" w:eastAsia="Times New Roman" w:hAnsi="Times New Roman"/>
          <w:sz w:val="22"/>
          <w:szCs w:val="22"/>
          <w:b w:val="1"/>
          <w:bCs w:val="1"/>
          <w:color w:val="auto"/>
        </w:rPr>
        <w:t>SECTION 9.26</w:t>
      </w:r>
      <w:r>
        <w:rPr>
          <w:sz w:val="20"/>
          <w:szCs w:val="20"/>
          <w:color w:val="auto"/>
        </w:rPr>
        <w:tab/>
      </w:r>
      <w:r>
        <w:rPr>
          <w:rFonts w:ascii="Times New Roman" w:cs="Times New Roman" w:eastAsia="Times New Roman" w:hAnsi="Times New Roman"/>
          <w:sz w:val="21"/>
          <w:szCs w:val="21"/>
          <w:b w:val="1"/>
          <w:bCs w:val="1"/>
          <w:i w:val="1"/>
          <w:iCs w:val="1"/>
          <w:color w:val="auto"/>
        </w:rPr>
        <w:t>Recognition of Hong Kong Stay Power</w:t>
      </w:r>
    </w:p>
    <w:p>
      <w:pPr>
        <w:spacing w:after="0" w:line="226" w:lineRule="exact"/>
        <w:rPr>
          <w:sz w:val="20"/>
          <w:szCs w:val="20"/>
          <w:color w:val="auto"/>
        </w:rPr>
      </w:pPr>
    </w:p>
    <w:p>
      <w:pPr>
        <w:jc w:val="both"/>
        <w:ind w:firstLine="8"/>
        <w:spacing w:after="0" w:line="253" w:lineRule="auto"/>
        <w:tabs>
          <w:tab w:leader="none" w:pos="108"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or any other Loan Document or any other agreement, arrangement or understanding between the parties hereto relating to this Agreement, each of the parties hereto (other than any Excluded Counterparties) expressly agrees to be bound by any suspension of any termination right in relation to this Agreement imposed by the Resolution Authority in accordance with section 90(2) of the Financial Institutions (Resolution) Ordinance (Cap. 628) of Hong Kong, to the same extent as if this Agreement was governed by the laws of Hong Kong.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purpose of this Section 9.26:</w:t>
      </w:r>
    </w:p>
    <w:p>
      <w:pPr>
        <w:spacing w:after="0" w:line="13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Counterparty</w:t>
      </w:r>
      <w:r>
        <w:rPr>
          <w:rFonts w:ascii="Times New Roman" w:cs="Times New Roman" w:eastAsia="Times New Roman" w:hAnsi="Times New Roman"/>
          <w:sz w:val="22"/>
          <w:szCs w:val="22"/>
          <w:color w:val="auto"/>
        </w:rPr>
        <w:t>” means any person which is (a) a financial market infrastructure; (b) the Hong Kong Monetary Authority; (c) the Government of the Hong Kong Special Administrative Region; (d) the government of a jurisdiction other than Hong Kong; or (e) the central bank of a jurisdiction other than Hong Kong; and</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Resolution Authority</w:t>
      </w:r>
      <w:r>
        <w:rPr>
          <w:rFonts w:ascii="Times New Roman" w:cs="Times New Roman" w:eastAsia="Times New Roman" w:hAnsi="Times New Roman"/>
          <w:sz w:val="22"/>
          <w:szCs w:val="22"/>
          <w:color w:val="auto"/>
        </w:rPr>
        <w:t>” means the resolution authority in Hong Kong in relation to a banking sector entity from time to time, which is currently the Hong Kong Monetary Authority.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-194-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highlight w:val="lightGray"/>
        </w:rPr>
        <w:t>|US-DOCS\152183578.7||</w:t>
      </w:r>
    </w:p>
    <w:p>
      <w:pPr>
        <w:sectPr>
          <w:pgSz w:w="11900" w:h="16838" w:orient="portrait"/>
          <w:cols w:equalWidth="0" w:num="1">
            <w:col w:w="11240"/>
          </w:cols>
          <w:pgMar w:left="320" w:top="1416" w:right="339" w:bottom="1440" w:gutter="0" w:footer="0" w:header="0"/>
        </w:sectPr>
      </w:pPr>
    </w:p>
    <w:bookmarkStart w:id="232" w:name="page233"/>
    <w:bookmarkEnd w:id="232"/>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1.01(b)</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U.S. Subsidiary Guarantors</w:t>
      </w:r>
    </w:p>
    <w:p>
      <w:pPr>
        <w:spacing w:after="0" w:line="2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09" w:right="1440"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1.01(c)</w:t>
      </w:r>
    </w:p>
    <w:p>
      <w:pPr>
        <w:spacing w:after="0" w:line="26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Canadian Subsidiary Guarantors</w:t>
      </w:r>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Buffalo Catering Employees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4097655" cy="45091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97655" cy="4509135"/>
                    </a:xfrm>
                    <a:prstGeom prst="rect">
                      <a:avLst/>
                    </a:prstGeom>
                    <a:noFill/>
                  </pic:spPr>
                </pic:pic>
              </a:graphicData>
            </a:graphic>
          </wp:anchor>
        </w:drawing>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Buffalo Catering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Canada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Christina Lake Enterprises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Canada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Canada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Canada Operations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Crown Services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GP Holdings Corporation</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Installations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Lodge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Lodge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Pacific Northwest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Pacific Northwest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Premium Services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Premium Services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Services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Services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Civeo Water Canada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Crown Services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Installations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Red Table Catering GP Ltd.</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Red Table Employees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Red Table Foods Limited Partnership</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Water Canada GP Ltd.</w:t>
      </w:r>
    </w:p>
    <w:p>
      <w:pPr>
        <w:sectPr>
          <w:pgSz w:w="11900" w:h="16838" w:orient="portrait"/>
          <w:cols w:equalWidth="0" w:num="1">
            <w:col w:w="9019"/>
          </w:cols>
          <w:pgMar w:left="1440" w:top="1409"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1.01(d)</w:t>
      </w:r>
    </w:p>
    <w:p>
      <w:pPr>
        <w:spacing w:after="0" w:line="26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Australian Subsidiary Guarantors</w:t>
      </w: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Action Industrial Catering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4097655" cy="728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97655" cy="728980"/>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Civeo Holding Company 1 Pty Ltd.</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Civeo Holding Company 2 Pty Ltd.</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Civeo Property Pty Ltd.</w:t>
      </w:r>
    </w:p>
    <w:p>
      <w:pPr>
        <w:sectPr>
          <w:pgSz w:w="11900" w:h="16838" w:orient="portrait"/>
          <w:cols w:equalWidth="0" w:num="1">
            <w:col w:w="9019"/>
          </w:cols>
          <w:pgMar w:left="1440" w:top="1409" w:right="144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2.01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2.01 Lenders and Commitments/Loans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09" w:right="1440" w:bottom="1440" w:gutter="0" w:footer="0" w:header="0"/>
        </w:sectPr>
      </w:pPr>
    </w:p>
    <w:bookmarkStart w:id="236" w:name="page237"/>
    <w:bookmarkEnd w:id="236"/>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2.01</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Lenders and Commitments/Loans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(all amounts in U.S. dollars, except noted otherwise in parentheses)</w:t>
      </w:r>
    </w:p>
    <w:p>
      <w:pPr>
        <w:spacing w:after="0" w:line="259" w:lineRule="exact"/>
        <w:rPr>
          <w:sz w:val="20"/>
          <w:szCs w:val="20"/>
          <w:color w:val="auto"/>
        </w:rPr>
      </w:pPr>
    </w:p>
    <w:tbl>
      <w:tblPr>
        <w:tblLayout w:type="fixed"/>
        <w:tblInd w:w="147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 Revolving</w:t>
            </w:r>
          </w:p>
        </w:tc>
        <w:tc>
          <w:tcPr>
            <w:tcW w:w="16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Canadian</w:t>
            </w:r>
          </w:p>
        </w:tc>
        <w:tc>
          <w:tcPr>
            <w:tcW w:w="146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Australian</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Bank</w:t>
            </w:r>
          </w:p>
        </w:tc>
        <w:tc>
          <w:tcPr>
            <w:tcW w:w="15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14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Revolving</w:t>
            </w:r>
          </w:p>
        </w:tc>
        <w:tc>
          <w:tcPr>
            <w:tcW w:w="17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Commitment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Commitments/Loans</w:t>
            </w: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Royal Bank</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27,000,000.00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13,000,000.00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45,000,000.00</w:t>
            </w:r>
          </w:p>
        </w:tc>
        <w:tc>
          <w:tcPr>
            <w:tcW w:w="0" w:type="dxa"/>
            <w:vAlign w:val="bottom"/>
          </w:tcPr>
          <w:p>
            <w:pPr>
              <w:spacing w:after="0"/>
              <w:rPr>
                <w:sz w:val="1"/>
                <w:szCs w:val="1"/>
                <w:color w:val="auto"/>
              </w:rPr>
            </w:pPr>
          </w:p>
        </w:tc>
      </w:tr>
      <w:tr>
        <w:trPr>
          <w:trHeight w:val="239"/>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Canada</w:t>
            </w:r>
          </w:p>
        </w:tc>
        <w:tc>
          <w:tcPr>
            <w:tcW w:w="1500" w:type="dxa"/>
            <w:vAlign w:val="bottom"/>
            <w:tcBorders>
              <w:bottom w:val="single" w:sz="8" w:color="auto"/>
              <w:right w:val="single" w:sz="8" w:color="auto"/>
            </w:tcBorders>
            <w:vMerge w:val="continue"/>
          </w:tcPr>
          <w:p>
            <w:pPr>
              <w:spacing w:after="0"/>
              <w:rPr>
                <w:sz w:val="20"/>
                <w:szCs w:val="20"/>
                <w:color w:val="auto"/>
              </w:rPr>
            </w:pPr>
          </w:p>
        </w:tc>
        <w:tc>
          <w:tcPr>
            <w:tcW w:w="1600" w:type="dxa"/>
            <w:vAlign w:val="bottom"/>
            <w:tcBorders>
              <w:bottom w:val="single" w:sz="8" w:color="auto"/>
              <w:right w:val="single" w:sz="8" w:color="auto"/>
            </w:tcBorders>
            <w:vMerge w:val="continue"/>
          </w:tcPr>
          <w:p>
            <w:pPr>
              <w:spacing w:after="0"/>
              <w:rPr>
                <w:sz w:val="20"/>
                <w:szCs w:val="20"/>
                <w:color w:val="auto"/>
              </w:rPr>
            </w:pPr>
          </w:p>
        </w:tc>
        <w:tc>
          <w:tcPr>
            <w:tcW w:w="1460" w:type="dxa"/>
            <w:vAlign w:val="bottom"/>
            <w:tcBorders>
              <w:bottom w:val="single" w:sz="8" w:color="auto"/>
              <w:right w:val="single" w:sz="8" w:color="auto"/>
            </w:tcBorders>
            <w:vMerge w:val="continue"/>
          </w:tcPr>
          <w:p>
            <w:pPr>
              <w:spacing w:after="0"/>
              <w:rPr>
                <w:sz w:val="20"/>
                <w:szCs w:val="20"/>
                <w:color w:val="auto"/>
              </w:rPr>
            </w:pPr>
          </w:p>
        </w:tc>
        <w:tc>
          <w:tcPr>
            <w:tcW w:w="17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Bank of</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45,000,000.00</w:t>
            </w:r>
          </w:p>
        </w:tc>
        <w:tc>
          <w:tcPr>
            <w:tcW w:w="0" w:type="dxa"/>
            <w:vAlign w:val="bottom"/>
          </w:tcPr>
          <w:p>
            <w:pPr>
              <w:spacing w:after="0"/>
              <w:rPr>
                <w:sz w:val="1"/>
                <w:szCs w:val="1"/>
                <w:color w:val="auto"/>
              </w:rPr>
            </w:pPr>
          </w:p>
        </w:tc>
      </w:tr>
      <w:tr>
        <w:trPr>
          <w:trHeight w:val="203"/>
        </w:trPr>
        <w:tc>
          <w:tcPr>
            <w:tcW w:w="1140" w:type="dxa"/>
            <w:vAlign w:val="bottom"/>
            <w:tcBorders>
              <w:left w:val="single" w:sz="8" w:color="auto"/>
              <w:bottom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Montreal</w:t>
            </w:r>
          </w:p>
        </w:tc>
        <w:tc>
          <w:tcPr>
            <w:tcW w:w="15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The Toronto-</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45,000,000.00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45,000,000.00</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Dominion</w:t>
            </w:r>
          </w:p>
        </w:tc>
        <w:tc>
          <w:tcPr>
            <w:tcW w:w="15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Bank</w:t>
            </w:r>
          </w:p>
        </w:tc>
        <w:tc>
          <w:tcPr>
            <w:tcW w:w="15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140" w:type="dxa"/>
            <w:vAlign w:val="bottom"/>
            <w:tcBorders>
              <w:left w:val="single" w:sz="8" w:color="auto"/>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National</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28,000,000.00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7,000,000.00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35,000,000.00</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Bank of</w:t>
            </w:r>
          </w:p>
        </w:tc>
        <w:tc>
          <w:tcPr>
            <w:tcW w:w="15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15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ATB</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35,000,000.00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35,000,000.00</w:t>
            </w:r>
          </w:p>
        </w:tc>
        <w:tc>
          <w:tcPr>
            <w:tcW w:w="0" w:type="dxa"/>
            <w:vAlign w:val="bottom"/>
          </w:tcPr>
          <w:p>
            <w:pPr>
              <w:spacing w:after="0"/>
              <w:rPr>
                <w:sz w:val="1"/>
                <w:szCs w:val="1"/>
                <w:color w:val="auto"/>
              </w:rPr>
            </w:pPr>
          </w:p>
        </w:tc>
      </w:tr>
      <w:tr>
        <w:trPr>
          <w:trHeight w:val="203"/>
        </w:trPr>
        <w:tc>
          <w:tcPr>
            <w:tcW w:w="1140" w:type="dxa"/>
            <w:vAlign w:val="bottom"/>
            <w:tcBorders>
              <w:left w:val="single" w:sz="8" w:color="auto"/>
              <w:bottom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Financial</w:t>
            </w:r>
          </w:p>
        </w:tc>
        <w:tc>
          <w:tcPr>
            <w:tcW w:w="15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Canadian</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25,000,000.00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25,000,000.00</w:t>
            </w:r>
          </w:p>
        </w:tc>
        <w:tc>
          <w:tcPr>
            <w:tcW w:w="0" w:type="dxa"/>
            <w:vAlign w:val="bottom"/>
          </w:tcPr>
          <w:p>
            <w:pPr>
              <w:spacing w:after="0"/>
              <w:rPr>
                <w:sz w:val="1"/>
                <w:szCs w:val="1"/>
                <w:color w:val="auto"/>
              </w:rPr>
            </w:pPr>
          </w:p>
        </w:tc>
      </w:tr>
      <w:tr>
        <w:trPr>
          <w:trHeight w:val="239"/>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Western Bank</w:t>
            </w:r>
          </w:p>
        </w:tc>
        <w:tc>
          <w:tcPr>
            <w:tcW w:w="1500" w:type="dxa"/>
            <w:vAlign w:val="bottom"/>
            <w:tcBorders>
              <w:bottom w:val="single" w:sz="8" w:color="auto"/>
              <w:right w:val="single" w:sz="8" w:color="auto"/>
            </w:tcBorders>
            <w:vMerge w:val="continue"/>
          </w:tcPr>
          <w:p>
            <w:pPr>
              <w:spacing w:after="0"/>
              <w:rPr>
                <w:sz w:val="20"/>
                <w:szCs w:val="20"/>
                <w:color w:val="auto"/>
              </w:rPr>
            </w:pPr>
          </w:p>
        </w:tc>
        <w:tc>
          <w:tcPr>
            <w:tcW w:w="1600" w:type="dxa"/>
            <w:vAlign w:val="bottom"/>
            <w:tcBorders>
              <w:bottom w:val="single" w:sz="8" w:color="auto"/>
              <w:right w:val="single" w:sz="8" w:color="auto"/>
            </w:tcBorders>
            <w:vMerge w:val="continue"/>
          </w:tcPr>
          <w:p>
            <w:pPr>
              <w:spacing w:after="0"/>
              <w:rPr>
                <w:sz w:val="20"/>
                <w:szCs w:val="20"/>
                <w:color w:val="auto"/>
              </w:rPr>
            </w:pPr>
          </w:p>
        </w:tc>
        <w:tc>
          <w:tcPr>
            <w:tcW w:w="1460" w:type="dxa"/>
            <w:vAlign w:val="bottom"/>
            <w:tcBorders>
              <w:bottom w:val="single" w:sz="8" w:color="auto"/>
              <w:right w:val="single" w:sz="8" w:color="auto"/>
            </w:tcBorders>
            <w:vMerge w:val="continue"/>
          </w:tcPr>
          <w:p>
            <w:pPr>
              <w:spacing w:after="0"/>
              <w:rPr>
                <w:sz w:val="20"/>
                <w:szCs w:val="20"/>
                <w:color w:val="auto"/>
              </w:rPr>
            </w:pPr>
          </w:p>
        </w:tc>
        <w:tc>
          <w:tcPr>
            <w:tcW w:w="17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140" w:type="dxa"/>
            <w:vAlign w:val="bottom"/>
            <w:tcBorders>
              <w:left w:val="single" w:sz="8" w:color="auto"/>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The Hong</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15,000,000.00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15,000,000.00</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Kong and</w:t>
            </w:r>
          </w:p>
        </w:tc>
        <w:tc>
          <w:tcPr>
            <w:tcW w:w="15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Shanghai</w:t>
            </w:r>
          </w:p>
        </w:tc>
        <w:tc>
          <w:tcPr>
            <w:tcW w:w="1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Banking</w:t>
            </w:r>
          </w:p>
        </w:tc>
        <w:tc>
          <w:tcPr>
            <w:tcW w:w="15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Corporation</w:t>
            </w:r>
          </w:p>
        </w:tc>
        <w:tc>
          <w:tcPr>
            <w:tcW w:w="15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Limited,</w:t>
            </w:r>
          </w:p>
        </w:tc>
        <w:tc>
          <w:tcPr>
            <w:tcW w:w="1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Sydney</w:t>
            </w:r>
          </w:p>
        </w:tc>
        <w:tc>
          <w:tcPr>
            <w:tcW w:w="15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Branch</w:t>
            </w:r>
          </w:p>
        </w:tc>
        <w:tc>
          <w:tcPr>
            <w:tcW w:w="15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$200,000,000.00</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$35,000,000.00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$245,000,000.00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*Assumes USD/CAD FX rate of 1.25x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Schedule 2.01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09" w:right="1440" w:bottom="1440" w:gutter="0" w:footer="0" w:header="0"/>
        </w:sectPr>
      </w:pPr>
    </w:p>
    <w:bookmarkStart w:id="237" w:name="page238"/>
    <w:bookmarkEnd w:id="237"/>
    <w:tbl>
      <w:tblPr>
        <w:tblLayout w:type="fixed"/>
        <w:tblInd w:w="3330" w:type="dxa"/>
        <w:tblCellMar>
          <w:top w:w="0" w:type="dxa"/>
          <w:left w:w="0" w:type="dxa"/>
          <w:bottom w:w="0" w:type="dxa"/>
          <w:right w:w="0" w:type="dxa"/>
        </w:tblCellMar>
      </w:tblPr>
      <w:tr>
        <w:trPr>
          <w:trHeight w:val="262"/>
        </w:trPr>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SCHEDULE 2.21</w:t>
            </w: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2480" w:type="dxa"/>
            <w:vAlign w:val="bottom"/>
            <w:gridSpan w:val="4"/>
          </w:tcPr>
          <w:p>
            <w:pPr>
              <w:jc w:val="center"/>
              <w:ind w:left="87"/>
              <w:spacing w:after="0"/>
              <w:rPr>
                <w:sz w:val="20"/>
                <w:szCs w:val="20"/>
                <w:color w:val="auto"/>
              </w:rPr>
            </w:pPr>
            <w:r>
              <w:rPr>
                <w:rFonts w:ascii="Times New Roman" w:cs="Times New Roman" w:eastAsia="Times New Roman" w:hAnsi="Times New Roman"/>
                <w:sz w:val="20"/>
                <w:szCs w:val="20"/>
                <w:b w:val="1"/>
                <w:bCs w:val="1"/>
                <w:color w:val="auto"/>
                <w:w w:val="98"/>
              </w:rPr>
              <w:t>L/C Issuance Limits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980" w:type="dxa"/>
            <w:vAlign w:val="bottom"/>
          </w:tcPr>
          <w:p>
            <w:pPr>
              <w:spacing w:after="0"/>
              <w:rPr>
                <w:sz w:val="24"/>
                <w:szCs w:val="24"/>
                <w:color w:val="auto"/>
              </w:rPr>
            </w:pPr>
          </w:p>
        </w:tc>
        <w:tc>
          <w:tcPr>
            <w:tcW w:w="2480" w:type="dxa"/>
            <w:vAlign w:val="bottom"/>
            <w:gridSpan w:val="4"/>
          </w:tcPr>
          <w:p>
            <w:pPr>
              <w:jc w:val="center"/>
              <w:ind w:left="67"/>
              <w:spacing w:after="0"/>
              <w:rPr>
                <w:sz w:val="20"/>
                <w:szCs w:val="20"/>
                <w:color w:val="auto"/>
              </w:rPr>
            </w:pPr>
            <w:r>
              <w:rPr>
                <w:rFonts w:ascii="Times New Roman" w:cs="Times New Roman" w:eastAsia="Times New Roman" w:hAnsi="Times New Roman"/>
                <w:sz w:val="20"/>
                <w:szCs w:val="20"/>
                <w:color w:val="auto"/>
                <w:w w:val="98"/>
              </w:rPr>
              <w:t>(all amounts in U.S. dollars)</w:t>
            </w: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80" w:type="dxa"/>
            <w:vAlign w:val="bottom"/>
            <w:tcBorders>
              <w:left w:val="single" w:sz="8" w:color="auto"/>
              <w:right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b w:val="1"/>
                <w:bCs w:val="1"/>
                <w:color w:val="auto"/>
              </w:rPr>
              <w:t>Issuing</w:t>
            </w:r>
          </w:p>
        </w:tc>
        <w:tc>
          <w:tcPr>
            <w:tcW w:w="1380" w:type="dxa"/>
            <w:vAlign w:val="bottom"/>
            <w:tcBorders>
              <w:right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L/C Issuance</w:t>
            </w:r>
          </w:p>
        </w:tc>
        <w:tc>
          <w:tcPr>
            <w:tcW w:w="110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0" w:type="dxa"/>
            <w:vAlign w:val="bottom"/>
          </w:tcPr>
          <w:p>
            <w:pPr>
              <w:spacing w:after="0"/>
              <w:rPr>
                <w:sz w:val="1"/>
                <w:szCs w:val="1"/>
                <w:color w:val="auto"/>
              </w:rPr>
            </w:pPr>
          </w:p>
        </w:tc>
      </w:tr>
      <w:tr>
        <w:trPr>
          <w:trHeight w:val="243"/>
        </w:trPr>
        <w:tc>
          <w:tcPr>
            <w:tcW w:w="98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Bank</w:t>
            </w: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Limits</w:t>
            </w:r>
          </w:p>
        </w:tc>
        <w:tc>
          <w:tcPr>
            <w:tcW w:w="1100" w:type="dxa"/>
            <w:vAlign w:val="bottom"/>
            <w:tcBorders>
              <w:bottom w:val="single" w:sz="8" w:color="auto"/>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98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$10,000,000.00</w:t>
            </w:r>
          </w:p>
        </w:tc>
        <w:tc>
          <w:tcPr>
            <w:tcW w:w="11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Royal Bank</w:t>
            </w:r>
          </w:p>
        </w:tc>
        <w:tc>
          <w:tcPr>
            <w:tcW w:w="1380" w:type="dxa"/>
            <w:vAlign w:val="bottom"/>
            <w:tcBorders>
              <w:right w:val="single" w:sz="8" w:color="auto"/>
            </w:tcBorders>
            <w:gridSpan w:val="2"/>
            <w:vMerge w:val="continue"/>
          </w:tcPr>
          <w:p>
            <w:pPr>
              <w:spacing w:after="0"/>
              <w:rPr>
                <w:sz w:val="20"/>
                <w:szCs w:val="20"/>
                <w:color w:val="auto"/>
              </w:rPr>
            </w:pPr>
          </w:p>
        </w:tc>
        <w:tc>
          <w:tcPr>
            <w:tcW w:w="11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Revolving</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Canada</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Facility</w:t>
            </w:r>
          </w:p>
        </w:tc>
        <w:tc>
          <w:tcPr>
            <w:tcW w:w="0" w:type="dxa"/>
            <w:vAlign w:val="bottom"/>
          </w:tcPr>
          <w:p>
            <w:pPr>
              <w:spacing w:after="0"/>
              <w:rPr>
                <w:sz w:val="1"/>
                <w:szCs w:val="1"/>
                <w:color w:val="auto"/>
              </w:rPr>
            </w:pPr>
          </w:p>
        </w:tc>
      </w:tr>
      <w:tr>
        <w:trPr>
          <w:trHeight w:val="371"/>
        </w:trPr>
        <w:tc>
          <w:tcPr>
            <w:tcW w:w="98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Australian</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Royal Bank</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$10,000,000.00</w:t>
            </w:r>
          </w:p>
        </w:tc>
        <w:tc>
          <w:tcPr>
            <w:tcW w:w="11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Revolving</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Canada</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Facility</w:t>
            </w:r>
          </w:p>
        </w:tc>
        <w:tc>
          <w:tcPr>
            <w:tcW w:w="0" w:type="dxa"/>
            <w:vAlign w:val="bottom"/>
          </w:tcPr>
          <w:p>
            <w:pPr>
              <w:spacing w:after="0"/>
              <w:rPr>
                <w:sz w:val="1"/>
                <w:szCs w:val="1"/>
                <w:color w:val="auto"/>
              </w:rPr>
            </w:pPr>
          </w:p>
        </w:tc>
      </w:tr>
      <w:tr>
        <w:trPr>
          <w:trHeight w:val="371"/>
        </w:trPr>
        <w:tc>
          <w:tcPr>
            <w:tcW w:w="98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Canadian</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Royal Bank</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$25,000,000.00</w:t>
            </w:r>
          </w:p>
        </w:tc>
        <w:tc>
          <w:tcPr>
            <w:tcW w:w="11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Revolving</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Canada</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Facility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Schedule 2.21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sectPr>
      <w:pgSz w:w="11900" w:h="16838" w:orient="portrait"/>
      <w:cols w:equalWidth="0" w:num="1">
        <w:col w:w="10139"/>
      </w:cols>
      <w:pgMar w:left="320" w:top="1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B64D4"/>
    <w:multiLevelType w:val="hybridMultilevel"/>
    <w:lvl w:ilvl="0">
      <w:lvlJc w:val="left"/>
      <w:lvlText w:val="☐"/>
      <w:numFmt w:val="bullet"/>
      <w:start w:val="1"/>
    </w:lvl>
  </w:abstractNum>
  <w:abstractNum w:abstractNumId="1">
    <w:nsid w:val="78B5E776"/>
    <w:multiLevelType w:val="hybridMultilevel"/>
    <w:lvl w:ilvl="0">
      <w:lvlJc w:val="left"/>
      <w:lvlText w:val="(%1)"/>
      <w:numFmt w:val="lowerRoman"/>
      <w:start w:val="1"/>
    </w:lvl>
  </w:abstractNum>
  <w:abstractNum w:abstractNumId="2">
    <w:nsid w:val="75486E47"/>
    <w:multiLevelType w:val="hybridMultilevel"/>
    <w:lvl w:ilvl="0">
      <w:lvlJc w:val="left"/>
      <w:lvlText w:val="(%1)"/>
      <w:numFmt w:val="lowerLetter"/>
      <w:start w:val="4"/>
    </w:lvl>
  </w:abstractNum>
  <w:abstractNum w:abstractNumId="3">
    <w:nsid w:val="6E534CDE"/>
    <w:multiLevelType w:val="hybridMultilevel"/>
    <w:lvl w:ilvl="0">
      <w:lvlJc w:val="left"/>
      <w:lvlText w:val="1"/>
      <w:numFmt w:val="bullet"/>
      <w:start w:val="1"/>
    </w:lvl>
  </w:abstractNum>
  <w:abstractNum w:abstractNumId="4">
    <w:nsid w:val="1A0DDE32"/>
    <w:multiLevelType w:val="hybridMultilevel"/>
    <w:lvl w:ilvl="0">
      <w:lvlJc w:val="left"/>
      <w:lvlText w:val="%1."/>
      <w:numFmt w:val="upperLetter"/>
      <w:start w:val="1"/>
    </w:lvl>
  </w:abstractNum>
  <w:abstractNum w:abstractNumId="5">
    <w:nsid w:val="65968C1C"/>
    <w:multiLevelType w:val="hybridMultilevel"/>
    <w:lvl w:ilvl="0">
      <w:lvlJc w:val="left"/>
      <w:lvlText w:val="(%1)"/>
      <w:numFmt w:val="lowerLetter"/>
      <w:start w:val="1"/>
    </w:lvl>
  </w:abstractNum>
  <w:abstractNum w:abstractNumId="6">
    <w:nsid w:val="46263DEC"/>
    <w:multiLevelType w:val="hybridMultilevel"/>
    <w:lvl w:ilvl="0">
      <w:lvlJc w:val="left"/>
      <w:lvlText w:val="(%1)"/>
      <w:numFmt w:val="lowerLetter"/>
      <w:start w:val="2"/>
    </w:lvl>
  </w:abstractNum>
  <w:abstractNum w:abstractNumId="7">
    <w:nsid w:val="260D8C4A"/>
    <w:multiLevelType w:val="hybridMultilevel"/>
    <w:lvl w:ilvl="0">
      <w:lvlJc w:val="left"/>
      <w:lvlText w:val="(%1)"/>
      <w:numFmt w:val="lowerLetter"/>
      <w:start w:val="1"/>
    </w:lvl>
    <w:lvl w:ilvl="1">
      <w:lvlJc w:val="left"/>
      <w:lvlText w:val="(%2)"/>
      <w:numFmt w:val="lowerRoman"/>
      <w:start w:val="1"/>
    </w:lvl>
  </w:abstractNum>
  <w:abstractNum w:abstractNumId="8">
    <w:nsid w:val="73D4D3C4"/>
    <w:multiLevelType w:val="hybridMultilevel"/>
    <w:lvl w:ilvl="0">
      <w:lvlJc w:val="left"/>
      <w:lvlText w:val="%1"/>
      <w:numFmt w:val="lowerLetter"/>
      <w:start w:val="1"/>
    </w:lvl>
    <w:lvl w:ilvl="1">
      <w:lvlJc w:val="left"/>
      <w:lvlText w:val="(%2)"/>
      <w:numFmt w:val="lowerRoman"/>
      <w:start w:val="4"/>
    </w:lvl>
  </w:abstractNum>
  <w:abstractNum w:abstractNumId="9">
    <w:nsid w:val="746F2E30"/>
    <w:multiLevelType w:val="hybridMultilevel"/>
    <w:lvl w:ilvl="0">
      <w:lvlJc w:val="left"/>
      <w:lvlText w:val="(%1)"/>
      <w:numFmt w:val="lowerLetter"/>
      <w:start w:val="6"/>
    </w:lvl>
    <w:lvl w:ilvl="1">
      <w:lvlJc w:val="left"/>
      <w:lvlText w:val="%2"/>
      <w:numFmt w:val="lowerRoman"/>
      <w:start w:val="1"/>
    </w:lvl>
  </w:abstractNum>
  <w:abstractNum w:abstractNumId="10">
    <w:nsid w:val="6FDE8AF6"/>
    <w:multiLevelType w:val="hybridMultilevel"/>
    <w:lvl w:ilvl="0">
      <w:lvlJc w:val="left"/>
      <w:lvlText w:val="(%1)"/>
      <w:numFmt w:val="lowerLetter"/>
      <w:start w:val="1"/>
    </w:lvl>
  </w:abstractNum>
  <w:abstractNum w:abstractNumId="11">
    <w:nsid w:val="3FC32E20"/>
    <w:multiLevelType w:val="hybridMultilevel"/>
    <w:lvl w:ilvl="0">
      <w:lvlJc w:val="left"/>
      <w:lvlText w:val="(%1)"/>
      <w:numFmt w:val="lowerLetter"/>
      <w:start w:val="1"/>
    </w:lvl>
  </w:abstractNum>
  <w:abstractNum w:abstractNumId="12">
    <w:nsid w:val="49C0E823"/>
    <w:multiLevelType w:val="hybridMultilevel"/>
    <w:lvl w:ilvl="0">
      <w:lvlJc w:val="left"/>
      <w:lvlText w:val="(%1)"/>
      <w:numFmt w:val="lowerLetter"/>
      <w:start w:val="5"/>
    </w:lvl>
  </w:abstractNum>
  <w:abstractNum w:abstractNumId="13">
    <w:nsid w:val="14D53685"/>
    <w:multiLevelType w:val="hybridMultilevel"/>
    <w:lvl w:ilvl="0">
      <w:lvlJc w:val="left"/>
      <w:lvlText w:val="2"/>
      <w:numFmt w:val="bullet"/>
      <w:start w:val="1"/>
    </w:lvl>
  </w:abstractNum>
  <w:abstractNum w:abstractNumId="14">
    <w:nsid w:val="230F856C"/>
    <w:multiLevelType w:val="hybridMultilevel"/>
    <w:lvl w:ilvl="0">
      <w:lvlJc w:val="left"/>
      <w:lvlText w:val="(%1)"/>
      <w:numFmt w:val="lowerRoman"/>
      <w:start w:val="10"/>
    </w:lvl>
  </w:abstractNum>
  <w:abstractNum w:abstractNumId="15">
    <w:nsid w:val="6EAA85FB"/>
    <w:multiLevelType w:val="hybridMultilevel"/>
    <w:lvl w:ilvl="0">
      <w:lvlJc w:val="left"/>
      <w:lvlText w:val="(%1)"/>
      <w:numFmt w:val="lowerLetter"/>
      <w:start w:val="1"/>
    </w:lvl>
  </w:abstractNum>
  <w:abstractNum w:abstractNumId="16">
    <w:nsid w:val="3F06ECB2"/>
    <w:multiLevelType w:val="hybridMultilevel"/>
    <w:lvl w:ilvl="0">
      <w:lvlJc w:val="left"/>
      <w:lvlText w:val="(%1)"/>
      <w:numFmt w:val="lowerLetter"/>
      <w:start w:val="1"/>
    </w:lvl>
  </w:abstractNum>
  <w:abstractNum w:abstractNumId="17">
    <w:nsid w:val="3B594807"/>
    <w:multiLevelType w:val="hybridMultilevel"/>
    <w:lvl w:ilvl="0">
      <w:lvlJc w:val="left"/>
      <w:lvlText w:val="(%1)"/>
      <w:numFmt w:val="decimal"/>
      <w:start w:val="1"/>
    </w:lvl>
  </w:abstractNum>
  <w:abstractNum w:abstractNumId="18">
    <w:nsid w:val="6CAA2304"/>
    <w:multiLevelType w:val="hybridMultilevel"/>
    <w:lvl w:ilvl="0">
      <w:lvlJc w:val="left"/>
      <w:lvlText w:val="(%1)"/>
      <w:numFmt w:val="decimal"/>
      <w:start w:val="1"/>
    </w:lvl>
  </w:abstractNum>
  <w:abstractNum w:abstractNumId="19">
    <w:nsid w:val="3F7C2FF4"/>
    <w:multiLevelType w:val="hybridMultilevel"/>
    <w:lvl w:ilvl="0">
      <w:lvlJc w:val="left"/>
      <w:lvlText w:val="(%1)"/>
      <w:numFmt w:val="lowerLetter"/>
      <w:start w:val="1"/>
    </w:lvl>
  </w:abstractNum>
  <w:abstractNum w:abstractNumId="20">
    <w:nsid w:val="25413BEC"/>
    <w:multiLevelType w:val="hybridMultilevel"/>
    <w:lvl w:ilvl="0">
      <w:lvlJc w:val="left"/>
      <w:lvlText w:val="%1"/>
      <w:numFmt w:val="decimal"/>
      <w:start w:val="1"/>
    </w:lvl>
    <w:lvl w:ilvl="1">
      <w:lvlJc w:val="left"/>
      <w:lvlText w:val="(%2)"/>
      <w:numFmt w:val="lowerLetter"/>
      <w:start w:val="1"/>
    </w:lvl>
  </w:abstractNum>
  <w:abstractNum w:abstractNumId="21">
    <w:nsid w:val="17180B0B"/>
    <w:multiLevelType w:val="hybridMultilevel"/>
    <w:lvl w:ilvl="0">
      <w:lvlJc w:val="left"/>
      <w:lvlText w:val="(%1)"/>
      <w:numFmt w:val="decimal"/>
      <w:start w:val="2"/>
    </w:lvl>
    <w:lvl w:ilvl="1">
      <w:lvlJc w:val="left"/>
      <w:lvlText w:val="(%2)"/>
      <w:numFmt w:val="lowerLetter"/>
      <w:start w:val="2"/>
    </w:lvl>
  </w:abstractNum>
  <w:abstractNum w:abstractNumId="22">
    <w:nsid w:val="579328B9"/>
    <w:multiLevelType w:val="hybridMultilevel"/>
    <w:lvl w:ilvl="0">
      <w:lvlJc w:val="left"/>
      <w:lvlText w:val="(%1)"/>
      <w:numFmt w:val="lowerLetter"/>
      <w:start w:val="2"/>
    </w:lvl>
  </w:abstractNum>
  <w:abstractNum w:abstractNumId="23">
    <w:nsid w:val="5D205E20"/>
    <w:multiLevelType w:val="hybridMultilevel"/>
    <w:lvl w:ilvl="0">
      <w:lvlJc w:val="left"/>
      <w:lvlText w:val="(%1)"/>
      <w:numFmt w:val="lowerLetter"/>
      <w:start w:val="2"/>
    </w:lvl>
  </w:abstractNum>
  <w:abstractNum w:abstractNumId="24">
    <w:nsid w:val="11CCA8BA"/>
    <w:multiLevelType w:val="hybridMultilevel"/>
    <w:lvl w:ilvl="0">
      <w:lvlJc w:val="left"/>
      <w:lvlText w:val="(%1)"/>
      <w:numFmt w:val="lowerLetter"/>
      <w:start w:val="61"/>
    </w:lvl>
  </w:abstractNum>
  <w:abstractNum w:abstractNumId="25">
    <w:nsid w:val="4D32AB86"/>
    <w:multiLevelType w:val="hybridMultilevel"/>
    <w:lvl w:ilvl="0">
      <w:lvlJc w:val="left"/>
      <w:lvlText w:val="(%1)"/>
      <w:numFmt w:val="lowerRoman"/>
      <w:start w:val="3"/>
    </w:lvl>
  </w:abstractNum>
  <w:abstractNum w:abstractNumId="26">
    <w:nsid w:val="3F07ACC3"/>
    <w:multiLevelType w:val="hybridMultilevel"/>
    <w:lvl w:ilvl="0">
      <w:lvlJc w:val="left"/>
      <w:lvlText w:val="(%1)"/>
      <w:numFmt w:val="lowerLetter"/>
      <w:start w:val="8"/>
    </w:lvl>
  </w:abstractNum>
  <w:abstractNum w:abstractNumId="27">
    <w:nsid w:val="6B47F63E"/>
    <w:multiLevelType w:val="hybridMultilevel"/>
    <w:lvl w:ilvl="0">
      <w:lvlJc w:val="left"/>
      <w:lvlText w:val="(%1)"/>
      <w:numFmt w:val="lowerLetter"/>
      <w:start w:val="2"/>
    </w:lvl>
  </w:abstractNum>
  <w:abstractNum w:abstractNumId="28">
    <w:nsid w:val="5CB44A05"/>
    <w:multiLevelType w:val="hybridMultilevel"/>
    <w:lvl w:ilvl="0">
      <w:lvlJc w:val="left"/>
      <w:lvlText w:val="(%1)"/>
      <w:numFmt w:val="lowerLetter"/>
      <w:start w:val="6"/>
    </w:lvl>
  </w:abstractNum>
  <w:abstractNum w:abstractNumId="29">
    <w:nsid w:val="16CF80F1"/>
    <w:multiLevelType w:val="hybridMultilevel"/>
    <w:lvl w:ilvl="0">
      <w:lvlJc w:val="left"/>
      <w:lvlText w:val="(%1)"/>
      <w:numFmt w:val="lowerLetter"/>
      <w:start w:val="8"/>
    </w:lvl>
  </w:abstractNum>
  <w:abstractNum w:abstractNumId="30">
    <w:nsid w:val="1C695DEC"/>
    <w:multiLevelType w:val="hybridMultilevel"/>
    <w:lvl w:ilvl="0">
      <w:lvlJc w:val="left"/>
      <w:lvlText w:val="(%1)"/>
      <w:numFmt w:val="lowerLetter"/>
      <w:start w:val="1"/>
    </w:lvl>
  </w:abstractNum>
  <w:abstractNum w:abstractNumId="31">
    <w:nsid w:val="3FCFAED9"/>
    <w:multiLevelType w:val="hybridMultilevel"/>
    <w:lvl w:ilvl="0">
      <w:lvlJc w:val="left"/>
      <w:lvlText w:val="(%1)"/>
      <w:numFmt w:val="lowerLetter"/>
      <w:start w:val="1"/>
    </w:lvl>
  </w:abstractNum>
  <w:abstractNum w:abstractNumId="32">
    <w:nsid w:val="F856867"/>
    <w:multiLevelType w:val="hybridMultilevel"/>
    <w:lvl w:ilvl="0">
      <w:lvlJc w:val="left"/>
      <w:lvlText w:val="(%1)"/>
      <w:numFmt w:val="lowerLetter"/>
      <w:start w:val="1"/>
    </w:lvl>
  </w:abstractNum>
  <w:abstractNum w:abstractNumId="33">
    <w:nsid w:val="11B1CC33"/>
    <w:multiLevelType w:val="hybridMultilevel"/>
    <w:lvl w:ilvl="0">
      <w:lvlJc w:val="left"/>
      <w:lvlText w:val="½"/>
      <w:numFmt w:val="bullet"/>
      <w:start w:val="1"/>
    </w:lvl>
  </w:abstractNum>
  <w:abstractNum w:abstractNumId="34">
    <w:nsid w:val="2E22FBB7"/>
    <w:multiLevelType w:val="hybridMultilevel"/>
    <w:lvl w:ilvl="0">
      <w:lvlJc w:val="left"/>
      <w:lvlText w:val="(%1)"/>
      <w:numFmt w:val="lowerLetter"/>
      <w:start w:val="3"/>
    </w:lvl>
  </w:abstractNum>
  <w:abstractNum w:abstractNumId="35">
    <w:nsid w:val="29934699"/>
    <w:multiLevelType w:val="hybridMultilevel"/>
    <w:lvl w:ilvl="0">
      <w:lvlJc w:val="left"/>
      <w:lvlText w:val="(%1)"/>
      <w:numFmt w:val="lowerLetter"/>
      <w:start w:val="1"/>
    </w:lvl>
  </w:abstractNum>
  <w:abstractNum w:abstractNumId="36">
    <w:nsid w:val="77485850"/>
    <w:multiLevelType w:val="hybridMultilevel"/>
    <w:lvl w:ilvl="0">
      <w:lvlJc w:val="left"/>
      <w:lvlText w:val="."/>
      <w:numFmt w:val="bullet"/>
      <w:start w:val="1"/>
    </w:lvl>
  </w:abstractNum>
  <w:abstractNum w:abstractNumId="37">
    <w:nsid w:val="744939A3"/>
    <w:multiLevelType w:val="hybridMultilevel"/>
    <w:lvl w:ilvl="0">
      <w:lvlJc w:val="left"/>
      <w:lvlText w:val="."/>
      <w:numFmt w:val="bullet"/>
      <w:start w:val="1"/>
    </w:lvl>
  </w:abstractNum>
  <w:abstractNum w:abstractNumId="38">
    <w:nsid w:val="4FA0D2E3"/>
    <w:multiLevelType w:val="hybridMultilevel"/>
    <w:lvl w:ilvl="0">
      <w:lvlJc w:val="left"/>
      <w:lvlText w:val="."/>
      <w:numFmt w:val="bullet"/>
      <w:start w:val="1"/>
    </w:lvl>
  </w:abstractNum>
  <w:abstractNum w:abstractNumId="39">
    <w:nsid w:val="6B1D2C14"/>
    <w:multiLevelType w:val="hybridMultilevel"/>
    <w:lvl w:ilvl="0">
      <w:lvlJc w:val="left"/>
      <w:lvlText w:val="."/>
      <w:numFmt w:val="bullet"/>
      <w:start w:val="1"/>
    </w:lvl>
  </w:abstractNum>
  <w:abstractNum w:abstractNumId="40">
    <w:nsid w:val="68B867D3"/>
    <w:multiLevelType w:val="hybridMultilevel"/>
    <w:lvl w:ilvl="0">
      <w:lvlJc w:val="left"/>
      <w:lvlText w:val="."/>
      <w:numFmt w:val="bullet"/>
      <w:start w:val="1"/>
    </w:lvl>
  </w:abstractNum>
  <w:abstractNum w:abstractNumId="41">
    <w:nsid w:val="3F7F5DD9"/>
    <w:multiLevelType w:val="hybridMultilevel"/>
    <w:lvl w:ilvl="0">
      <w:lvlJc w:val="left"/>
      <w:lvlText w:val="(%1)"/>
      <w:numFmt w:val="lowerLetter"/>
      <w:start w:val="1"/>
    </w:lvl>
  </w:abstractNum>
  <w:abstractNum w:abstractNumId="42">
    <w:nsid w:val="2AE05A34"/>
    <w:multiLevelType w:val="hybridMultilevel"/>
    <w:lvl w:ilvl="0">
      <w:lvlJc w:val="left"/>
      <w:lvlText w:val="(%1)"/>
      <w:numFmt w:val="lowerLetter"/>
      <w:start w:val="2"/>
    </w:lvl>
  </w:abstractNum>
  <w:abstractNum w:abstractNumId="43">
    <w:nsid w:val="32794FF7"/>
    <w:multiLevelType w:val="hybridMultilevel"/>
    <w:lvl w:ilvl="0">
      <w:lvlJc w:val="left"/>
      <w:lvlText w:val="."/>
      <w:numFmt w:val="bullet"/>
      <w:start w:val="1"/>
    </w:lvl>
    <w:lvl w:ilvl="1">
      <w:lvlJc w:val="left"/>
      <w:lvlText w:val="(%2)"/>
      <w:numFmt w:val="lowerLetter"/>
      <w:start w:val="1"/>
    </w:lvl>
  </w:abstractNum>
  <w:abstractNum w:abstractNumId="44">
    <w:nsid w:val="5454945E"/>
    <w:multiLevelType w:val="hybridMultilevel"/>
    <w:lvl w:ilvl="0">
      <w:lvlJc w:val="left"/>
      <w:lvlText w:val="(%1)"/>
      <w:numFmt w:val="lowerLetter"/>
      <w:start w:val="5"/>
    </w:lvl>
  </w:abstractNum>
  <w:abstractNum w:abstractNumId="45">
    <w:nsid w:val="4DEFDFA0"/>
    <w:multiLevelType w:val="hybridMultilevel"/>
    <w:lvl w:ilvl="0">
      <w:lvlJc w:val="left"/>
      <w:lvlText w:val="."/>
      <w:numFmt w:val="bullet"/>
      <w:start w:val="1"/>
    </w:lvl>
  </w:abstractNum>
  <w:abstractNum w:abstractNumId="46">
    <w:nsid w:val="2123D5F2"/>
    <w:multiLevelType w:val="hybridMultilevel"/>
    <w:lvl w:ilvl="0">
      <w:lvlJc w:val="left"/>
      <w:lvlText w:val="(%1)"/>
      <w:numFmt w:val="lowerLetter"/>
      <w:start w:val="2"/>
    </w:lvl>
  </w:abstractNum>
  <w:abstractNum w:abstractNumId="47">
    <w:nsid w:val="135B8110"/>
    <w:multiLevelType w:val="hybridMultilevel"/>
    <w:lvl w:ilvl="0">
      <w:lvlJc w:val="left"/>
      <w:lvlText w:val="(%1)"/>
      <w:numFmt w:val="lowerLetter"/>
      <w:start w:val="3"/>
    </w:lvl>
  </w:abstractNum>
  <w:abstractNum w:abstractNumId="48">
    <w:nsid w:val="94927A8"/>
    <w:multiLevelType w:val="hybridMultilevel"/>
    <w:lvl w:ilvl="0">
      <w:lvlJc w:val="left"/>
      <w:lvlText w:val="(%1)"/>
      <w:numFmt w:val="lowerLetter"/>
      <w:start w:val="5"/>
    </w:lvl>
  </w:abstractNum>
  <w:abstractNum w:abstractNumId="49">
    <w:nsid w:val="DCDF8F6"/>
    <w:multiLevelType w:val="hybridMultilevel"/>
    <w:lvl w:ilvl="0">
      <w:lvlJc w:val="left"/>
      <w:lvlText w:val="."/>
      <w:numFmt w:val="bullet"/>
      <w:start w:val="1"/>
    </w:lvl>
  </w:abstractNum>
  <w:abstractNum w:abstractNumId="50">
    <w:nsid w:val="52D7B105"/>
    <w:multiLevelType w:val="hybridMultilevel"/>
    <w:lvl w:ilvl="0">
      <w:lvlJc w:val="left"/>
      <w:lvlText w:val="(%1)"/>
      <w:numFmt w:val="lowerLetter"/>
      <w:start w:val="2"/>
    </w:lvl>
  </w:abstractNum>
  <w:abstractNum w:abstractNumId="51">
    <w:nsid w:val="2E8A6394"/>
    <w:multiLevelType w:val="hybridMultilevel"/>
    <w:lvl w:ilvl="0">
      <w:lvlJc w:val="left"/>
      <w:lvlText w:val="(%1)"/>
      <w:numFmt w:val="lowerLetter"/>
      <w:start w:val="3"/>
    </w:lvl>
  </w:abstractNum>
  <w:abstractNum w:abstractNumId="52">
    <w:nsid w:val="24E60401"/>
    <w:multiLevelType w:val="hybridMultilevel"/>
    <w:lvl w:ilvl="0">
      <w:lvlJc w:val="left"/>
      <w:lvlText w:val="(%1)"/>
      <w:numFmt w:val="lowerLetter"/>
      <w:start w:val="1"/>
    </w:lvl>
  </w:abstractNum>
  <w:abstractNum w:abstractNumId="53">
    <w:nsid w:val="2A6AD9BE"/>
    <w:multiLevelType w:val="hybridMultilevel"/>
    <w:lvl w:ilvl="0">
      <w:lvlJc w:val="left"/>
      <w:lvlText w:val="(%1)"/>
      <w:numFmt w:val="lowerLetter"/>
      <w:start w:val="2"/>
    </w:lvl>
  </w:abstractNum>
  <w:abstractNum w:abstractNumId="54">
    <w:nsid w:val="BAAC1B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55">
    <w:nsid w:val="36B2ACB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56">
    <w:nsid w:val="779D8544"/>
    <w:multiLevelType w:val="hybridMultilevel"/>
    <w:lvl w:ilvl="0">
      <w:lvlJc w:val="left"/>
      <w:lvlText w:val="(%1)"/>
      <w:numFmt w:val="lowerLetter"/>
      <w:start w:val="3"/>
    </w:lvl>
  </w:abstractNum>
  <w:abstractNum w:abstractNumId="57">
    <w:nsid w:val="4AB26E78"/>
    <w:multiLevelType w:val="hybridMultilevel"/>
    <w:lvl w:ilvl="0">
      <w:lvlJc w:val="left"/>
      <w:lvlText w:val="(%1)"/>
      <w:numFmt w:val="lowerLetter"/>
      <w:start w:val="4"/>
    </w:lvl>
  </w:abstractNum>
  <w:abstractNum w:abstractNumId="58">
    <w:nsid w:val="21FAA2FA"/>
    <w:multiLevelType w:val="hybridMultilevel"/>
    <w:lvl w:ilvl="0">
      <w:lvlJc w:val="left"/>
      <w:lvlText w:val="."/>
      <w:numFmt w:val="bullet"/>
      <w:start w:val="1"/>
    </w:lvl>
  </w:abstractNum>
  <w:abstractNum w:abstractNumId="59">
    <w:nsid w:val="5451CF49"/>
    <w:multiLevelType w:val="hybridMultilevel"/>
    <w:lvl w:ilvl="0">
      <w:lvlJc w:val="left"/>
      <w:lvlText w:val="(%1)"/>
      <w:numFmt w:val="lowerLetter"/>
      <w:start w:val="2"/>
    </w:lvl>
  </w:abstractNum>
  <w:abstractNum w:abstractNumId="60">
    <w:nsid w:val="6181EF69"/>
    <w:multiLevelType w:val="hybridMultilevel"/>
    <w:lvl w:ilvl="0">
      <w:lvlJc w:val="left"/>
      <w:lvlText w:val="(%1)"/>
      <w:numFmt w:val="lowerLetter"/>
      <w:start w:val="5"/>
    </w:lvl>
  </w:abstractNum>
  <w:abstractNum w:abstractNumId="61">
    <w:nsid w:val="3E6400E6"/>
    <w:multiLevelType w:val="hybridMultilevel"/>
    <w:lvl w:ilvl="0">
      <w:lvlJc w:val="left"/>
      <w:lvlText w:val="(%1)"/>
      <w:numFmt w:val="lowerLetter"/>
      <w:start w:val="11"/>
    </w:lvl>
  </w:abstractNum>
  <w:abstractNum w:abstractNumId="62">
    <w:nsid w:val="14217E23"/>
    <w:multiLevelType w:val="hybridMultilevel"/>
    <w:lvl w:ilvl="0">
      <w:lvlJc w:val="left"/>
      <w:lvlText w:val="."/>
      <w:numFmt w:val="bullet"/>
      <w:start w:val="1"/>
    </w:lvl>
  </w:abstractNum>
  <w:abstractNum w:abstractNumId="63">
    <w:nsid w:val="710757D0"/>
    <w:multiLevelType w:val="hybridMultilevel"/>
    <w:lvl w:ilvl="0">
      <w:lvlJc w:val="left"/>
      <w:lvlText w:val="."/>
      <w:numFmt w:val="bullet"/>
      <w:start w:val="1"/>
    </w:lvl>
  </w:abstractNum>
  <w:abstractNum w:abstractNumId="64">
    <w:nsid w:val="5015CD1A"/>
    <w:multiLevelType w:val="hybridMultilevel"/>
    <w:lvl w:ilvl="0">
      <w:lvlJc w:val="left"/>
      <w:lvlText w:val="(%1)"/>
      <w:numFmt w:val="lowerLetter"/>
      <w:start w:val="2"/>
    </w:lvl>
  </w:abstractNum>
  <w:abstractNum w:abstractNumId="65">
    <w:nsid w:val="424479DA"/>
    <w:multiLevelType w:val="hybridMultilevel"/>
    <w:lvl w:ilvl="0">
      <w:lvlJc w:val="left"/>
      <w:lvlText w:val="(%1)"/>
      <w:numFmt w:val="lowerLetter"/>
      <w:start w:val="3"/>
    </w:lvl>
  </w:abstractNum>
  <w:abstractNum w:abstractNumId="66">
    <w:nsid w:val="1A9A9E69"/>
    <w:multiLevelType w:val="hybridMultilevel"/>
    <w:lvl w:ilvl="0">
      <w:lvlJc w:val="left"/>
      <w:lvlText w:val="."/>
      <w:numFmt w:val="bullet"/>
      <w:start w:val="1"/>
    </w:lvl>
  </w:abstractNum>
  <w:abstractNum w:abstractNumId="67">
    <w:nsid w:val="475E256A"/>
    <w:multiLevelType w:val="hybridMultilevel"/>
    <w:lvl w:ilvl="0">
      <w:lvlJc w:val="left"/>
      <w:lvlText w:val="(%1)"/>
      <w:numFmt w:val="lowerLetter"/>
      <w:start w:val="2"/>
    </w:lvl>
  </w:abstractNum>
  <w:abstractNum w:abstractNumId="68">
    <w:nsid w:val="368DB37E"/>
    <w:multiLevelType w:val="hybridMultilevel"/>
    <w:lvl w:ilvl="0">
      <w:lvlJc w:val="left"/>
      <w:lvlText w:val="(%1)"/>
      <w:numFmt w:val="lowerLetter"/>
      <w:start w:val="4"/>
    </w:lvl>
  </w:abstractNum>
  <w:abstractNum w:abstractNumId="69">
    <w:nsid w:val="6A3B714C"/>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abstractNum w:abstractNumId="70">
    <w:nsid w:val="327B517E"/>
    <w:multiLevelType w:val="hybridMultilevel"/>
    <w:lvl w:ilvl="0">
      <w:lvlJc w:val="left"/>
      <w:lvlText w:val="(%1)"/>
      <w:numFmt w:val="lowerRoman"/>
      <w:start w:val="3"/>
    </w:lvl>
  </w:abstractNum>
  <w:abstractNum w:abstractNumId="71">
    <w:nsid w:val="1F461B51"/>
    <w:multiLevelType w:val="hybridMultilevel"/>
    <w:lvl w:ilvl="0">
      <w:lvlJc w:val="left"/>
      <w:lvlText w:val="."/>
      <w:numFmt w:val="bullet"/>
      <w:start w:val="1"/>
    </w:lvl>
  </w:abstractNum>
  <w:abstractNum w:abstractNumId="72">
    <w:nsid w:val="29BACF25"/>
    <w:multiLevelType w:val="hybridMultilevel"/>
    <w:lvl w:ilvl="0">
      <w:lvlJc w:val="left"/>
      <w:lvlText w:val="(%1)"/>
      <w:numFmt w:val="lowerLetter"/>
      <w:start w:val="2"/>
    </w:lvl>
  </w:abstractNum>
  <w:abstractNum w:abstractNumId="73">
    <w:nsid w:val="5D5BABB3"/>
    <w:multiLevelType w:val="hybridMultilevel"/>
    <w:lvl w:ilvl="0">
      <w:lvlJc w:val="left"/>
      <w:lvlText w:val="."/>
      <w:numFmt w:val="bullet"/>
      <w:start w:val="1"/>
    </w:lvl>
  </w:abstractNum>
  <w:abstractNum w:abstractNumId="74">
    <w:nsid w:val="51BF6B48"/>
    <w:multiLevelType w:val="hybridMultilevel"/>
    <w:lvl w:ilvl="0">
      <w:lvlJc w:val="left"/>
      <w:lvlText w:val="(%1)"/>
      <w:numFmt w:val="lowerLetter"/>
      <w:start w:val="2"/>
    </w:lvl>
  </w:abstractNum>
  <w:abstractNum w:abstractNumId="75">
    <w:nsid w:val="7E0F6384"/>
    <w:multiLevelType w:val="hybridMultilevel"/>
    <w:lvl w:ilvl="0">
      <w:lvlJc w:val="left"/>
      <w:lvlText w:val="."/>
      <w:numFmt w:val="bullet"/>
      <w:start w:val="1"/>
    </w:lvl>
  </w:abstractNum>
  <w:abstractNum w:abstractNumId="76">
    <w:nsid w:val="2B4B8B53"/>
    <w:multiLevelType w:val="hybridMultilevel"/>
    <w:lvl w:ilvl="0">
      <w:lvlJc w:val="left"/>
      <w:lvlText w:val="(%1)"/>
      <w:numFmt w:val="lowerLetter"/>
      <w:start w:val="2"/>
    </w:lvl>
  </w:abstractNum>
  <w:abstractNum w:abstractNumId="77">
    <w:nsid w:val="72E3413A"/>
    <w:multiLevelType w:val="hybridMultilevel"/>
    <w:lvl w:ilvl="0">
      <w:lvlJc w:val="left"/>
      <w:lvlText w:val="(%1)"/>
      <w:numFmt w:val="lowerLetter"/>
      <w:start w:val="3"/>
    </w:lvl>
  </w:abstractNum>
  <w:abstractNum w:abstractNumId="78">
    <w:nsid w:val="116AE494"/>
    <w:multiLevelType w:val="hybridMultilevel"/>
    <w:lvl w:ilvl="0">
      <w:lvlJc w:val="left"/>
      <w:lvlText w:val="."/>
      <w:numFmt w:val="bullet"/>
      <w:start w:val="1"/>
    </w:lvl>
  </w:abstractNum>
  <w:abstractNum w:abstractNumId="79">
    <w:nsid w:val="3494B2FB"/>
    <w:multiLevelType w:val="hybridMultilevel"/>
    <w:lvl w:ilvl="0">
      <w:lvlJc w:val="left"/>
      <w:lvlText w:val="."/>
      <w:numFmt w:val="bullet"/>
      <w:start w:val="1"/>
    </w:lvl>
  </w:abstractNum>
  <w:abstractNum w:abstractNumId="80">
    <w:nsid w:val="B13A31"/>
    <w:multiLevelType w:val="hybridMultilevel"/>
    <w:lvl w:ilvl="0">
      <w:lvlJc w:val="left"/>
      <w:lvlText w:val="(%1)"/>
      <w:numFmt w:val="lowerRoman"/>
      <w:start w:val="1"/>
    </w:lvl>
  </w:abstractNum>
  <w:abstractNum w:abstractNumId="81">
    <w:nsid w:val="64429599"/>
    <w:multiLevelType w:val="hybridMultilevel"/>
    <w:lvl w:ilvl="0">
      <w:lvlJc w:val="left"/>
      <w:lvlText w:val="."/>
      <w:numFmt w:val="bullet"/>
      <w:start w:val="1"/>
    </w:lvl>
  </w:abstractNum>
  <w:abstractNum w:abstractNumId="82">
    <w:nsid w:val="631F1690"/>
    <w:multiLevelType w:val="hybridMultilevel"/>
    <w:lvl w:ilvl="0">
      <w:lvlJc w:val="left"/>
      <w:lvlText w:val="."/>
      <w:numFmt w:val="bullet"/>
      <w:start w:val="1"/>
    </w:lvl>
  </w:abstractNum>
  <w:abstractNum w:abstractNumId="83">
    <w:nsid w:val="25973E32"/>
    <w:multiLevelType w:val="hybridMultilevel"/>
    <w:lvl w:ilvl="0">
      <w:lvlJc w:val="left"/>
      <w:lvlText w:val="(%1)"/>
      <w:numFmt w:val="lowerLetter"/>
      <w:start w:val="2"/>
    </w:lvl>
  </w:abstractNum>
  <w:abstractNum w:abstractNumId="84">
    <w:nsid w:val="EAD6F57"/>
    <w:multiLevelType w:val="hybridMultilevel"/>
    <w:lvl w:ilvl="0">
      <w:lvlJc w:val="left"/>
      <w:lvlText w:val="(%1)"/>
      <w:numFmt w:val="lowerLetter"/>
      <w:start w:val="4"/>
    </w:lvl>
    <w:lvl w:ilvl="1">
      <w:lvlJc w:val="left"/>
      <w:lvlText w:val="(%2)"/>
      <w:numFmt w:val="lowerRoman"/>
      <w:start w:val="1"/>
    </w:lvl>
  </w:abstractNum>
  <w:abstractNum w:abstractNumId="85">
    <w:nsid w:val="6EC9D844"/>
    <w:multiLevelType w:val="hybridMultilevel"/>
    <w:lvl w:ilvl="0">
      <w:lvlJc w:val="left"/>
      <w:lvlText w:val="(%1)"/>
      <w:numFmt w:val="lowerRoman"/>
      <w:start w:val="3"/>
    </w:lvl>
    <w:lvl w:ilvl="1">
      <w:lvlJc w:val="left"/>
      <w:lvlText w:val="(%2)"/>
      <w:numFmt w:val="upperLetter"/>
      <w:start w:val="1"/>
    </w:lvl>
  </w:abstractNum>
  <w:abstractNum w:abstractNumId="86">
    <w:nsid w:val="5C49EAEE"/>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87">
    <w:nsid w:val="64AF49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88">
    <w:nsid w:val="397C46BC"/>
    <w:multiLevelType w:val="hybridMultilevel"/>
    <w:lvl w:ilvl="0">
      <w:lvlJc w:val="left"/>
      <w:lvlText w:val="(%1)"/>
      <w:numFmt w:val="lowerLetter"/>
      <w:start w:val="5"/>
    </w:lvl>
  </w:abstractNum>
  <w:abstractNum w:abstractNumId="89">
    <w:nsid w:val="7E448DE9"/>
    <w:multiLevelType w:val="hybridMultilevel"/>
    <w:lvl w:ilvl="0">
      <w:lvlJc w:val="left"/>
      <w:lvlText w:val="."/>
      <w:numFmt w:val="bullet"/>
      <w:start w:val="1"/>
    </w:lvl>
  </w:abstractNum>
  <w:abstractNum w:abstractNumId="90">
    <w:nsid w:val="5A9CC3E5"/>
    <w:multiLevelType w:val="hybridMultilevel"/>
    <w:lvl w:ilvl="0">
      <w:lvlJc w:val="left"/>
      <w:lvlText w:val="(%1)"/>
      <w:numFmt w:val="lowerLetter"/>
      <w:start w:val="2"/>
    </w:lvl>
  </w:abstractNum>
  <w:abstractNum w:abstractNumId="91">
    <w:nsid w:val="1AFE3625"/>
    <w:multiLevelType w:val="hybridMultilevel"/>
    <w:lvl w:ilvl="0">
      <w:lvlJc w:val="left"/>
      <w:lvlText w:val="(%1)"/>
      <w:numFmt w:val="lowerLetter"/>
      <w:start w:val="1"/>
    </w:lvl>
  </w:abstractNum>
  <w:abstractNum w:abstractNumId="92">
    <w:nsid w:val="3CA88ECF"/>
    <w:multiLevelType w:val="hybridMultilevel"/>
    <w:lvl w:ilvl="0">
      <w:lvlJc w:val="left"/>
      <w:lvlText w:val="(%1)"/>
      <w:numFmt w:val="lowerLetter"/>
      <w:start w:val="3"/>
    </w:lvl>
  </w:abstractNum>
  <w:abstractNum w:abstractNumId="93">
    <w:nsid w:val="6EBE4208"/>
    <w:multiLevelType w:val="hybridMultilevel"/>
    <w:lvl w:ilvl="0">
      <w:lvlJc w:val="left"/>
      <w:lvlText w:val="(%1)"/>
      <w:numFmt w:val="lowerLetter"/>
      <w:start w:val="7"/>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94">
    <w:nsid w:val="C058DF5"/>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95">
    <w:nsid w:val="CBE5BE9"/>
    <w:multiLevelType w:val="hybridMultilevel"/>
    <w:lvl w:ilvl="0">
      <w:lvlJc w:val="left"/>
      <w:lvlText w:val="(%1)"/>
      <w:numFmt w:val="upperLetter"/>
      <w:start w:val="3"/>
    </w:lvl>
    <w:lvl w:ilvl="1">
      <w:lvlJc w:val="left"/>
      <w:lvlText w:val="(%2)"/>
      <w:numFmt w:val="upperLetter"/>
      <w:start w:val="2"/>
    </w:lvl>
    <w:lvl w:ilvl="2">
      <w:lvlJc w:val="left"/>
      <w:lvlText w:val="(%3)"/>
      <w:numFmt w:val="decimal"/>
      <w:start w:val="4"/>
    </w:lvl>
  </w:abstractNum>
  <w:abstractNum w:abstractNumId="96">
    <w:nsid w:val="3102BBE2"/>
    <w:multiLevelType w:val="hybridMultilevel"/>
    <w:lvl w:ilvl="0">
      <w:lvlJc w:val="left"/>
      <w:lvlText w:val="(%1)"/>
      <w:numFmt w:val="upperLetter"/>
      <w:start w:val="5"/>
    </w:lvl>
  </w:abstractNum>
  <w:abstractNum w:abstractNumId="97">
    <w:nsid w:val="26A02C5E"/>
    <w:multiLevelType w:val="hybridMultilevel"/>
    <w:lvl w:ilvl="0">
      <w:lvlJc w:val="left"/>
      <w:lvlText w:val="%1"/>
      <w:numFmt w:val="lowerLetter"/>
      <w:start w:val="1"/>
    </w:lvl>
    <w:lvl w:ilvl="1">
      <w:lvlJc w:val="left"/>
      <w:lvlText w:val="(%2)"/>
      <w:numFmt w:val="lowerLetter"/>
      <w:start w:val="8"/>
    </w:lvl>
  </w:abstractNum>
  <w:abstractNum w:abstractNumId="98">
    <w:nsid w:val="541C8153"/>
    <w:multiLevelType w:val="hybridMultilevel"/>
    <w:lvl w:ilvl="0">
      <w:lvlJc w:val="left"/>
      <w:lvlText w:val="(%1)"/>
      <w:numFmt w:val="lowerLetter"/>
      <w:start w:val="35"/>
    </w:lvl>
    <w:lvl w:ilvl="1">
      <w:lvlJc w:val="left"/>
      <w:lvlText w:val="(%2)"/>
      <w:numFmt w:val="lowerLetter"/>
      <w:start w:val="9"/>
    </w:lvl>
  </w:abstractNum>
  <w:abstractNum w:abstractNumId="99">
    <w:nsid w:val="67906F60"/>
    <w:multiLevelType w:val="hybridMultilevel"/>
    <w:lvl w:ilvl="0">
      <w:lvlJc w:val="left"/>
      <w:lvlText w:val="(%1)"/>
      <w:numFmt w:val="lowerLetter"/>
      <w:start w:val="10"/>
    </w:lvl>
    <w:lvl w:ilvl="1">
      <w:lvlJc w:val="left"/>
      <w:lvlText w:val="(%2)"/>
      <w:numFmt w:val="lowerRoman"/>
      <w:start w:val="2"/>
    </w:lvl>
    <w:lvl w:ilvl="2">
      <w:lvlJc w:val="left"/>
      <w:lvlText w:val="(%3)"/>
      <w:numFmt w:val="upperLetter"/>
      <w:start w:val="1"/>
    </w:lvl>
  </w:abstractNum>
  <w:abstractNum w:abstractNumId="100">
    <w:nsid w:val="10DB9DAA"/>
    <w:multiLevelType w:val="hybridMultilevel"/>
    <w:lvl w:ilvl="0">
      <w:lvlJc w:val="left"/>
      <w:lvlText w:val="(%1)"/>
      <w:numFmt w:val="lowerRoman"/>
      <w:start w:val="3"/>
    </w:lvl>
  </w:abstractNum>
  <w:abstractNum w:abstractNumId="101">
    <w:nsid w:val="697D2D2"/>
    <w:multiLevelType w:val="hybridMultilevel"/>
    <w:lvl w:ilvl="0">
      <w:lvlJc w:val="left"/>
      <w:lvlText w:val="."/>
      <w:numFmt w:val="bullet"/>
      <w:start w:val="1"/>
    </w:lvl>
  </w:abstractNum>
  <w:abstractNum w:abstractNumId="102">
    <w:nsid w:val="6D68AB2"/>
    <w:multiLevelType w:val="hybridMultilevel"/>
    <w:lvl w:ilvl="0">
      <w:lvlJc w:val="left"/>
      <w:lvlText w:val="(%1)"/>
      <w:numFmt w:val="lowerLetter"/>
      <w:start w:val="2"/>
    </w:lvl>
  </w:abstractNum>
  <w:abstractNum w:abstractNumId="103">
    <w:nsid w:val="3A966CD0"/>
    <w:multiLevelType w:val="hybridMultilevel"/>
    <w:lvl w:ilvl="0">
      <w:lvlJc w:val="left"/>
      <w:lvlText w:val="(%1)"/>
      <w:numFmt w:val="lowerLetter"/>
      <w:start w:val="1"/>
    </w:lvl>
  </w:abstractNum>
  <w:abstractNum w:abstractNumId="104">
    <w:nsid w:val="63F37E85"/>
    <w:multiLevelType w:val="hybridMultilevel"/>
    <w:lvl w:ilvl="0">
      <w:lvlJc w:val="left"/>
      <w:lvlText w:val="(%1)"/>
      <w:numFmt w:val="lowerLetter"/>
      <w:start w:val="3"/>
    </w:lvl>
  </w:abstractNum>
  <w:abstractNum w:abstractNumId="105">
    <w:nsid w:val="5895F5FA"/>
    <w:multiLevelType w:val="hybridMultilevel"/>
    <w:lvl w:ilvl="0">
      <w:lvlJc w:val="left"/>
      <w:lvlText w:val="(%1)"/>
      <w:numFmt w:val="lowerLetter"/>
      <w:start w:val="4"/>
    </w:lvl>
  </w:abstractNum>
  <w:abstractNum w:abstractNumId="106">
    <w:nsid w:val="38A5D054"/>
    <w:multiLevelType w:val="hybridMultilevel"/>
    <w:lvl w:ilvl="0">
      <w:lvlJc w:val="left"/>
      <w:lvlText w:val="(%1)"/>
      <w:numFmt w:val="lowerLetter"/>
      <w:start w:val="5"/>
    </w:lvl>
    <w:lvl w:ilvl="1">
      <w:lvlJc w:val="left"/>
      <w:lvlText w:val="(%2)"/>
      <w:numFmt w:val="lowerRoman"/>
      <w:start w:val="1"/>
    </w:lvl>
  </w:abstractNum>
  <w:abstractNum w:abstractNumId="107">
    <w:nsid w:val="F3F09D8"/>
    <w:multiLevelType w:val="hybridMultilevel"/>
    <w:lvl w:ilvl="0">
      <w:lvlJc w:val="left"/>
      <w:lvlText w:val="(%1)"/>
      <w:numFmt w:val="lowerRoman"/>
      <w:start w:val="6"/>
    </w:lvl>
  </w:abstractNum>
  <w:abstractNum w:abstractNumId="108">
    <w:nsid w:val="4B793735"/>
    <w:multiLevelType w:val="hybridMultilevel"/>
    <w:lvl w:ilvl="0">
      <w:lvlJc w:val="left"/>
      <w:lvlText w:val="(%1)"/>
      <w:numFmt w:val="lowerLetter"/>
      <w:start w:val="7"/>
    </w:lvl>
    <w:lvl w:ilvl="1">
      <w:lvlJc w:val="left"/>
      <w:lvlText w:val="(%2)"/>
      <w:numFmt w:val="lowerRoman"/>
      <w:start w:val="1"/>
    </w:lvl>
  </w:abstractNum>
  <w:abstractNum w:abstractNumId="109">
    <w:nsid w:val="4A10B4E8"/>
    <w:multiLevelType w:val="hybridMultilevel"/>
    <w:lvl w:ilvl="0">
      <w:lvlJc w:val="left"/>
      <w:lvlText w:val="(%1)"/>
      <w:numFmt w:val="lowerLetter"/>
      <w:start w:val="8"/>
    </w:lvl>
  </w:abstractNum>
  <w:abstractNum w:abstractNumId="110">
    <w:nsid w:val="43D3BCD4"/>
    <w:multiLevelType w:val="hybridMultilevel"/>
    <w:lvl w:ilvl="0">
      <w:lvlJc w:val="left"/>
      <w:lvlText w:val="(%1)"/>
      <w:numFmt w:val="lowerLetter"/>
      <w:start w:val="11"/>
    </w:lvl>
  </w:abstractNum>
  <w:abstractNum w:abstractNumId="111">
    <w:nsid w:val="4C2A7166"/>
    <w:multiLevelType w:val="hybridMultilevel"/>
    <w:lvl w:ilvl="0">
      <w:lvlJc w:val="left"/>
      <w:lvlText w:val="(%1)"/>
      <w:numFmt w:val="lowerLetter"/>
      <w:start w:val="12"/>
    </w:lvl>
  </w:abstractNum>
  <w:abstractNum w:abstractNumId="112">
    <w:nsid w:val="2E534A82"/>
    <w:multiLevelType w:val="hybridMultilevel"/>
    <w:lvl w:ilvl="0">
      <w:lvlJc w:val="left"/>
      <w:lvlText w:val="(%1)"/>
      <w:numFmt w:val="lowerLetter"/>
      <w:start w:val="15"/>
    </w:lvl>
  </w:abstractNum>
  <w:abstractNum w:abstractNumId="113">
    <w:nsid w:val="26F2D364"/>
    <w:multiLevelType w:val="hybridMultilevel"/>
    <w:lvl w:ilvl="0">
      <w:lvlJc w:val="left"/>
      <w:lvlText w:val="(%1)"/>
      <w:numFmt w:val="lowerLetter"/>
      <w:start w:val="1"/>
    </w:lvl>
    <w:lvl w:ilvl="1">
      <w:lvlJc w:val="left"/>
      <w:lvlText w:val="(%2)"/>
      <w:numFmt w:val="lowerLetter"/>
      <w:start w:val="9"/>
    </w:lvl>
  </w:abstractNum>
  <w:abstractNum w:abstractNumId="114">
    <w:nsid w:val="71C1AF98"/>
    <w:multiLevelType w:val="hybridMultilevel"/>
    <w:lvl w:ilvl="0">
      <w:lvlJc w:val="left"/>
      <w:lvlText w:val="%1"/>
      <w:numFmt w:val="lowerLetter"/>
      <w:start w:val="1"/>
    </w:lvl>
    <w:lvl w:ilvl="1">
      <w:lvlJc w:val="left"/>
      <w:lvlText w:val="(%2)"/>
      <w:numFmt w:val="lowerLetter"/>
      <w:start w:val="35"/>
    </w:lvl>
  </w:abstractNum>
  <w:abstractNum w:abstractNumId="115">
    <w:nsid w:val="3D00B9D9"/>
    <w:multiLevelType w:val="hybridMultilevel"/>
    <w:lvl w:ilvl="0">
      <w:lvlJc w:val="left"/>
      <w:lvlText w:val="(%1)"/>
      <w:numFmt w:val="lowerLetter"/>
      <w:start w:val="2"/>
    </w:lvl>
    <w:lvl w:ilvl="1">
      <w:lvlJc w:val="left"/>
      <w:lvlText w:val="%2"/>
      <w:numFmt w:val="lowerLetter"/>
      <w:start w:val="1"/>
    </w:lvl>
  </w:abstractNum>
  <w:abstractNum w:abstractNumId="116">
    <w:nsid w:val="15BCABA8"/>
    <w:multiLevelType w:val="hybridMultilevel"/>
    <w:lvl w:ilvl="0">
      <w:lvlJc w:val="left"/>
      <w:lvlText w:val="(%1)"/>
      <w:numFmt w:val="lowerLetter"/>
      <w:start w:val="3"/>
    </w:lvl>
  </w:abstractNum>
  <w:abstractNum w:abstractNumId="117">
    <w:nsid w:val="4E0B9A87"/>
    <w:multiLevelType w:val="hybridMultilevel"/>
    <w:lvl w:ilvl="0">
      <w:lvlJc w:val="left"/>
      <w:lvlText w:val="(%1)"/>
      <w:numFmt w:val="lowerRoman"/>
      <w:start w:val="2"/>
    </w:lvl>
  </w:abstractNum>
  <w:abstractNum w:abstractNumId="118">
    <w:nsid w:val="434BAE75"/>
    <w:multiLevelType w:val="hybridMultilevel"/>
    <w:lvl w:ilvl="0">
      <w:lvlJc w:val="left"/>
      <w:lvlText w:val="(%1)"/>
      <w:numFmt w:val="lowerLetter"/>
      <w:start w:val="4"/>
    </w:lvl>
    <w:lvl w:ilvl="1">
      <w:lvlJc w:val="left"/>
      <w:lvlText w:val="(%2)"/>
      <w:numFmt w:val="lowerLetter"/>
      <w:start w:val="35"/>
    </w:lvl>
  </w:abstractNum>
  <w:abstractNum w:abstractNumId="119">
    <w:nsid w:val="4F38F265"/>
    <w:multiLevelType w:val="hybridMultilevel"/>
    <w:lvl w:ilvl="0">
      <w:lvlJc w:val="left"/>
      <w:lvlText w:val="(%1)"/>
      <w:numFmt w:val="lowerLetter"/>
      <w:start w:val="1"/>
    </w:lvl>
  </w:abstractNum>
  <w:abstractNum w:abstractNumId="120">
    <w:nsid w:val="4C502870"/>
    <w:multiLevelType w:val="hybridMultilevel"/>
    <w:lvl w:ilvl="0">
      <w:lvlJc w:val="left"/>
      <w:lvlText w:val="(%1)"/>
      <w:numFmt w:val="lowerRoman"/>
      <w:start w:val="1"/>
    </w:lvl>
    <w:lvl w:ilvl="1">
      <w:lvlJc w:val="left"/>
      <w:lvlText w:val="(%2)"/>
      <w:numFmt w:val="upperLetter"/>
      <w:start w:val="1"/>
    </w:lvl>
  </w:abstractNum>
  <w:abstractNum w:abstractNumId="121">
    <w:nsid w:val="1DE8725A"/>
    <w:multiLevelType w:val="hybridMultilevel"/>
    <w:lvl w:ilvl="0">
      <w:lvlJc w:val="left"/>
      <w:lvlText w:val="(%1)"/>
      <w:numFmt w:val="upperLetter"/>
      <w:start w:val="8"/>
    </w:lvl>
  </w:abstractNum>
  <w:abstractNum w:abstractNumId="122">
    <w:nsid w:val="6A37288A"/>
    <w:multiLevelType w:val="hybridMultilevel"/>
    <w:lvl w:ilvl="0">
      <w:lvlJc w:val="left"/>
      <w:lvlText w:val="(%1)"/>
      <w:numFmt w:val="lowerLetter"/>
      <w:start w:val="2"/>
    </w:lvl>
    <w:lvl w:ilvl="1">
      <w:lvlJc w:val="left"/>
      <w:lvlText w:val="(%2)"/>
      <w:numFmt w:val="lowerRoman"/>
      <w:start w:val="2"/>
    </w:lvl>
  </w:abstractNum>
  <w:abstractNum w:abstractNumId="123">
    <w:nsid w:val="8F8B73F"/>
    <w:multiLevelType w:val="hybridMultilevel"/>
    <w:lvl w:ilvl="0">
      <w:lvlJc w:val="left"/>
      <w:lvlText w:val="%1"/>
      <w:numFmt w:val="lowerLetter"/>
      <w:start w:val="1"/>
    </w:lvl>
    <w:lvl w:ilvl="1">
      <w:lvlJc w:val="left"/>
      <w:lvlText w:val="(%2)"/>
      <w:numFmt w:val="lowerLetter"/>
      <w:start w:val="3"/>
    </w:lvl>
  </w:abstractNum>
  <w:abstractNum w:abstractNumId="124">
    <w:nsid w:val="CA6B462"/>
    <w:multiLevelType w:val="hybridMultilevel"/>
    <w:lvl w:ilvl="0">
      <w:lvlJc w:val="left"/>
      <w:lvlText w:val="(%1)"/>
      <w:numFmt w:val="lowerLetter"/>
      <w:start w:val="25"/>
    </w:lvl>
    <w:lvl w:ilvl="1">
      <w:lvlJc w:val="left"/>
      <w:lvlText w:val="(%2)"/>
      <w:numFmt w:val="lowerLetter"/>
      <w:start w:val="5"/>
    </w:lvl>
  </w:abstractNum>
  <w:abstractNum w:abstractNumId="125">
    <w:nsid w:val="763CB680"/>
    <w:multiLevelType w:val="hybridMultilevel"/>
    <w:lvl w:ilvl="0">
      <w:lvlJc w:val="left"/>
      <w:lvlText w:val="(%1)"/>
      <w:numFmt w:val="lowerLetter"/>
      <w:start w:val="6"/>
    </w:lvl>
  </w:abstractNum>
  <w:abstractNum w:abstractNumId="126">
    <w:nsid w:val="15B71329"/>
    <w:multiLevelType w:val="hybridMultilevel"/>
    <w:lvl w:ilvl="0">
      <w:lvlJc w:val="left"/>
      <w:lvlText w:val="(%1)"/>
      <w:numFmt w:val="lowerLetter"/>
      <w:start w:val="1"/>
    </w:lvl>
    <w:lvl w:ilvl="1">
      <w:lvlJc w:val="left"/>
      <w:lvlText w:val="(%2)"/>
      <w:numFmt w:val="upperLetter"/>
      <w:start w:val="1"/>
    </w:lvl>
  </w:abstractNum>
  <w:abstractNum w:abstractNumId="127">
    <w:nsid w:val="3DA97044"/>
    <w:multiLevelType w:val="hybridMultilevel"/>
    <w:lvl w:ilvl="0">
      <w:lvlJc w:val="left"/>
      <w:lvlText w:val="(%1)"/>
      <w:numFmt w:val="upperLetter"/>
      <w:start w:val="2"/>
    </w:lvl>
    <w:lvl w:ilvl="1">
      <w:lvlJc w:val="left"/>
      <w:lvlText w:val="(%2)"/>
      <w:numFmt w:val="decimal"/>
      <w:start w:val="1"/>
    </w:lvl>
  </w:abstractNum>
  <w:abstractNum w:abstractNumId="128">
    <w:nsid w:val="1CDCE2DE"/>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129">
    <w:nsid w:val="69D3947C"/>
    <w:multiLevelType w:val="hybridMultilevel"/>
    <w:lvl w:ilvl="0">
      <w:lvlJc w:val="left"/>
      <w:lvlText w:val="%1"/>
      <w:numFmt w:val="lowerLetter"/>
      <w:start w:val="1"/>
    </w:lvl>
    <w:lvl w:ilvl="1">
      <w:lvlJc w:val="left"/>
      <w:lvlText w:val="(%2)"/>
      <w:numFmt w:val="upperLetter"/>
      <w:start w:val="6"/>
    </w:lvl>
    <w:lvl w:ilvl="2">
      <w:lvlJc w:val="left"/>
      <w:lvlText w:val="%3"/>
      <w:numFmt w:val="decimal"/>
      <w:start w:val="1"/>
    </w:lvl>
  </w:abstractNum>
  <w:abstractNum w:abstractNumId="130">
    <w:nsid w:val="2539DFA5"/>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131">
    <w:nsid w:val="2DB88089"/>
    <w:multiLevelType w:val="hybridMultilevel"/>
    <w:lvl w:ilvl="0">
      <w:lvlJc w:val="left"/>
      <w:lvlText w:val="(%1)"/>
      <w:numFmt w:val="lowerLetter"/>
      <w:start w:val="1"/>
    </w:lvl>
    <w:lvl w:ilvl="1">
      <w:lvlJc w:val="left"/>
      <w:lvlText w:val="(%2)"/>
      <w:numFmt w:val="lowerRoman"/>
      <w:start w:val="1"/>
    </w:lvl>
  </w:abstractNum>
  <w:abstractNum w:abstractNumId="132">
    <w:nsid w:val="706B674E"/>
    <w:multiLevelType w:val="hybridMultilevel"/>
    <w:lvl w:ilvl="0">
      <w:lvlJc w:val="left"/>
      <w:lvlText w:val="(%1)"/>
      <w:numFmt w:val="lowerLetter"/>
      <w:start w:val="4"/>
    </w:lvl>
  </w:abstractNum>
  <w:abstractNum w:abstractNumId="133">
    <w:nsid w:val="2C106A57"/>
    <w:multiLevelType w:val="hybridMultilevel"/>
    <w:lvl w:ilvl="0">
      <w:lvlJc w:val="left"/>
      <w:lvlText w:val="(%1)"/>
      <w:numFmt w:val="lowerLetter"/>
      <w:start w:val="1"/>
    </w:lvl>
    <w:lvl w:ilvl="1">
      <w:lvlJc w:val="left"/>
      <w:lvlText w:val="(%2)"/>
      <w:numFmt w:val="lowerLetter"/>
      <w:start w:val="9"/>
    </w:lvl>
  </w:abstractNum>
  <w:abstractNum w:abstractNumId="134">
    <w:nsid w:val="684EED5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135">
    <w:nsid w:val="545EE5D3"/>
    <w:multiLevelType w:val="hybridMultilevel"/>
    <w:lvl w:ilvl="0">
      <w:lvlJc w:val="left"/>
      <w:lvlText w:val="(%1)"/>
      <w:numFmt w:val="lowerLetter"/>
      <w:start w:val="5"/>
    </w:lvl>
  </w:abstractNum>
  <w:abstractNum w:abstractNumId="136">
    <w:nsid w:val="4A66051"/>
    <w:multiLevelType w:val="hybridMultilevel"/>
    <w:lvl w:ilvl="0">
      <w:lvlJc w:val="left"/>
      <w:lvlText w:val="(%1)"/>
      <w:numFmt w:val="lowerLetter"/>
      <w:start w:val="1"/>
    </w:lvl>
  </w:abstractNum>
  <w:abstractNum w:abstractNumId="137">
    <w:nsid w:val="20F4BDAD"/>
    <w:multiLevelType w:val="hybridMultilevel"/>
    <w:lvl w:ilvl="0">
      <w:lvlJc w:val="left"/>
      <w:lvlText w:val="(%1)"/>
      <w:numFmt w:val="lowerLetter"/>
      <w:start w:val="3"/>
    </w:lvl>
  </w:abstractNum>
  <w:abstractNum w:abstractNumId="138">
    <w:nsid w:val="639DEFAC"/>
    <w:multiLevelType w:val="hybridMultilevel"/>
    <w:lvl w:ilvl="0">
      <w:lvlJc w:val="left"/>
      <w:lvlText w:val="(%1)"/>
      <w:numFmt w:val="lowerLetter"/>
      <w:start w:val="2"/>
    </w:lvl>
  </w:abstractNum>
  <w:abstractNum w:abstractNumId="139">
    <w:nsid w:val="501F9786"/>
    <w:multiLevelType w:val="hybridMultilevel"/>
    <w:lvl w:ilvl="0">
      <w:lvlJc w:val="left"/>
      <w:lvlText w:val="."/>
      <w:numFmt w:val="bullet"/>
      <w:start w:val="1"/>
    </w:lvl>
  </w:abstractNum>
  <w:abstractNum w:abstractNumId="140">
    <w:nsid w:val="6B057295"/>
    <w:multiLevelType w:val="hybridMultilevel"/>
    <w:lvl w:ilvl="0">
      <w:lvlJc w:val="left"/>
      <w:lvlText w:val="(%1)"/>
      <w:numFmt w:val="lowerRoman"/>
      <w:start w:val="9"/>
    </w:lvl>
    <w:lvl w:ilvl="1">
      <w:lvlJc w:val="left"/>
      <w:lvlText w:val="."/>
      <w:numFmt w:val="bullet"/>
      <w:start w:val="1"/>
    </w:lvl>
  </w:abstractNum>
  <w:abstractNum w:abstractNumId="141">
    <w:nsid w:val="2771AC80"/>
    <w:multiLevelType w:val="hybridMultilevel"/>
    <w:lvl w:ilvl="0">
      <w:lvlJc w:val="left"/>
      <w:lvlText w:val="."/>
      <w:numFmt w:val="bullet"/>
      <w:start w:val="1"/>
    </w:lvl>
  </w:abstractNum>
  <w:abstractNum w:abstractNumId="142">
    <w:nsid w:val="1C4A08EC"/>
    <w:multiLevelType w:val="hybridMultilevel"/>
    <w:lvl w:ilvl="0">
      <w:lvlJc w:val="left"/>
      <w:lvlText w:val="."/>
      <w:numFmt w:val="bullet"/>
      <w:start w:val="1"/>
    </w:lvl>
  </w:abstractNum>
  <w:abstractNum w:abstractNumId="143">
    <w:nsid w:val="1958BD17"/>
    <w:multiLevelType w:val="hybridMultilevel"/>
    <w:lvl w:ilvl="0">
      <w:lvlJc w:val="left"/>
      <w:lvlText w:val="."/>
      <w:numFmt w:val="bullet"/>
      <w:start w:val="1"/>
    </w:lvl>
  </w:abstractNum>
  <w:abstractNum w:abstractNumId="144">
    <w:nsid w:val="4E647FE4"/>
    <w:multiLevelType w:val="hybridMultilevel"/>
    <w:lvl w:ilvl="0">
      <w:lvlJc w:val="left"/>
      <w:lvlText w:val="."/>
      <w:numFmt w:val="bullet"/>
      <w:start w:val="1"/>
    </w:lvl>
  </w:abstractNum>
  <w:abstractNum w:abstractNumId="145">
    <w:nsid w:val="E0BB885"/>
    <w:multiLevelType w:val="hybridMultilevel"/>
    <w:lvl w:ilvl="0">
      <w:lvlJc w:val="left"/>
      <w:lvlText w:val="(%1)"/>
      <w:numFmt w:val="lowerLetter"/>
      <w:start w:val="1"/>
    </w:lvl>
  </w:abstractNum>
  <w:abstractNum w:abstractNumId="146">
    <w:nsid w:val="565976F1"/>
    <w:multiLevelType w:val="hybridMultilevel"/>
    <w:lvl w:ilvl="0">
      <w:lvlJc w:val="left"/>
      <w:lvlText w:val="."/>
      <w:numFmt w:val="bullet"/>
      <w:start w:val="1"/>
    </w:lvl>
  </w:abstractNum>
  <w:abstractNum w:abstractNumId="147">
    <w:nsid w:val="64212B8C"/>
    <w:multiLevelType w:val="hybridMultilevel"/>
    <w:lvl w:ilvl="0">
      <w:lvlJc w:val="left"/>
      <w:lvlText w:val="(%1)"/>
      <w:numFmt w:val="lowerLetter"/>
      <w:start w:val="1"/>
    </w:lvl>
  </w:abstractNum>
  <w:abstractNum w:abstractNumId="148">
    <w:nsid w:val="5C17530C"/>
    <w:multiLevelType w:val="hybridMultilevel"/>
    <w:lvl w:ilvl="0">
      <w:lvlJc w:val="left"/>
      <w:lvlText w:val="(%1)"/>
      <w:numFmt w:val="lowerLetter"/>
      <w:start w:val="3"/>
    </w:lvl>
  </w:abstractNum>
  <w:abstractNum w:abstractNumId="149">
    <w:nsid w:val="19A52566"/>
    <w:multiLevelType w:val="hybridMultilevel"/>
    <w:lvl w:ilvl="0">
      <w:lvlJc w:val="left"/>
      <w:lvlText w:val="."/>
      <w:numFmt w:val="bullet"/>
      <w:start w:val="1"/>
    </w:lvl>
  </w:abstractNum>
  <w:abstractNum w:abstractNumId="150">
    <w:nsid w:val="335A1DF1"/>
    <w:multiLevelType w:val="hybridMultilevel"/>
    <w:lvl w:ilvl="0">
      <w:lvlJc w:val="left"/>
      <w:lvlText w:val="(%1)"/>
      <w:numFmt w:val="lowerLetter"/>
      <w:start w:val="1"/>
    </w:lvl>
  </w:abstractNum>
  <w:abstractNum w:abstractNumId="151">
    <w:nsid w:val="28677B7C"/>
    <w:multiLevelType w:val="hybridMultilevel"/>
    <w:lvl w:ilvl="0">
      <w:lvlJc w:val="left"/>
      <w:lvlText w:val="."/>
      <w:numFmt w:val="bullet"/>
      <w:start w:val="1"/>
    </w:lvl>
  </w:abstractNum>
  <w:abstractNum w:abstractNumId="152">
    <w:nsid w:val="378D97C0"/>
    <w:multiLevelType w:val="hybridMultilevel"/>
    <w:lvl w:ilvl="0">
      <w:lvlJc w:val="left"/>
      <w:lvlText w:val="."/>
      <w:numFmt w:val="bullet"/>
      <w:start w:val="1"/>
    </w:lvl>
  </w:abstractNum>
  <w:abstractNum w:abstractNumId="153">
    <w:nsid w:val="1D91467C"/>
    <w:multiLevelType w:val="hybridMultilevel"/>
    <w:lvl w:ilvl="0">
      <w:lvlJc w:val="left"/>
      <w:lvlText w:val="."/>
      <w:numFmt w:val="bullet"/>
      <w:start w:val="1"/>
    </w:lvl>
  </w:abstractNum>
  <w:abstractNum w:abstractNumId="154">
    <w:nsid w:val="316032BB"/>
    <w:multiLevelType w:val="hybridMultilevel"/>
    <w:lvl w:ilvl="0">
      <w:lvlJc w:val="left"/>
      <w:lvlText w:val="(%1)"/>
      <w:numFmt w:val="lowerLetter"/>
      <w:start w:val="1"/>
    </w:lvl>
  </w:abstractNum>
  <w:abstractNum w:abstractNumId="155">
    <w:nsid w:val="44344C22"/>
    <w:multiLevelType w:val="hybridMultilevel"/>
    <w:lvl w:ilvl="0">
      <w:lvlJc w:val="left"/>
      <w:lvlText w:val="(%1)"/>
      <w:numFmt w:val="lowerLetter"/>
      <w:start w:val="3"/>
    </w:lvl>
    <w:lvl w:ilvl="1">
      <w:lvlJc w:val="left"/>
      <w:lvlText w:val="(%2)"/>
      <w:numFmt w:val="lowerRoman"/>
      <w:start w:val="1"/>
    </w:lvl>
  </w:abstractNum>
  <w:abstractNum w:abstractNumId="156">
    <w:nsid w:val="13CDFCFC"/>
    <w:multiLevelType w:val="hybridMultilevel"/>
    <w:lvl w:ilvl="0">
      <w:lvlJc w:val="left"/>
      <w:lvlText w:val="%1"/>
      <w:numFmt w:val="lowerLetter"/>
      <w:start w:val="1"/>
    </w:lvl>
    <w:lvl w:ilvl="1">
      <w:lvlJc w:val="left"/>
      <w:lvlText w:val="(%2)"/>
      <w:numFmt w:val="lowerLetter"/>
      <w:start w:val="1"/>
    </w:lvl>
  </w:abstractNum>
  <w:abstractNum w:abstractNumId="157">
    <w:nsid w:val="471745E4"/>
    <w:multiLevelType w:val="hybridMultilevel"/>
    <w:lvl w:ilvl="0">
      <w:lvlJc w:val="left"/>
      <w:lvlText w:val="(%1)"/>
      <w:numFmt w:val="lowerLetter"/>
      <w:start w:val="61"/>
    </w:lvl>
    <w:lvl w:ilvl="1">
      <w:lvlJc w:val="left"/>
      <w:lvlText w:val="%2"/>
      <w:numFmt w:val="lowerLetter"/>
      <w:start w:val="1"/>
    </w:lvl>
  </w:abstractNum>
  <w:abstractNum w:abstractNumId="158">
    <w:nsid w:val="1DDBC66"/>
    <w:multiLevelType w:val="hybridMultilevel"/>
    <w:lvl w:ilvl="0">
      <w:lvlJc w:val="left"/>
      <w:lvlText w:val="(%1)"/>
      <w:numFmt w:val="lowerLetter"/>
      <w:start w:val="2"/>
    </w:lvl>
  </w:abstractNum>
  <w:abstractNum w:abstractNumId="159">
    <w:nsid w:val="30AADFDA"/>
    <w:multiLevelType w:val="hybridMultilevel"/>
    <w:lvl w:ilvl="0">
      <w:lvlJc w:val="left"/>
      <w:lvlText w:val="."/>
      <w:numFmt w:val="bullet"/>
      <w:start w:val="1"/>
    </w:lvl>
  </w:abstractNum>
  <w:abstractNum w:abstractNumId="160">
    <w:nsid w:val="30EADA61"/>
    <w:multiLevelType w:val="hybridMultilevel"/>
    <w:lvl w:ilvl="0">
      <w:lvlJc w:val="left"/>
      <w:lvlText w:val="(%1)"/>
      <w:numFmt w:val="lowerLetter"/>
      <w:start w:val="1"/>
    </w:lvl>
  </w:abstractNum>
  <w:abstractNum w:abstractNumId="161">
    <w:nsid w:val="27179C0B"/>
    <w:multiLevelType w:val="hybridMultilevel"/>
    <w:lvl w:ilvl="0">
      <w:lvlJc w:val="left"/>
      <w:lvlText w:val="."/>
      <w:numFmt w:val="bullet"/>
      <w:start w:val="1"/>
    </w:lvl>
  </w:abstractNum>
  <w:abstractNum w:abstractNumId="162">
    <w:nsid w:val="5E636063"/>
    <w:multiLevelType w:val="hybridMultilevel"/>
    <w:lvl w:ilvl="0">
      <w:lvlJc w:val="left"/>
      <w:lvlText w:val="."/>
      <w:numFmt w:val="bullet"/>
      <w:start w:val="1"/>
    </w:lvl>
  </w:abstractNum>
  <w:abstractNum w:abstractNumId="163">
    <w:nsid w:val="215641AF"/>
    <w:multiLevelType w:val="hybridMultilevel"/>
    <w:lvl w:ilvl="0">
      <w:lvlJc w:val="left"/>
      <w:lvlText w:val="."/>
      <w:numFmt w:val="bullet"/>
      <w:start w:val="1"/>
    </w:lvl>
  </w:abstractNum>
  <w:abstractNum w:abstractNumId="164">
    <w:nsid w:val="53280662"/>
    <w:multiLevelType w:val="hybridMultilevel"/>
    <w:lvl w:ilvl="0">
      <w:lvlJc w:val="left"/>
      <w:lvlText w:val="."/>
      <w:numFmt w:val="bullet"/>
      <w:start w:val="1"/>
    </w:lvl>
  </w:abstractNum>
  <w:abstractNum w:abstractNumId="165">
    <w:nsid w:val="46B24DBC"/>
    <w:multiLevelType w:val="hybridMultilevel"/>
    <w:lvl w:ilvl="0">
      <w:lvlJc w:val="left"/>
      <w:lvlText w:val="."/>
      <w:numFmt w:val="bullet"/>
      <w:start w:val="1"/>
    </w:lvl>
  </w:abstractNum>
  <w:abstractNum w:abstractNumId="166">
    <w:nsid w:val="75B52783"/>
    <w:multiLevelType w:val="hybridMultilevel"/>
    <w:lvl w:ilvl="0">
      <w:lvlJc w:val="left"/>
      <w:lvlText w:val="."/>
      <w:numFmt w:val="bullet"/>
      <w:start w:val="1"/>
    </w:lvl>
  </w:abstractNum>
  <w:abstractNum w:abstractNumId="167">
    <w:nsid w:val="57CE66B4"/>
    <w:multiLevelType w:val="hybridMultilevel"/>
    <w:lvl w:ilvl="0">
      <w:lvlJc w:val="left"/>
      <w:lvlText w:val="."/>
      <w:numFmt w:val="bullet"/>
      <w:start w:val="1"/>
    </w:lvl>
    <w:lvl w:ilvl="1">
      <w:lvlJc w:val="left"/>
      <w:lvlText w:val="(%2)"/>
      <w:numFmt w:val="lowerLetter"/>
      <w:start w:val="1"/>
    </w:lvl>
  </w:abstractNum>
  <w:abstractNum w:abstractNumId="168">
    <w:nsid w:val="67A70B69"/>
    <w:multiLevelType w:val="hybridMultilevel"/>
    <w:lvl w:ilvl="0">
      <w:lvlJc w:val="left"/>
      <w:lvlText w:val="(%1)"/>
      <w:numFmt w:val="lowerLetter"/>
      <w:start w:val="5"/>
    </w:lvl>
  </w:abstractNum>
  <w:abstractNum w:abstractNumId="169">
    <w:nsid w:val="5953172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70">
    <w:nsid w:val="27EDFE3A"/>
    <w:multiLevelType w:val="hybridMultilevel"/>
    <w:lvl w:ilvl="0">
      <w:lvlJc w:val="left"/>
      <w:lvlText w:val="(%1)"/>
      <w:numFmt w:val="lowerRoman"/>
      <w:start w:val="6"/>
    </w:lvl>
  </w:abstractNum>
  <w:abstractNum w:abstractNumId="171">
    <w:nsid w:val="52AC7DFF"/>
    <w:multiLevelType w:val="hybridMultilevel"/>
    <w:lvl w:ilvl="0">
      <w:lvlJc w:val="left"/>
      <w:lvlText w:val="(%1)"/>
      <w:numFmt w:val="lowerRoman"/>
      <w:start w:val="9"/>
    </w:lvl>
  </w:abstractNum>
  <w:abstractNum w:abstractNumId="172">
    <w:nsid w:val="C4C3AF"/>
    <w:multiLevelType w:val="hybridMultilevel"/>
    <w:lvl w:ilvl="0">
      <w:lvlJc w:val="left"/>
      <w:lvlText w:val="%1"/>
      <w:numFmt w:val="lowerLetter"/>
      <w:start w:val="1"/>
    </w:lvl>
    <w:lvl w:ilvl="1">
      <w:lvlJc w:val="left"/>
      <w:lvlText w:val="(%2)"/>
      <w:numFmt w:val="lowerRoman"/>
      <w:start w:val="14"/>
    </w:lvl>
  </w:abstractNum>
  <w:abstractNum w:abstractNumId="173">
    <w:nsid w:val="44380727"/>
    <w:multiLevelType w:val="hybridMultilevel"/>
    <w:lvl w:ilvl="0">
      <w:lvlJc w:val="left"/>
      <w:lvlText w:val="(%1)"/>
      <w:numFmt w:val="lowerLetter"/>
      <w:start w:val="2"/>
    </w:lvl>
    <w:lvl w:ilvl="1">
      <w:lvlJc w:val="left"/>
      <w:lvlText w:val="%2"/>
      <w:numFmt w:val="lowerRoman"/>
      <w:start w:val="1"/>
    </w:lvl>
  </w:abstractNum>
  <w:abstractNum w:abstractNumId="174">
    <w:nsid w:val="6C053B16"/>
    <w:multiLevelType w:val="hybridMultilevel"/>
    <w:lvl w:ilvl="0">
      <w:lvlJc w:val="left"/>
      <w:lvlText w:val="(%1)"/>
      <w:numFmt w:val="lowerLetter"/>
      <w:start w:val="1"/>
    </w:lvl>
  </w:abstractNum>
  <w:abstractNum w:abstractNumId="175">
    <w:nsid w:val="4F294393"/>
    <w:multiLevelType w:val="hybridMultilevel"/>
    <w:lvl w:ilvl="0">
      <w:lvlJc w:val="left"/>
      <w:lvlText w:val="(%1)"/>
      <w:numFmt w:val="lowerLetter"/>
      <w:start w:val="1"/>
    </w:lvl>
  </w:abstractNum>
  <w:abstractNum w:abstractNumId="176">
    <w:nsid w:val="5243BFAC"/>
    <w:multiLevelType w:val="hybridMultilevel"/>
    <w:lvl w:ilvl="0">
      <w:lvlJc w:val="left"/>
      <w:lvlText w:val="(%1)"/>
      <w:numFmt w:val="lowerLetter"/>
      <w:start w:val="2"/>
    </w:lvl>
  </w:abstractNum>
  <w:abstractNum w:abstractNumId="177">
    <w:nsid w:val="425EB207"/>
    <w:multiLevelType w:val="hybridMultilevel"/>
    <w:lvl w:ilvl="0">
      <w:lvlJc w:val="left"/>
      <w:lvlText w:val="."/>
      <w:numFmt w:val="bullet"/>
      <w:start w:val="1"/>
    </w:lvl>
  </w:abstractNum>
  <w:abstractNum w:abstractNumId="178">
    <w:nsid w:val="334A6F1F"/>
    <w:multiLevelType w:val="hybridMultilevel"/>
    <w:lvl w:ilvl="0">
      <w:lvlJc w:val="left"/>
      <w:lvlText w:val="."/>
      <w:numFmt w:val="bullet"/>
      <w:start w:val="1"/>
    </w:lvl>
    <w:lvl w:ilvl="1">
      <w:lvlJc w:val="left"/>
      <w:lvlText w:val="(%2)"/>
      <w:numFmt w:val="lowerLetter"/>
      <w:start w:val="1"/>
    </w:lvl>
  </w:abstractNum>
  <w:abstractNum w:abstractNumId="179">
    <w:nsid w:val="2E5B12B8"/>
    <w:multiLevelType w:val="hybridMultilevel"/>
    <w:lvl w:ilvl="0">
      <w:lvlJc w:val="left"/>
      <w:lvlText w:val="(%1)"/>
      <w:numFmt w:val="lowerLetter"/>
      <w:start w:val="4"/>
    </w:lvl>
  </w:abstractNum>
  <w:abstractNum w:abstractNumId="180">
    <w:nsid w:val="5C03D76D"/>
    <w:multiLevelType w:val="hybridMultilevel"/>
    <w:lvl w:ilvl="0">
      <w:lvlJc w:val="left"/>
      <w:lvlText w:val="."/>
      <w:numFmt w:val="bullet"/>
      <w:start w:val="1"/>
    </w:lvl>
    <w:lvl w:ilvl="1">
      <w:lvlJc w:val="left"/>
      <w:lvlText w:val="(%2)"/>
      <w:numFmt w:val="lowerLetter"/>
      <w:start w:val="1"/>
    </w:lvl>
  </w:abstractNum>
  <w:abstractNum w:abstractNumId="181">
    <w:nsid w:val="66A48D11"/>
    <w:multiLevelType w:val="hybridMultilevel"/>
    <w:lvl w:ilvl="0">
      <w:lvlJc w:val="left"/>
      <w:lvlText w:val="(%1)"/>
      <w:numFmt w:val="lowerLetter"/>
    </w:lvl>
    <w:lvl w:ilvl="1">
      <w:lvlJc w:val="left"/>
      <w:lvlText w:val="."/>
      <w:numFmt w:val="bullet"/>
      <w:start w:val="1"/>
    </w:lvl>
  </w:abstractNum>
  <w:abstractNum w:abstractNumId="182">
    <w:nsid w:val="56C28E34"/>
    <w:multiLevelType w:val="hybridMultilevel"/>
    <w:lvl w:ilvl="0">
      <w:lvlJc w:val="left"/>
      <w:lvlText w:val="."/>
      <w:numFmt w:val="bullet"/>
      <w:start w:val="1"/>
    </w:lvl>
  </w:abstractNum>
  <w:abstractNum w:abstractNumId="183">
    <w:nsid w:val="13916F2D"/>
    <w:multiLevelType w:val="hybridMultilevel"/>
    <w:lvl w:ilvl="0">
      <w:lvlJc w:val="left"/>
      <w:lvlText w:val="."/>
      <w:numFmt w:val="bullet"/>
      <w:start w:val="1"/>
    </w:lvl>
    <w:lvl w:ilvl="1">
      <w:lvlJc w:val="left"/>
      <w:lvlText w:val="(%2)"/>
      <w:numFmt w:val="lowerLetter"/>
      <w:start w:val="1"/>
    </w:lvl>
  </w:abstractNum>
  <w:abstractNum w:abstractNumId="184">
    <w:nsid w:val="435D38D"/>
    <w:multiLevelType w:val="hybridMultilevel"/>
    <w:lvl w:ilvl="0">
      <w:lvlJc w:val="left"/>
      <w:lvlText w:val="(%1)"/>
      <w:numFmt w:val="lowerLetter"/>
      <w:start w:val="2"/>
    </w:lvl>
  </w:abstractNum>
  <w:abstractNum w:abstractNumId="185">
    <w:nsid w:val="822C0EF"/>
    <w:multiLevelType w:val="hybridMultilevel"/>
    <w:lvl w:ilvl="0">
      <w:lvlJc w:val="left"/>
      <w:lvlText w:val="(%1)"/>
      <w:numFmt w:val="lowerLetter"/>
      <w:start w:val="6"/>
    </w:lvl>
  </w:abstractNum>
  <w:abstractNum w:abstractNumId="186">
    <w:nsid w:val="57C5BB4F"/>
    <w:multiLevelType w:val="hybridMultilevel"/>
    <w:lvl w:ilvl="0">
      <w:lvlJc w:val="left"/>
      <w:lvlText w:val="."/>
      <w:numFmt w:val="bullet"/>
      <w:start w:val="1"/>
    </w:lvl>
    <w:lvl w:ilvl="1">
      <w:lvlJc w:val="left"/>
      <w:lvlText w:val="(%2)"/>
      <w:numFmt w:val="lowerLetter"/>
      <w:start w:val="1"/>
    </w:lvl>
  </w:abstractNum>
  <w:abstractNum w:abstractNumId="187">
    <w:nsid w:val="1803D089"/>
    <w:multiLevelType w:val="hybridMultilevel"/>
    <w:lvl w:ilvl="0">
      <w:lvlJc w:val="left"/>
      <w:lvlText w:val="."/>
      <w:numFmt w:val="bullet"/>
      <w:start w:val="1"/>
    </w:lvl>
  </w:abstractNum>
  <w:abstractNum w:abstractNumId="188">
    <w:nsid w:val="4F3A06D4"/>
    <w:multiLevelType w:val="hybridMultilevel"/>
    <w:lvl w:ilvl="0">
      <w:lvlJc w:val="left"/>
      <w:lvlText w:val="(%1)"/>
      <w:numFmt w:val="lowerLetter"/>
      <w:start w:val="1"/>
    </w:lvl>
  </w:abstractNum>
  <w:abstractNum w:abstractNumId="189">
    <w:nsid w:val="59A377B6"/>
    <w:multiLevelType w:val="hybridMultilevel"/>
    <w:lvl w:ilvl="0">
      <w:lvlJc w:val="left"/>
      <w:lvlText w:val="(%1)"/>
      <w:numFmt w:val="lowerLetter"/>
      <w:start w:val="11"/>
    </w:lvl>
  </w:abstractNum>
  <w:abstractNum w:abstractNumId="190">
    <w:nsid w:val="48AEB063"/>
    <w:multiLevelType w:val="hybridMultilevel"/>
    <w:lvl w:ilvl="0">
      <w:lvlJc w:val="left"/>
      <w:lvlText w:val="."/>
      <w:numFmt w:val="bullet"/>
      <w:start w:val="1"/>
    </w:lvl>
  </w:abstractNum>
  <w:abstractNum w:abstractNumId="191">
    <w:nsid w:val="24E13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92">
    <w:nsid w:val="BB13C1"/>
    <w:multiLevelType w:val="hybridMultilevel"/>
    <w:lvl w:ilvl="0">
      <w:lvlJc w:val="left"/>
      <w:lvlText w:val="%1"/>
      <w:numFmt w:val="lowerLetter"/>
      <w:start w:val="1"/>
    </w:lvl>
    <w:lvl w:ilvl="1">
      <w:lvlJc w:val="left"/>
      <w:lvlText w:val="(%2)"/>
      <w:numFmt w:val="lowerLetter"/>
      <w:start w:val="61"/>
    </w:lvl>
  </w:abstractNum>
  <w:abstractNum w:abstractNumId="193">
    <w:nsid w:val="271210C7"/>
    <w:multiLevelType w:val="hybridMultilevel"/>
    <w:lvl w:ilvl="0">
      <w:lvlJc w:val="left"/>
      <w:lvlText w:val="(%1)"/>
      <w:numFmt w:val="lowerLetter"/>
      <w:start w:val="8"/>
    </w:lvl>
    <w:lvl w:ilvl="1">
      <w:lvlJc w:val="left"/>
      <w:lvlText w:val="(%2)"/>
      <w:numFmt w:val="lowerLetter"/>
      <w:start w:val="9"/>
    </w:lvl>
  </w:abstractNum>
  <w:abstractNum w:abstractNumId="194">
    <w:nsid w:val="217B22E4"/>
    <w:multiLevelType w:val="hybridMultilevel"/>
    <w:lvl w:ilvl="0">
      <w:lvlJc w:val="left"/>
      <w:lvlText w:val="(%1)"/>
      <w:numFmt w:val="lowerRoman"/>
      <w:start w:val="2"/>
    </w:lvl>
  </w:abstractNum>
  <w:abstractNum w:abstractNumId="195">
    <w:nsid w:val="53E31A24"/>
    <w:multiLevelType w:val="hybridMultilevel"/>
    <w:lvl w:ilvl="0">
      <w:lvlJc w:val="left"/>
      <w:lvlText w:val="(%1)"/>
      <w:numFmt w:val="lowerLetter"/>
      <w:start w:val="10"/>
    </w:lvl>
  </w:abstractNum>
  <w:abstractNum w:abstractNumId="196">
    <w:nsid w:val="6DC45E83"/>
    <w:multiLevelType w:val="hybridMultilevel"/>
    <w:lvl w:ilvl="0">
      <w:lvlJc w:val="left"/>
      <w:lvlText w:val="(%1)"/>
      <w:numFmt w:val="lowerLetter"/>
      <w:start w:val="13"/>
    </w:lvl>
    <w:lvl w:ilvl="1">
      <w:lvlJc w:val="left"/>
      <w:lvlText w:val="(%2)"/>
      <w:numFmt w:val="lowerRoman"/>
      <w:start w:val="1"/>
    </w:lvl>
  </w:abstractNum>
  <w:abstractNum w:abstractNumId="197">
    <w:nsid w:val="17304A67"/>
    <w:multiLevelType w:val="hybridMultilevel"/>
    <w:lvl w:ilvl="0">
      <w:lvlJc w:val="left"/>
      <w:lvlText w:val="(%1)"/>
      <w:numFmt w:val="lowerLetter"/>
      <w:start w:val="14"/>
    </w:lvl>
  </w:abstractNum>
  <w:abstractNum w:abstractNumId="198">
    <w:nsid w:val="2BB180D8"/>
    <w:multiLevelType w:val="hybridMultilevel"/>
    <w:lvl w:ilvl="0">
      <w:lvlJc w:val="left"/>
      <w:lvlText w:val="(%1)"/>
      <w:numFmt w:val="lowerLetter"/>
      <w:start w:val="15"/>
    </w:lvl>
  </w:abstractNum>
  <w:abstractNum w:abstractNumId="199">
    <w:nsid w:val="556B69ED"/>
    <w:multiLevelType w:val="hybridMultilevel"/>
    <w:lvl w:ilvl="0">
      <w:lvlJc w:val="left"/>
      <w:lvlText w:val="(%1)"/>
      <w:numFmt w:val="lowerLetter"/>
      <w:start w:val="1"/>
    </w:lvl>
  </w:abstractNum>
  <w:abstractNum w:abstractNumId="200">
    <w:nsid w:val="70836196"/>
    <w:multiLevelType w:val="hybridMultilevel"/>
    <w:lvl w:ilvl="0">
      <w:lvlJc w:val="left"/>
      <w:lvlText w:val="%1"/>
      <w:numFmt w:val="lowerLetter"/>
      <w:start w:val="1"/>
    </w:lvl>
    <w:lvl w:ilvl="1">
      <w:lvlJc w:val="left"/>
      <w:lvlText w:val="(%2)"/>
      <w:numFmt w:val="lowerLetter"/>
      <w:start w:val="1"/>
    </w:lvl>
  </w:abstractNum>
  <w:abstractNum w:abstractNumId="201">
    <w:nsid w:val="539F7F12"/>
    <w:multiLevelType w:val="hybridMultilevel"/>
    <w:lvl w:ilvl="0">
      <w:lvlJc w:val="left"/>
      <w:lvlText w:val="(%1)"/>
      <w:numFmt w:val="lowerLetter"/>
      <w:start w:val="35"/>
    </w:lvl>
    <w:lvl w:ilvl="1">
      <w:lvlJc w:val="left"/>
      <w:lvlText w:val="%2"/>
      <w:numFmt w:val="lowerLetter"/>
      <w:start w:val="1"/>
    </w:lvl>
  </w:abstractNum>
  <w:abstractNum w:abstractNumId="202">
    <w:nsid w:val="2817E7EC"/>
    <w:multiLevelType w:val="hybridMultilevel"/>
    <w:lvl w:ilvl="0">
      <w:lvlJc w:val="left"/>
      <w:lvlText w:val="(%1)"/>
      <w:numFmt w:val="lowerLetter"/>
      <w:start w:val="2"/>
    </w:lvl>
  </w:abstractNum>
  <w:abstractNum w:abstractNumId="203">
    <w:nsid w:val="71482545"/>
    <w:multiLevelType w:val="hybridMultilevel"/>
    <w:lvl w:ilvl="0">
      <w:lvlJc w:val="left"/>
      <w:lvlText w:val="."/>
      <w:numFmt w:val="bullet"/>
      <w:start w:val="1"/>
    </w:lvl>
  </w:abstractNum>
  <w:abstractNum w:abstractNumId="204">
    <w:nsid w:val="17D78639"/>
    <w:multiLevelType w:val="hybridMultilevel"/>
    <w:lvl w:ilvl="0">
      <w:lvlJc w:val="left"/>
      <w:lvlText w:val="."/>
      <w:numFmt w:val="bullet"/>
      <w:start w:val="1"/>
    </w:lvl>
  </w:abstractNum>
  <w:abstractNum w:abstractNumId="205">
    <w:nsid w:val="141D2302"/>
    <w:multiLevelType w:val="hybridMultilevel"/>
    <w:lvl w:ilvl="0">
      <w:lvlJc w:val="left"/>
      <w:lvlText w:val="(%1)"/>
      <w:numFmt w:val="lowerLetter"/>
      <w:start w:val="1"/>
    </w:lvl>
  </w:abstractNum>
  <w:abstractNum w:abstractNumId="206">
    <w:nsid w:val="407168D8"/>
    <w:multiLevelType w:val="hybridMultilevel"/>
    <w:lvl w:ilvl="0">
      <w:lvlJc w:val="left"/>
      <w:lvlText w:val="."/>
      <w:numFmt w:val="bullet"/>
      <w:start w:val="1"/>
    </w:lvl>
  </w:abstractNum>
  <w:abstractNum w:abstractNumId="207">
    <w:nsid w:val="6A1B45E5"/>
    <w:multiLevelType w:val="hybridMultilevel"/>
    <w:lvl w:ilvl="0">
      <w:lvlJc w:val="left"/>
      <w:lvlText w:val="(%1)"/>
      <w:numFmt w:val="lowerLetter"/>
      <w:start w:val="1"/>
    </w:lvl>
  </w:abstractNum>
  <w:abstractNum w:abstractNumId="208">
    <w:nsid w:val="567BD50A"/>
    <w:multiLevelType w:val="hybridMultilevel"/>
    <w:lvl w:ilvl="0">
      <w:lvlJc w:val="left"/>
      <w:lvlText w:val="(%1)"/>
      <w:numFmt w:val="lowerLetter"/>
      <w:start w:val="2"/>
    </w:lvl>
  </w:abstractNum>
  <w:abstractNum w:abstractNumId="209">
    <w:nsid w:val="73BBD7F8"/>
    <w:multiLevelType w:val="hybridMultilevel"/>
    <w:lvl w:ilvl="0">
      <w:lvlJc w:val="left"/>
      <w:lvlText w:val="."/>
      <w:numFmt w:val="bullet"/>
      <w:start w:val="1"/>
    </w:lvl>
  </w:abstractNum>
  <w:abstractNum w:abstractNumId="210">
    <w:nsid w:val="1876589D"/>
    <w:multiLevelType w:val="hybridMultilevel"/>
    <w:lvl w:ilvl="0">
      <w:lvlJc w:val="left"/>
      <w:lvlText w:val="."/>
      <w:numFmt w:val="bullet"/>
      <w:start w:val="1"/>
    </w:lvl>
  </w:abstractNum>
  <w:abstractNum w:abstractNumId="211">
    <w:nsid w:val="327FAC77"/>
    <w:multiLevelType w:val="hybridMultilevel"/>
    <w:lvl w:ilvl="0">
      <w:lvlJc w:val="left"/>
      <w:lvlText w:val="."/>
      <w:numFmt w:val="bullet"/>
      <w:start w:val="1"/>
    </w:lvl>
  </w:abstractNum>
  <w:abstractNum w:abstractNumId="212">
    <w:nsid w:val="5A606509"/>
    <w:multiLevelType w:val="hybridMultilevel"/>
    <w:lvl w:ilvl="0">
      <w:lvlJc w:val="left"/>
      <w:lvlText w:val="(%1)"/>
      <w:numFmt w:val="lowerLetter"/>
      <w:start w:val="1"/>
    </w:lvl>
  </w:abstractNum>
  <w:abstractNum w:abstractNumId="213">
    <w:nsid w:val="6F38E6D1"/>
    <w:multiLevelType w:val="hybridMultilevel"/>
    <w:lvl w:ilvl="0">
      <w:lvlJc w:val="left"/>
      <w:lvlText w:val="."/>
      <w:numFmt w:val="bullet"/>
      <w:start w:val="1"/>
    </w:lvl>
  </w:abstractNum>
  <w:abstractNum w:abstractNumId="214">
    <w:nsid w:val="46111BA5"/>
    <w:multiLevelType w:val="hybridMultilevel"/>
    <w:lvl w:ilvl="0">
      <w:lvlJc w:val="left"/>
      <w:lvlText w:val="(%1)"/>
      <w:numFmt w:val="lowerLetter"/>
      <w:start w:val="1"/>
    </w:lvl>
  </w:abstractNum>
  <w:abstractNum w:abstractNumId="215">
    <w:nsid w:val="5E963896"/>
    <w:multiLevelType w:val="hybridMultilevel"/>
    <w:lvl w:ilvl="0">
      <w:lvlJc w:val="left"/>
      <w:lvlText w:val="(%1)"/>
      <w:numFmt w:val="lowerLetter"/>
      <w:start w:val="8"/>
    </w:lvl>
  </w:abstractNum>
  <w:abstractNum w:abstractNumId="216">
    <w:nsid w:val="775BA7C1"/>
    <w:multiLevelType w:val="hybridMultilevel"/>
    <w:lvl w:ilvl="0">
      <w:lvlJc w:val="left"/>
      <w:lvlText w:val="."/>
      <w:numFmt w:val="bullet"/>
      <w:start w:val="1"/>
    </w:lvl>
    <w:lvl w:ilvl="1">
      <w:lvlJc w:val="left"/>
      <w:lvlText w:val="(%2)"/>
      <w:numFmt w:val="lowerLetter"/>
      <w:start w:val="1"/>
    </w:lvl>
  </w:abstractNum>
  <w:abstractNum w:abstractNumId="217">
    <w:nsid w:val="1DD6D6F4"/>
    <w:multiLevelType w:val="hybridMultilevel"/>
    <w:lvl w:ilvl="0">
      <w:lvlJc w:val="left"/>
      <w:lvlText w:val="."/>
      <w:numFmt w:val="bullet"/>
      <w:start w:val="1"/>
    </w:lvl>
    <w:lvl w:ilvl="1">
      <w:lvlJc w:val="left"/>
      <w:lvlText w:val="(%2)"/>
      <w:numFmt w:val="lowerLetter"/>
      <w:start w:val="1"/>
    </w:lvl>
  </w:abstractNum>
  <w:abstractNum w:abstractNumId="218">
    <w:nsid w:val="769A091F"/>
    <w:multiLevelType w:val="hybridMultilevel"/>
    <w:lvl w:ilvl="0">
      <w:lvlJc w:val="left"/>
      <w:lvlText w:val="(%1)"/>
      <w:numFmt w:val="lowerLetter"/>
      <w:start w:val="2"/>
    </w:lvl>
  </w:abstractNum>
  <w:abstractNum w:abstractNumId="219">
    <w:nsid w:val="4695AE95"/>
    <w:multiLevelType w:val="hybridMultilevel"/>
    <w:lvl w:ilvl="0">
      <w:lvlJc w:val="left"/>
      <w:lvlText w:val="."/>
      <w:numFmt w:val="bullet"/>
      <w:start w:val="1"/>
    </w:lvl>
  </w:abstractNum>
  <w:abstractNum w:abstractNumId="220">
    <w:nsid w:val="777A4EAA"/>
    <w:multiLevelType w:val="hybridMultilevel"/>
    <w:lvl w:ilvl="0">
      <w:lvlJc w:val="left"/>
      <w:lvlText w:val="."/>
      <w:numFmt w:val="bullet"/>
      <w:start w:val="1"/>
    </w:lvl>
    <w:lvl w:ilvl="1">
      <w:lvlJc w:val="left"/>
      <w:lvlText w:val="(%2)"/>
      <w:numFmt w:val="lowerLetter"/>
      <w:start w:val="1"/>
    </w:lvl>
  </w:abstractNum>
  <w:abstractNum w:abstractNumId="221">
    <w:nsid w:val="3F48B982"/>
    <w:multiLevelType w:val="hybridMultilevel"/>
    <w:lvl w:ilvl="0">
      <w:lvlJc w:val="left"/>
      <w:lvlText w:val="(%1)"/>
      <w:numFmt w:val="lowerLetter"/>
      <w:start w:val="6"/>
    </w:lvl>
  </w:abstractNum>
  <w:abstractNum w:abstractNumId="222">
    <w:nsid w:val="46BA8FCA"/>
    <w:multiLevelType w:val="hybridMultilevel"/>
    <w:lvl w:ilvl="0">
      <w:lvlJc w:val="left"/>
      <w:lvlText w:val="."/>
      <w:numFmt w:val="bullet"/>
      <w:start w:val="1"/>
    </w:lvl>
  </w:abstractNum>
  <w:abstractNum w:abstractNumId="223">
    <w:nsid w:val="7835626C"/>
    <w:multiLevelType w:val="hybridMultilevel"/>
    <w:lvl w:ilvl="0">
      <w:lvlJc w:val="left"/>
      <w:lvlText w:val="."/>
      <w:numFmt w:val="bullet"/>
      <w:start w:val="1"/>
    </w:lvl>
  </w:abstractNum>
  <w:abstractNum w:abstractNumId="224">
    <w:nsid w:val="665ACA49"/>
    <w:multiLevelType w:val="hybridMultilevel"/>
    <w:lvl w:ilvl="0">
      <w:lvlJc w:val="left"/>
      <w:lvlText w:val="."/>
      <w:numFmt w:val="bullet"/>
      <w:start w:val="1"/>
    </w:lvl>
    <w:lvl w:ilvl="1">
      <w:lvlJc w:val="left"/>
      <w:lvlText w:val="(%2)"/>
      <w:numFmt w:val="lowerLetter"/>
      <w:start w:val="1"/>
    </w:lvl>
  </w:abstractNum>
  <w:abstractNum w:abstractNumId="225">
    <w:nsid w:val="6835B2AE"/>
    <w:multiLevelType w:val="hybridMultilevel"/>
    <w:lvl w:ilvl="0">
      <w:lvlJc w:val="left"/>
      <w:lvlText w:val="."/>
      <w:numFmt w:val="bullet"/>
      <w:start w:val="1"/>
    </w:lvl>
  </w:abstractNum>
  <w:abstractNum w:abstractNumId="226">
    <w:nsid w:val="4C187C90"/>
    <w:multiLevelType w:val="hybridMultilevel"/>
    <w:lvl w:ilvl="0">
      <w:lvlJc w:val="left"/>
      <w:lvlText w:val="."/>
      <w:numFmt w:val="bullet"/>
      <w:start w:val="1"/>
    </w:lvl>
  </w:abstractNum>
  <w:abstractNum w:abstractNumId="227">
    <w:nsid w:val="541F28CD"/>
    <w:multiLevelType w:val="hybridMultilevel"/>
    <w:lvl w:ilvl="0">
      <w:lvlJc w:val="left"/>
      <w:lvlText w:val="(%1)"/>
      <w:numFmt w:val="lowerLetter"/>
      <w:start w:val="1"/>
    </w:lvl>
  </w:abstractNum>
  <w:abstractNum w:abstractNumId="228">
    <w:nsid w:val="7F65FD16"/>
    <w:multiLevelType w:val="hybridMultilevel"/>
    <w:lvl w:ilvl="0">
      <w:lvlJc w:val="left"/>
      <w:lvlText w:val="(%1)"/>
      <w:numFmt w:val="lowerLetter"/>
      <w:start w:val="2"/>
    </w:lvl>
  </w:abstractNum>
  <w:abstractNum w:abstractNumId="229">
    <w:nsid w:val="77C9FD68"/>
    <w:multiLevelType w:val="hybridMultilevel"/>
    <w:lvl w:ilvl="0">
      <w:lvlJc w:val="left"/>
      <w:lvlText w:val="(%1)"/>
      <w:numFmt w:val="lowerLetter"/>
      <w:start w:val="1"/>
    </w:lvl>
  </w:abstractNum>
  <w:abstractNum w:abstractNumId="230">
    <w:nsid w:val="298A92BA"/>
    <w:multiLevelType w:val="hybridMultilevel"/>
    <w:lvl w:ilvl="0">
      <w:lvlJc w:val="left"/>
      <w:lvlText w:val="."/>
      <w:numFmt w:val="bullet"/>
      <w:start w:val="1"/>
    </w:lvl>
  </w:abstractNum>
  <w:abstractNum w:abstractNumId="231">
    <w:nsid w:val="6FE95EAC"/>
    <w:multiLevelType w:val="hybridMultilevel"/>
    <w:lvl w:ilvl="0">
      <w:lvlJc w:val="left"/>
      <w:lvlText w:val="(%1)"/>
      <w:numFmt w:val="lowerLetter"/>
      <w:start w:val="1"/>
    </w:lvl>
    <w:lvl w:ilvl="1">
      <w:lvlJc w:val="left"/>
      <w:lvlText w:val="(%2)"/>
      <w:numFmt w:val="lowerRoman"/>
      <w:start w:val="1"/>
    </w:lvl>
  </w:abstractNum>
  <w:abstractNum w:abstractNumId="232">
    <w:nsid w:val="4B697C7A"/>
    <w:multiLevelType w:val="hybridMultilevel"/>
    <w:lvl w:ilvl="0">
      <w:lvlJc w:val="left"/>
      <w:lvlText w:val="%1"/>
      <w:numFmt w:val="lowerLetter"/>
      <w:start w:val="1"/>
    </w:lvl>
    <w:lvl w:ilvl="1">
      <w:lvlJc w:val="left"/>
      <w:lvlText w:val="(%2)"/>
      <w:numFmt w:val="lowerRoman"/>
      <w:start w:val="4"/>
    </w:lvl>
  </w:abstractNum>
  <w:abstractNum w:abstractNumId="233">
    <w:nsid w:val="51A27AA6"/>
    <w:multiLevelType w:val="hybridMultilevel"/>
    <w:lvl w:ilvl="0">
      <w:lvlJc w:val="left"/>
      <w:lvlText w:val="(%1)"/>
      <w:numFmt w:val="lowerLetter"/>
      <w:start w:val="3"/>
    </w:lvl>
    <w:lvl w:ilvl="1">
      <w:lvlJc w:val="left"/>
      <w:lvlText w:val="%2"/>
      <w:numFmt w:val="lowerRoman"/>
      <w:start w:val="1"/>
    </w:lvl>
  </w:abstractNum>
  <w:abstractNum w:abstractNumId="234">
    <w:nsid w:val="613183F2"/>
    <w:multiLevelType w:val="hybridMultilevel"/>
    <w:lvl w:ilvl="0">
      <w:lvlJc w:val="left"/>
      <w:lvlText w:val="."/>
      <w:numFmt w:val="bullet"/>
      <w:start w:val="1"/>
    </w:lvl>
  </w:abstractNum>
  <w:abstractNum w:abstractNumId="235">
    <w:nsid w:val="634102B4"/>
    <w:multiLevelType w:val="hybridMultilevel"/>
    <w:lvl w:ilvl="0">
      <w:lvlJc w:val="left"/>
      <w:lvlText w:val="."/>
      <w:numFmt w:val="bullet"/>
      <w:start w:val="1"/>
    </w:lvl>
    <w:lvl w:ilvl="1">
      <w:lvlJc w:val="left"/>
      <w:lvlText w:val="(%2)"/>
      <w:numFmt w:val="lowerLetter"/>
      <w:start w:val="1"/>
    </w:lvl>
  </w:abstractNum>
  <w:abstractNum w:abstractNumId="236">
    <w:nsid w:val="65BF9DA8"/>
    <w:multiLevelType w:val="hybridMultilevel"/>
    <w:lvl w:ilvl="0">
      <w:lvlJc w:val="left"/>
      <w:lvlText w:val="(%1)"/>
      <w:numFmt w:val="lowerLetter"/>
      <w:start w:val="1"/>
    </w:lvl>
    <w:lvl w:ilvl="1">
      <w:lvlJc w:val="left"/>
      <w:lvlText w:val="(%2)"/>
      <w:numFmt w:val="lowerRoman"/>
      <w:start w:val="1"/>
    </w:lvl>
  </w:abstractNum>
  <w:abstractNum w:abstractNumId="237">
    <w:nsid w:val="21A2ECCA"/>
    <w:multiLevelType w:val="hybridMultilevel"/>
    <w:lvl w:ilvl="0">
      <w:lvlJc w:val="left"/>
      <w:lvlText w:val="%1"/>
      <w:numFmt w:val="lowerLetter"/>
      <w:start w:val="1"/>
    </w:lvl>
    <w:lvl w:ilvl="1">
      <w:lvlJc w:val="left"/>
      <w:lvlText w:val="(%2)"/>
      <w:numFmt w:val="lowerRoman"/>
      <w:start w:val="4"/>
    </w:lvl>
  </w:abstractNum>
  <w:abstractNum w:abstractNumId="238">
    <w:nsid w:val="4D5C4899"/>
    <w:multiLevelType w:val="hybridMultilevel"/>
    <w:lvl w:ilvl="0">
      <w:lvlJc w:val="left"/>
      <w:lvlText w:val="(%1)"/>
      <w:numFmt w:val="lowerLetter"/>
      <w:start w:val="2"/>
    </w:lvl>
    <w:lvl w:ilvl="1">
      <w:lvlJc w:val="left"/>
      <w:lvlText w:val="%2"/>
      <w:numFmt w:val="lowerRoman"/>
      <w:start w:val="1"/>
    </w:lvl>
  </w:abstractNum>
  <w:abstractNum w:abstractNumId="239">
    <w:nsid w:val="3C3B72B2"/>
    <w:multiLevelType w:val="hybridMultilevel"/>
    <w:lvl w:ilvl="0">
      <w:lvlJc w:val="left"/>
      <w:lvlText w:val="(%1)"/>
      <w:numFmt w:val="lowerLetter"/>
      <w:start w:val="1"/>
    </w:lvl>
  </w:abstractNum>
  <w:abstractNum w:abstractNumId="240">
    <w:nsid w:val="155EC4C2"/>
    <w:multiLevelType w:val="hybridMultilevel"/>
    <w:lvl w:ilvl="0">
      <w:lvlJc w:val="left"/>
      <w:lvlText w:val="(%1)"/>
      <w:numFmt w:val="lowerLetter"/>
      <w:start w:val="2"/>
    </w:lvl>
  </w:abstractNum>
  <w:abstractNum w:abstractNumId="241">
    <w:nsid w:val="65D2A137"/>
    <w:multiLevelType w:val="hybridMultilevel"/>
    <w:lvl w:ilvl="0">
      <w:lvlJc w:val="left"/>
      <w:lvlText w:val="(%1)"/>
      <w:numFmt w:val="lowerLetter"/>
      <w:start w:val="3"/>
    </w:lvl>
  </w:abstractNum>
  <w:abstractNum w:abstractNumId="242">
    <w:nsid w:val="6EBB1F2A"/>
    <w:multiLevelType w:val="hybridMultilevel"/>
    <w:lvl w:ilvl="0">
      <w:lvlJc w:val="left"/>
      <w:lvlText w:val="(%1)"/>
      <w:numFmt w:val="lowerRoman"/>
      <w:start w:val="1"/>
    </w:lvl>
  </w:abstractNum>
  <w:abstractNum w:abstractNumId="243">
    <w:nsid w:val="6FBF29CB"/>
    <w:multiLevelType w:val="hybridMultilevel"/>
    <w:lvl w:ilvl="0">
      <w:lvlJc w:val="left"/>
      <w:lvlText w:val="(%1)"/>
      <w:numFmt w:val="lowerLetter"/>
      <w:start w:val="1"/>
    </w:lvl>
    <w:lvl w:ilvl="1">
      <w:lvlJc w:val="left"/>
      <w:lvlText w:val="(%2)"/>
      <w:numFmt w:val="lowerRoman"/>
      <w:start w:val="1"/>
    </w:lvl>
  </w:abstractNum>
  <w:abstractNum w:abstractNumId="244">
    <w:nsid w:val="550B8808"/>
    <w:multiLevelType w:val="hybridMultilevel"/>
    <w:lvl w:ilvl="0">
      <w:lvlJc w:val="left"/>
      <w:lvlText w:val="(%1)"/>
      <w:numFmt w:val="lowerRoman"/>
      <w:start w:val="4"/>
    </w:lvl>
  </w:abstractNum>
  <w:abstractNum w:abstractNumId="245">
    <w:nsid w:val="34CC3ACF"/>
    <w:multiLevelType w:val="hybridMultilevel"/>
    <w:lvl w:ilvl="0">
      <w:lvlJc w:val="left"/>
      <w:lvlText w:val="(%1)"/>
      <w:numFmt w:val="lowerLetter"/>
      <w:start w:val="2"/>
    </w:lvl>
  </w:abstractNum>
  <w:abstractNum w:abstractNumId="246">
    <w:nsid w:val="4E556261"/>
    <w:multiLevelType w:val="hybridMultilevel"/>
    <w:lvl w:ilvl="0">
      <w:lvlJc w:val="left"/>
      <w:lvlText w:val="(%1)"/>
      <w:numFmt w:val="lowerLetter"/>
      <w:start w:val="3"/>
    </w:lvl>
  </w:abstractNum>
  <w:abstractNum w:abstractNumId="247">
    <w:nsid w:val="4C672FC9"/>
    <w:multiLevelType w:val="hybridMultilevel"/>
    <w:lvl w:ilvl="0">
      <w:lvlJc w:val="left"/>
      <w:lvlText w:val="."/>
      <w:numFmt w:val="bullet"/>
      <w:start w:val="1"/>
    </w:lvl>
  </w:abstractNum>
  <w:abstractNum w:abstractNumId="248">
    <w:nsid w:val="52A311C3"/>
    <w:multiLevelType w:val="hybridMultilevel"/>
    <w:lvl w:ilvl="0">
      <w:lvlJc w:val="left"/>
      <w:lvlText w:val="."/>
      <w:numFmt w:val="bullet"/>
      <w:start w:val="1"/>
    </w:lvl>
  </w:abstractNum>
  <w:abstractNum w:abstractNumId="249">
    <w:nsid w:val="44EF6B80"/>
    <w:multiLevelType w:val="hybridMultilevel"/>
    <w:lvl w:ilvl="0">
      <w:lvlJc w:val="left"/>
      <w:lvlText w:val="%1"/>
      <w:numFmt w:val="lowerLetter"/>
      <w:start w:val="1"/>
    </w:lvl>
    <w:lvl w:ilvl="1">
      <w:lvlJc w:val="left"/>
      <w:lvlText w:val="(%2)"/>
      <w:numFmt w:val="lowerLetter"/>
      <w:start w:val="1"/>
    </w:lvl>
  </w:abstractNum>
  <w:abstractNum w:abstractNumId="250">
    <w:nsid w:val="12FCDE5E"/>
    <w:multiLevelType w:val="hybridMultilevel"/>
    <w:lvl w:ilvl="0">
      <w:lvlJc w:val="left"/>
      <w:lvlText w:val="(%1)"/>
      <w:numFmt w:val="lowerLetter"/>
      <w:start w:val="7"/>
    </w:lvl>
    <w:lvl w:ilvl="1">
      <w:lvlJc w:val="left"/>
      <w:lvlText w:val="%2"/>
      <w:numFmt w:val="lowerLetter"/>
      <w:start w:val="1"/>
    </w:lvl>
  </w:abstractNum>
  <w:abstractNum w:abstractNumId="251">
    <w:nsid w:val="4A1D606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2">
    <w:nsid w:val="4382503"/>
    <w:multiLevelType w:val="hybridMultilevel"/>
    <w:lvl w:ilvl="0">
      <w:lvlJc w:val="left"/>
      <w:lvlText w:val="%1"/>
      <w:numFmt w:val="lowerRoman"/>
      <w:start w:val="1"/>
    </w:lvl>
    <w:lvl w:ilvl="1">
      <w:lvlJc w:val="left"/>
      <w:lvlText w:val="(%2)"/>
      <w:numFmt w:val="upperLetter"/>
      <w:start w:val="2"/>
    </w:lvl>
  </w:abstractNum>
  <w:abstractNum w:abstractNumId="253">
    <w:nsid w:val="59B76E28"/>
    <w:multiLevelType w:val="hybridMultilevel"/>
    <w:lvl w:ilvl="0">
      <w:lvlJc w:val="left"/>
      <w:lvlText w:val="(%1)"/>
      <w:numFmt w:val="lowerRoman"/>
      <w:start w:val="4"/>
    </w:lvl>
    <w:lvl w:ilvl="1">
      <w:lvlJc w:val="left"/>
      <w:lvlText w:val="%2"/>
      <w:numFmt w:val="upperLetter"/>
      <w:start w:val="1"/>
    </w:lvl>
  </w:abstractNum>
  <w:abstractNum w:abstractNumId="254">
    <w:nsid w:val="4252C2DA"/>
    <w:multiLevelType w:val="hybridMultilevel"/>
    <w:lvl w:ilvl="0">
      <w:lvlJc w:val="left"/>
      <w:lvlText w:val="(%1)"/>
      <w:numFmt w:val="lowerRoman"/>
      <w:start w:val="6"/>
    </w:lvl>
  </w:abstractNum>
  <w:abstractNum w:abstractNumId="255">
    <w:nsid w:val="6A92EF4C"/>
    <w:multiLevelType w:val="hybridMultilevel"/>
    <w:lvl w:ilvl="0">
      <w:lvlJc w:val="left"/>
      <w:lvlText w:val="(%1)"/>
      <w:numFmt w:val="lowerLetter"/>
      <w:start w:val="3"/>
    </w:lvl>
  </w:abstractNum>
  <w:abstractNum w:abstractNumId="256">
    <w:nsid w:val="41ED20D7"/>
    <w:multiLevelType w:val="hybridMultilevel"/>
    <w:lvl w:ilvl="0">
      <w:lvlJc w:val="left"/>
      <w:lvlText w:val="(%1)"/>
      <w:numFmt w:val="lowerLetter"/>
      <w:start w:val="3"/>
    </w:lvl>
  </w:abstractNum>
  <w:abstractNum w:abstractNumId="257">
    <w:nsid w:val="E6B3F6A"/>
    <w:multiLevelType w:val="hybridMultilevel"/>
    <w:lvl w:ilvl="0">
      <w:lvlJc w:val="left"/>
      <w:lvlText w:val="(%1)"/>
      <w:numFmt w:val="lowerLetter"/>
      <w:start w:val="4"/>
    </w:lvl>
  </w:abstractNum>
  <w:abstractNum w:abstractNumId="258">
    <w:nsid w:val="3EB21819"/>
    <w:multiLevelType w:val="hybridMultilevel"/>
    <w:lvl w:ilvl="0">
      <w:lvlJc w:val="left"/>
      <w:lvlText w:val="(%1)"/>
      <w:numFmt w:val="lowerLetter"/>
      <w:start w:val="5"/>
    </w:lvl>
  </w:abstractNum>
  <w:abstractNum w:abstractNumId="259">
    <w:nsid w:val="41531DED"/>
    <w:multiLevelType w:val="hybridMultilevel"/>
    <w:lvl w:ilvl="0">
      <w:lvlJc w:val="left"/>
      <w:lvlText w:val="(%1)"/>
      <w:numFmt w:val="lowerLetter"/>
      <w:start w:val="8"/>
    </w:lvl>
  </w:abstractNum>
  <w:abstractNum w:abstractNumId="260">
    <w:nsid w:val="6353CD2"/>
    <w:multiLevelType w:val="hybridMultilevel"/>
    <w:lvl w:ilvl="0">
      <w:lvlJc w:val="left"/>
      <w:lvlText w:val="(%1)"/>
      <w:numFmt w:val="lowerLetter"/>
      <w:start w:val="1"/>
    </w:lvl>
  </w:abstractNum>
  <w:abstractNum w:abstractNumId="261">
    <w:nsid w:val="683CAAD3"/>
    <w:multiLevelType w:val="hybridMultilevel"/>
    <w:lvl w:ilvl="0">
      <w:lvlJc w:val="left"/>
      <w:lvlText w:val="(%1)"/>
      <w:numFmt w:val="lowerLetter"/>
      <w:start w:val="2"/>
    </w:lvl>
  </w:abstractNum>
  <w:abstractNum w:abstractNumId="262">
    <w:nsid w:val="313C7C99"/>
    <w:multiLevelType w:val="hybridMultilevel"/>
    <w:lvl w:ilvl="0">
      <w:lvlJc w:val="left"/>
      <w:lvlText w:val="(%1)"/>
      <w:numFmt w:val="lowerLetter"/>
      <w:start w:val="24"/>
    </w:lvl>
    <w:lvl w:ilvl="1">
      <w:lvlJc w:val="left"/>
      <w:lvlText w:val="(%2)"/>
      <w:numFmt w:val="lowerLetter"/>
      <w:start w:val="3"/>
    </w:lvl>
  </w:abstractNum>
  <w:abstractNum w:abstractNumId="263">
    <w:nsid w:val="519EB94C"/>
    <w:multiLevelType w:val="hybridMultilevel"/>
    <w:lvl w:ilvl="0">
      <w:lvlJc w:val="left"/>
      <w:lvlText w:val="."/>
      <w:numFmt w:val="bullet"/>
      <w:start w:val="1"/>
    </w:lvl>
  </w:abstractNum>
  <w:abstractNum w:abstractNumId="264">
    <w:nsid w:val="39DF2579"/>
    <w:multiLevelType w:val="hybridMultilevel"/>
    <w:lvl w:ilvl="0">
      <w:lvlJc w:val="left"/>
      <w:lvlText w:val="."/>
      <w:numFmt w:val="bullet"/>
      <w:start w:val="1"/>
    </w:lvl>
  </w:abstractNum>
  <w:abstractNum w:abstractNumId="265">
    <w:nsid w:val="126E008B"/>
    <w:multiLevelType w:val="hybridMultilevel"/>
    <w:lvl w:ilvl="0">
      <w:lvlJc w:val="left"/>
      <w:lvlText w:val="."/>
      <w:numFmt w:val="bullet"/>
      <w:start w:val="1"/>
    </w:lvl>
  </w:abstractNum>
  <w:abstractNum w:abstractNumId="266">
    <w:nsid w:val="34DFBC0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67">
    <w:nsid w:val="1F9EC32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68">
    <w:nsid w:val="3410ED56"/>
    <w:multiLevelType w:val="hybridMultilevel"/>
    <w:lvl w:ilvl="0">
      <w:lvlJc w:val="left"/>
      <w:lvlText w:val="(%1)"/>
      <w:numFmt w:val="lowerRoman"/>
      <w:start w:val="4"/>
    </w:lvl>
  </w:abstractNum>
  <w:abstractNum w:abstractNumId="269">
    <w:nsid w:val="23C049A"/>
    <w:multiLevelType w:val="hybridMultilevel"/>
    <w:lvl w:ilvl="0">
      <w:lvlJc w:val="left"/>
      <w:lvlText w:val="(%1)"/>
      <w:numFmt w:val="lowerRoman"/>
      <w:start w:val="8"/>
    </w:lvl>
  </w:abstractNum>
  <w:abstractNum w:abstractNumId="270">
    <w:nsid w:val="5BDA35D4"/>
    <w:multiLevelType w:val="hybridMultilevel"/>
    <w:lvl w:ilvl="0">
      <w:lvlJc w:val="left"/>
      <w:lvlText w:val="."/>
      <w:numFmt w:val="bullet"/>
      <w:start w:val="1"/>
    </w:lvl>
  </w:abstractNum>
  <w:abstractNum w:abstractNumId="271">
    <w:nsid w:val="496FB218"/>
    <w:multiLevelType w:val="hybridMultilevel"/>
    <w:lvl w:ilvl="0">
      <w:lvlJc w:val="left"/>
      <w:lvlText w:val="."/>
      <w:numFmt w:val="bullet"/>
      <w:start w:val="1"/>
    </w:lvl>
  </w:abstractNum>
  <w:abstractNum w:abstractNumId="272">
    <w:nsid w:val="680EA5D1"/>
    <w:multiLevelType w:val="hybridMultilevel"/>
    <w:lvl w:ilvl="0">
      <w:lvlJc w:val="left"/>
      <w:lvlText w:val="."/>
      <w:numFmt w:val="bullet"/>
      <w:start w:val="1"/>
    </w:lvl>
  </w:abstractNum>
  <w:abstractNum w:abstractNumId="273">
    <w:nsid w:val="4A9554FE"/>
    <w:multiLevelType w:val="hybridMultilevel"/>
    <w:lvl w:ilvl="0">
      <w:lvlJc w:val="left"/>
      <w:lvlText w:val="(%1)"/>
      <w:numFmt w:val="upperLetter"/>
      <w:start w:val="1"/>
    </w:lvl>
  </w:abstractNum>
  <w:abstractNum w:abstractNumId="274">
    <w:nsid w:val="392EDBE4"/>
    <w:multiLevelType w:val="hybridMultilevel"/>
    <w:lvl w:ilvl="0">
      <w:lvlJc w:val="left"/>
      <w:lvlText w:val="."/>
      <w:numFmt w:val="bullet"/>
      <w:start w:val="1"/>
    </w:lvl>
  </w:abstractNum>
  <w:abstractNum w:abstractNumId="275">
    <w:nsid w:val="3D1A2DD9"/>
    <w:multiLevelType w:val="hybridMultilevel"/>
    <w:lvl w:ilvl="0">
      <w:lvlJc w:val="left"/>
      <w:lvlText w:val="."/>
      <w:numFmt w:val="bullet"/>
      <w:start w:val="1"/>
    </w:lvl>
  </w:abstractNum>
  <w:abstractNum w:abstractNumId="276">
    <w:nsid w:val="7F618FCD"/>
    <w:multiLevelType w:val="hybridMultilevel"/>
    <w:lvl w:ilvl="0">
      <w:lvlJc w:val="left"/>
      <w:lvlText w:val="."/>
      <w:numFmt w:val="bullet"/>
      <w:start w:val="1"/>
    </w:lvl>
  </w:abstractNum>
  <w:abstractNum w:abstractNumId="277">
    <w:nsid w:val="7843E45"/>
    <w:multiLevelType w:val="hybridMultilevel"/>
    <w:lvl w:ilvl="0">
      <w:lvlJc w:val="left"/>
      <w:lvlText w:val="."/>
      <w:numFmt w:val="bullet"/>
      <w:start w:val="1"/>
    </w:lvl>
  </w:abstractNum>
  <w:abstractNum w:abstractNumId="278">
    <w:nsid w:val="9815DA3"/>
    <w:multiLevelType w:val="hybridMultilevel"/>
    <w:lvl w:ilvl="0">
      <w:lvlJc w:val="left"/>
      <w:lvlText w:val="(%1)"/>
      <w:numFmt w:val="lowerLetter"/>
      <w:start w:val="2"/>
    </w:lvl>
  </w:abstractNum>
  <w:abstractNum w:abstractNumId="279">
    <w:nsid w:val="5204A191"/>
    <w:multiLevelType w:val="hybridMultilevel"/>
    <w:lvl w:ilvl="0">
      <w:lvlJc w:val="left"/>
      <w:lvlText w:val="."/>
      <w:numFmt w:val="bullet"/>
      <w:start w:val="1"/>
    </w:lvl>
  </w:abstractNum>
  <w:abstractNum w:abstractNumId="280">
    <w:nsid w:val="4C73A9C6"/>
    <w:multiLevelType w:val="hybridMultilevel"/>
    <w:lvl w:ilvl="0">
      <w:lvlJc w:val="left"/>
      <w:lvlText w:val="."/>
      <w:numFmt w:val="bullet"/>
      <w:start w:val="1"/>
    </w:lvl>
  </w:abstractNum>
  <w:abstractNum w:abstractNumId="281">
    <w:nsid w:val="1C7E3C01"/>
    <w:multiLevelType w:val="hybridMultilevel"/>
    <w:lvl w:ilvl="0">
      <w:lvlJc w:val="left"/>
      <w:lvlText w:val="(%1)"/>
      <w:numFmt w:val="lowerLetter"/>
      <w:start w:val="2"/>
    </w:lvl>
  </w:abstractNum>
  <w:abstractNum w:abstractNumId="282">
    <w:nsid w:val="1C2201FF"/>
    <w:multiLevelType w:val="hybridMultilevel"/>
    <w:lvl w:ilvl="0">
      <w:lvlJc w:val="left"/>
      <w:lvlText w:val="."/>
      <w:numFmt w:val="bullet"/>
      <w:start w:val="1"/>
    </w:lvl>
  </w:abstractNum>
  <w:abstractNum w:abstractNumId="283">
    <w:nsid w:val="50ABCEC9"/>
    <w:multiLevelType w:val="hybridMultilevel"/>
    <w:lvl w:ilvl="0">
      <w:lvlJc w:val="left"/>
      <w:lvlText w:val="."/>
      <w:numFmt w:val="bullet"/>
      <w:start w:val="1"/>
    </w:lvl>
  </w:abstractNum>
  <w:abstractNum w:abstractNumId="284">
    <w:nsid w:val="7635AA2A"/>
    <w:multiLevelType w:val="hybridMultilevel"/>
    <w:lvl w:ilvl="0">
      <w:lvlJc w:val="left"/>
      <w:lvlText w:val="."/>
      <w:numFmt w:val="bullet"/>
      <w:start w:val="1"/>
    </w:lvl>
  </w:abstractNum>
  <w:abstractNum w:abstractNumId="285">
    <w:nsid w:val="5E74C4D9"/>
    <w:multiLevelType w:val="hybridMultilevel"/>
    <w:lvl w:ilvl="0">
      <w:lvlJc w:val="left"/>
      <w:lvlText w:val="."/>
      <w:numFmt w:val="bullet"/>
      <w:start w:val="1"/>
    </w:lvl>
  </w:abstractNum>
  <w:abstractNum w:abstractNumId="286">
    <w:nsid w:val="3B3EBE15"/>
    <w:multiLevelType w:val="hybridMultilevel"/>
    <w:lvl w:ilvl="0">
      <w:lvlJc w:val="left"/>
      <w:lvlText w:val="(%1)"/>
      <w:numFmt w:val="lowerLetter"/>
      <w:start w:val="1"/>
    </w:lvl>
    <w:lvl w:ilvl="1">
      <w:lvlJc w:val="left"/>
      <w:lvlText w:val="(%2)"/>
      <w:numFmt w:val="lowerRoman"/>
      <w:start w:val="1"/>
    </w:lvl>
  </w:abstractNum>
  <w:abstractNum w:abstractNumId="287">
    <w:nsid w:val="3822CB01"/>
    <w:multiLevelType w:val="hybridMultilevel"/>
    <w:lvl w:ilvl="0">
      <w:lvlJc w:val="left"/>
      <w:lvlText w:val="(%1)"/>
      <w:numFmt w:val="lowerLetter"/>
      <w:start w:val="5"/>
    </w:lvl>
  </w:abstractNum>
  <w:abstractNum w:abstractNumId="288">
    <w:nsid w:val="6CE00443"/>
    <w:multiLevelType w:val="hybridMultilevel"/>
    <w:lvl w:ilvl="0">
      <w:lvlJc w:val="left"/>
      <w:lvlText w:val="."/>
      <w:numFmt w:val="bullet"/>
      <w:start w:val="1"/>
    </w:lvl>
  </w:abstractNum>
  <w:abstractNum w:abstractNumId="289">
    <w:nsid w:val="79F0D62F"/>
    <w:multiLevelType w:val="hybridMultilevel"/>
    <w:lvl w:ilvl="0">
      <w:lvlJc w:val="left"/>
      <w:lvlText w:val="."/>
      <w:numFmt w:val="bullet"/>
      <w:start w:val="1"/>
    </w:lvl>
    <w:lvl w:ilvl="1">
      <w:lvlJc w:val="left"/>
      <w:lvlText w:val="(%2)"/>
      <w:numFmt w:val="lowerLetter"/>
      <w:start w:val="1"/>
    </w:lvl>
  </w:abstractNum>
  <w:abstractNum w:abstractNumId="290">
    <w:nsid w:val="7975E8EE"/>
    <w:multiLevelType w:val="hybridMultilevel"/>
    <w:lvl w:ilvl="0">
      <w:lvlJc w:val="left"/>
      <w:lvlText w:val="(%1)"/>
      <w:numFmt w:val="lowerLetter"/>
      <w:start w:val="2"/>
    </w:lvl>
    <w:lvl w:ilvl="1">
      <w:lvlJc w:val="left"/>
      <w:lvlText w:val="(%2)"/>
      <w:numFmt w:val="lowerRoman"/>
      <w:start w:val="1"/>
    </w:lvl>
  </w:abstractNum>
  <w:abstractNum w:abstractNumId="291">
    <w:nsid w:val="73154115"/>
    <w:multiLevelType w:val="hybridMultilevel"/>
    <w:lvl w:ilvl="0">
      <w:lvlJc w:val="left"/>
      <w:lvlText w:val="."/>
      <w:numFmt w:val="bullet"/>
      <w:start w:val="1"/>
    </w:lvl>
  </w:abstractNum>
  <w:abstractNum w:abstractNumId="292">
    <w:nsid w:val="622D810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2024-08-13T16:08:12Z</dcterms:created>
  <dcterms:modified xsi:type="dcterms:W3CDTF">2024-08-13T16:08:12Z</dcterms:modified>
</cp:coreProperties>
</file>