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Civeo Corporation</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178787107</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Torgerson Family Trust and 989677 Alberta Ltd.</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9657 45 Avenue NW</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Edmonton, Alberta, Canada T6E 5Z8</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Attention: Lance Torgerson</w:t>
      </w:r>
    </w:p>
    <w:p>
      <w:pPr>
        <w:spacing w:after="0" w:line="203" w:lineRule="exact"/>
        <w:rPr>
          <w:sz w:val="24"/>
          <w:szCs w:val="24"/>
          <w:color w:val="auto"/>
        </w:rPr>
      </w:pPr>
    </w:p>
    <w:p>
      <w:pPr>
        <w:ind w:left="4884"/>
        <w:spacing w:after="0"/>
        <w:rPr>
          <w:sz w:val="20"/>
          <w:szCs w:val="20"/>
          <w:color w:val="auto"/>
        </w:rPr>
      </w:pPr>
      <w:r>
        <w:rPr>
          <w:rFonts w:ascii="Times New Roman" w:cs="Times New Roman" w:eastAsia="Times New Roman" w:hAnsi="Times New Roman"/>
          <w:sz w:val="18"/>
          <w:szCs w:val="18"/>
          <w:b w:val="1"/>
          <w:bCs w:val="1"/>
          <w:color w:val="auto"/>
        </w:rPr>
        <w:t>- with copies to -</w:t>
      </w:r>
    </w:p>
    <w:p>
      <w:pPr>
        <w:spacing w:after="0" w:line="117" w:lineRule="exact"/>
        <w:rPr>
          <w:sz w:val="24"/>
          <w:szCs w:val="24"/>
          <w:color w:val="auto"/>
        </w:rPr>
      </w:pPr>
    </w:p>
    <w:p>
      <w:pPr>
        <w:ind w:left="4664"/>
        <w:spacing w:after="0"/>
        <w:rPr>
          <w:sz w:val="20"/>
          <w:szCs w:val="20"/>
          <w:color w:val="auto"/>
        </w:rPr>
      </w:pPr>
      <w:r>
        <w:rPr>
          <w:rFonts w:ascii="Times New Roman" w:cs="Times New Roman" w:eastAsia="Times New Roman" w:hAnsi="Times New Roman"/>
          <w:sz w:val="18"/>
          <w:szCs w:val="18"/>
          <w:b w:val="1"/>
          <w:bCs w:val="1"/>
          <w:color w:val="auto"/>
        </w:rPr>
        <w:t>Dentons Canada LLP</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2900 Manulife Place</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10180 – 101 St. NW</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Edmonton, AB T5J 3V5</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Attention: Leanne Krawchuk</w:t>
      </w:r>
    </w:p>
    <w:p>
      <w:pPr>
        <w:jc w:val="center"/>
        <w:ind w:right="-63"/>
        <w:spacing w:after="0" w:line="224" w:lineRule="auto"/>
        <w:rPr>
          <w:sz w:val="20"/>
          <w:szCs w:val="20"/>
          <w:color w:val="auto"/>
        </w:rPr>
      </w:pPr>
      <w:r>
        <w:rPr>
          <w:rFonts w:ascii="Times New Roman" w:cs="Times New Roman" w:eastAsia="Times New Roman" w:hAnsi="Times New Roman"/>
          <w:sz w:val="14"/>
          <w:szCs w:val="14"/>
          <w:b w:val="1"/>
          <w:bCs w:val="1"/>
          <w:color w:val="auto"/>
        </w:rPr>
        <w:t>(Name, Address and Telephone Number of Person</w:t>
      </w:r>
    </w:p>
    <w:p>
      <w:pPr>
        <w:spacing w:after="0" w:line="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Authorized to Receive Notices and Communications)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October 30, 2022</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12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9" w:lineRule="exact"/>
        <w:rPr>
          <w:sz w:val="24"/>
          <w:szCs w:val="24"/>
          <w:color w:val="auto"/>
        </w:rPr>
      </w:pPr>
    </w:p>
    <w:p>
      <w:pPr>
        <w:ind w:left="4" w:right="28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Rule 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14"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54"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76" w:right="5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auto"/>
        </w:rPr>
        <w:t>178787107</w:t>
      </w:r>
    </w:p>
    <w:p>
      <w:pPr>
        <w:spacing w:after="0" w:line="254" w:lineRule="exact"/>
        <w:rPr>
          <w:sz w:val="20"/>
          <w:szCs w:val="20"/>
          <w:color w:val="auto"/>
        </w:rPr>
      </w:pPr>
    </w:p>
    <w:tbl>
      <w:tblPr>
        <w:tblLayout w:type="fixed"/>
        <w:tblInd w:w="14" w:type="dxa"/>
        <w:tblCellMar>
          <w:top w:w="0" w:type="dxa"/>
          <w:left w:w="0" w:type="dxa"/>
          <w:bottom w:w="0" w:type="dxa"/>
          <w:right w:w="0" w:type="dxa"/>
        </w:tblCellMar>
      </w:tblPr>
      <w:tr>
        <w:trPr>
          <w:trHeight w:val="252"/>
        </w:trPr>
        <w:tc>
          <w:tcPr>
            <w:tcW w:w="34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auto"/>
              <w:right w:val="single" w:sz="8" w:color="auto"/>
            </w:tcBorders>
          </w:tcPr>
          <w:p>
            <w:pPr>
              <w:spacing w:after="0"/>
              <w:rPr>
                <w:sz w:val="21"/>
                <w:szCs w:val="21"/>
                <w:color w:val="auto"/>
              </w:rPr>
            </w:pPr>
          </w:p>
        </w:tc>
        <w:tc>
          <w:tcPr>
            <w:tcW w:w="10460" w:type="dxa"/>
            <w:vAlign w:val="bottom"/>
            <w:tcBorders>
              <w:top w:val="single" w:sz="8" w:color="auto"/>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Torgerson Family Trust</w:t>
            </w: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gridSpan w:val="3"/>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right w:val="single" w:sz="8" w:color="auto"/>
            </w:tcBorders>
          </w:tcPr>
          <w:p>
            <w:pPr>
              <w:spacing w:after="0"/>
              <w:rPr>
                <w:sz w:val="20"/>
                <w:szCs w:val="20"/>
                <w:color w:val="auto"/>
              </w:rPr>
            </w:pPr>
          </w:p>
        </w:tc>
        <w:tc>
          <w:tcPr>
            <w:tcW w:w="1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8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OO</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Province of British Columbia, Canada</w:t>
            </w: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3"/>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6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Borders>
              <w:right w:val="single" w:sz="8" w:color="auto"/>
            </w:tcBorders>
            <w:vMerge w:val="restart"/>
          </w:tcPr>
          <w:p>
            <w:pPr>
              <w:jc w:val="center"/>
              <w:ind w:right="234"/>
              <w:spacing w:after="0"/>
              <w:rPr>
                <w:sz w:val="20"/>
                <w:szCs w:val="20"/>
                <w:color w:val="auto"/>
              </w:rPr>
            </w:pPr>
            <w:r>
              <w:rPr>
                <w:rFonts w:ascii="Times New Roman" w:cs="Times New Roman" w:eastAsia="Times New Roman" w:hAnsi="Times New Roman"/>
                <w:sz w:val="18"/>
                <w:szCs w:val="18"/>
                <w:color w:val="auto"/>
              </w:rPr>
              <w:t>SHARES</w:t>
            </w:r>
          </w:p>
        </w:tc>
        <w:tc>
          <w:tcPr>
            <w:tcW w:w="6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8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60" w:type="dxa"/>
            <w:vAlign w:val="bottom"/>
          </w:tcPr>
          <w:p>
            <w:pPr>
              <w:spacing w:after="0"/>
              <w:rPr>
                <w:sz w:val="9"/>
                <w:szCs w:val="9"/>
                <w:color w:val="auto"/>
              </w:rPr>
            </w:pPr>
          </w:p>
        </w:tc>
        <w:tc>
          <w:tcPr>
            <w:tcW w:w="360" w:type="dxa"/>
            <w:vAlign w:val="bottom"/>
            <w:tcBorders>
              <w:right w:val="single" w:sz="8" w:color="auto"/>
            </w:tcBorders>
            <w:vMerge w:val="continue"/>
          </w:tcPr>
          <w:p>
            <w:pPr>
              <w:spacing w:after="0"/>
              <w:rPr>
                <w:sz w:val="9"/>
                <w:szCs w:val="9"/>
                <w:color w:val="auto"/>
              </w:rPr>
            </w:pPr>
          </w:p>
        </w:tc>
        <w:tc>
          <w:tcPr>
            <w:tcW w:w="8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89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114"/>
              <w:spacing w:after="0"/>
              <w:rPr>
                <w:sz w:val="20"/>
                <w:szCs w:val="20"/>
                <w:color w:val="auto"/>
              </w:rPr>
            </w:pPr>
            <w:r>
              <w:rPr>
                <w:rFonts w:ascii="Times New Roman" w:cs="Times New Roman" w:eastAsia="Times New Roman" w:hAnsi="Times New Roman"/>
                <w:sz w:val="18"/>
                <w:szCs w:val="18"/>
                <w:color w:val="auto"/>
              </w:rPr>
              <w:t>OWNED BY</w:t>
            </w:r>
          </w:p>
        </w:tc>
        <w:tc>
          <w:tcPr>
            <w:tcW w:w="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 xml:space="preserve">1,713,193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EACH</w:t>
            </w: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89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340" w:type="dxa"/>
            <w:vAlign w:val="bottom"/>
            <w:tcBorders>
              <w:lef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2"/>
        </w:trPr>
        <w:tc>
          <w:tcPr>
            <w:tcW w:w="152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REPORTING</w:t>
            </w:r>
          </w:p>
        </w:tc>
        <w:tc>
          <w:tcPr>
            <w:tcW w:w="60" w:type="dxa"/>
            <w:vAlign w:val="bottom"/>
          </w:tcPr>
          <w:p>
            <w:pPr>
              <w:spacing w:after="0"/>
              <w:rPr>
                <w:sz w:val="14"/>
                <w:szCs w:val="14"/>
                <w:color w:val="auto"/>
              </w:rPr>
            </w:pPr>
          </w:p>
        </w:tc>
        <w:tc>
          <w:tcPr>
            <w:tcW w:w="360" w:type="dxa"/>
            <w:vAlign w:val="bottom"/>
            <w:tcBorders>
              <w:right w:val="single" w:sz="8" w:color="auto"/>
            </w:tcBorders>
            <w:vMerge w:val="continue"/>
          </w:tcPr>
          <w:p>
            <w:pPr>
              <w:spacing w:after="0"/>
              <w:rPr>
                <w:sz w:val="14"/>
                <w:szCs w:val="14"/>
                <w:color w:val="auto"/>
              </w:rPr>
            </w:pPr>
          </w:p>
        </w:tc>
        <w:tc>
          <w:tcPr>
            <w:tcW w:w="89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right w:val="single" w:sz="8" w:color="auto"/>
            </w:tcBorders>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Borders>
              <w:right w:val="single" w:sz="8" w:color="auto"/>
            </w:tcBorders>
          </w:tcPr>
          <w:p>
            <w:pPr>
              <w:spacing w:after="0"/>
              <w:rPr>
                <w:sz w:val="4"/>
                <w:szCs w:val="4"/>
                <w:color w:val="auto"/>
              </w:rPr>
            </w:pPr>
          </w:p>
        </w:tc>
        <w:tc>
          <w:tcPr>
            <w:tcW w:w="89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right w:val="single" w:sz="8" w:color="auto"/>
            </w:tcBorders>
          </w:tcPr>
          <w:p>
            <w:pPr>
              <w:jc w:val="center"/>
              <w:ind w:right="234"/>
              <w:spacing w:after="0"/>
              <w:rPr>
                <w:sz w:val="20"/>
                <w:szCs w:val="20"/>
                <w:color w:val="auto"/>
              </w:rPr>
            </w:pPr>
            <w:r>
              <w:rPr>
                <w:rFonts w:ascii="Times New Roman" w:cs="Times New Roman" w:eastAsia="Times New Roman" w:hAnsi="Times New Roman"/>
                <w:sz w:val="18"/>
                <w:szCs w:val="18"/>
                <w:color w:val="auto"/>
              </w:rPr>
              <w:t>PERSON</w:t>
            </w:r>
          </w:p>
        </w:tc>
        <w:tc>
          <w:tcPr>
            <w:tcW w:w="6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right w:val="single" w:sz="8" w:color="auto"/>
            </w:tcBorders>
          </w:tcPr>
          <w:p>
            <w:pPr>
              <w:jc w:val="center"/>
              <w:ind w:right="214"/>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89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xml:space="preserve">1,713,193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232"/>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0460" w:type="dxa"/>
            <w:vAlign w:val="bottom"/>
            <w:tcBorders>
              <w:right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w w:val="97"/>
              </w:rPr>
              <w:t xml:space="preserve">1,713,193 </w:t>
            </w:r>
            <w:r>
              <w:rPr>
                <w:rFonts w:ascii="Times New Roman" w:cs="Times New Roman" w:eastAsia="Times New Roman" w:hAnsi="Times New Roman"/>
                <w:sz w:val="26"/>
                <w:szCs w:val="26"/>
                <w:color w:val="auto"/>
                <w:w w:val="97"/>
                <w:vertAlign w:val="superscript"/>
              </w:rPr>
              <w:t>(1)</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11.26%</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OO</w:t>
            </w:r>
          </w:p>
        </w:tc>
        <w:tc>
          <w:tcPr>
            <w:tcW w:w="36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160" w:hanging="424"/>
        <w:spacing w:after="0" w:line="208" w:lineRule="auto"/>
        <w:tabs>
          <w:tab w:leader="none" w:pos="424" w:val="left"/>
        </w:tabs>
        <w:numPr>
          <w:ilvl w:val="0"/>
          <w:numId w:val="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1,498,544 common shares issuable upon conversion of 5,425 Class A Series 1 preferred shares held by Torgerson Family Trust, which may be converted at the option of the holder.</w:t>
      </w:r>
    </w:p>
    <w:p>
      <w:pPr>
        <w:spacing w:after="0" w:line="132"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4"/>
          </w:cols>
          <w:pgMar w:left="436" w:top="266"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auto"/>
        </w:rPr>
        <w:t>178787107</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34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auto"/>
              <w:right w:val="single" w:sz="8" w:color="auto"/>
            </w:tcBorders>
          </w:tcPr>
          <w:p>
            <w:pPr>
              <w:spacing w:after="0"/>
              <w:rPr>
                <w:sz w:val="21"/>
                <w:szCs w:val="21"/>
                <w:color w:val="auto"/>
              </w:rPr>
            </w:pPr>
          </w:p>
        </w:tc>
        <w:tc>
          <w:tcPr>
            <w:tcW w:w="10460" w:type="dxa"/>
            <w:vAlign w:val="bottom"/>
            <w:tcBorders>
              <w:top w:val="single" w:sz="8" w:color="auto"/>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w w:val="99"/>
              </w:rPr>
              <w:t>989677 Alberta Ltd.</w:t>
            </w:r>
          </w:p>
        </w:tc>
        <w:tc>
          <w:tcPr>
            <w:tcW w:w="8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640" w:type="dxa"/>
            <w:vAlign w:val="bottom"/>
            <w:tcBorders>
              <w:bottom w:val="single" w:sz="8" w:color="auto"/>
            </w:tcBorders>
            <w:gridSpan w:val="3"/>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right w:val="single" w:sz="8" w:color="auto"/>
            </w:tcBorders>
          </w:tcPr>
          <w:p>
            <w:pPr>
              <w:spacing w:after="0"/>
              <w:rPr>
                <w:sz w:val="20"/>
                <w:szCs w:val="20"/>
                <w:color w:val="auto"/>
              </w:rPr>
            </w:pPr>
          </w:p>
        </w:tc>
        <w:tc>
          <w:tcPr>
            <w:tcW w:w="1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8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9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OO</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9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Province of Alberta, Canada</w:t>
            </w: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w:t>
            </w:r>
          </w:p>
        </w:tc>
        <w:tc>
          <w:tcPr>
            <w:tcW w:w="160" w:type="dxa"/>
            <w:vAlign w:val="bottom"/>
          </w:tcPr>
          <w:p>
            <w:pPr>
              <w:spacing w:after="0"/>
              <w:rPr>
                <w:sz w:val="20"/>
                <w:szCs w:val="20"/>
                <w:color w:val="auto"/>
              </w:rPr>
            </w:pPr>
          </w:p>
        </w:tc>
        <w:tc>
          <w:tcPr>
            <w:tcW w:w="8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3"/>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4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Borders>
              <w:right w:val="single" w:sz="8" w:color="auto"/>
            </w:tcBorders>
            <w:vMerge w:val="restart"/>
          </w:tcPr>
          <w:p>
            <w:pPr>
              <w:jc w:val="center"/>
              <w:ind w:right="234"/>
              <w:spacing w:after="0"/>
              <w:rPr>
                <w:sz w:val="20"/>
                <w:szCs w:val="20"/>
                <w:color w:val="auto"/>
              </w:rPr>
            </w:pPr>
            <w:r>
              <w:rPr>
                <w:rFonts w:ascii="Times New Roman" w:cs="Times New Roman" w:eastAsia="Times New Roman" w:hAnsi="Times New Roman"/>
                <w:sz w:val="18"/>
                <w:szCs w:val="18"/>
                <w:color w:val="auto"/>
              </w:rPr>
              <w:t>SHARES</w:t>
            </w:r>
          </w:p>
        </w:tc>
        <w:tc>
          <w:tcPr>
            <w:tcW w:w="4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w:t>
            </w:r>
          </w:p>
        </w:tc>
        <w:tc>
          <w:tcPr>
            <w:tcW w:w="160" w:type="dxa"/>
            <w:vAlign w:val="bottom"/>
          </w:tcPr>
          <w:p>
            <w:pPr>
              <w:spacing w:after="0"/>
              <w:rPr>
                <w:sz w:val="10"/>
                <w:szCs w:val="10"/>
                <w:color w:val="auto"/>
              </w:rPr>
            </w:pPr>
          </w:p>
        </w:tc>
        <w:tc>
          <w:tcPr>
            <w:tcW w:w="88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88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8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114"/>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160,104</w:t>
            </w:r>
          </w:p>
        </w:tc>
        <w:tc>
          <w:tcPr>
            <w:tcW w:w="0" w:type="dxa"/>
            <w:vAlign w:val="bottom"/>
          </w:tcPr>
          <w:p>
            <w:pPr>
              <w:spacing w:after="0"/>
              <w:rPr>
                <w:sz w:val="1"/>
                <w:szCs w:val="1"/>
                <w:color w:val="auto"/>
              </w:rPr>
            </w:pPr>
          </w:p>
        </w:tc>
      </w:tr>
      <w:tr>
        <w:trPr>
          <w:trHeight w:val="120"/>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EACH</w:t>
            </w:r>
          </w:p>
        </w:tc>
        <w:tc>
          <w:tcPr>
            <w:tcW w:w="42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40" w:type="dxa"/>
            <w:vAlign w:val="bottom"/>
            <w:tcBorders>
              <w:lef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w:t>
            </w:r>
          </w:p>
        </w:tc>
        <w:tc>
          <w:tcPr>
            <w:tcW w:w="160" w:type="dxa"/>
            <w:vAlign w:val="bottom"/>
          </w:tcPr>
          <w:p>
            <w:pPr>
              <w:spacing w:after="0"/>
              <w:rPr>
                <w:sz w:val="6"/>
                <w:szCs w:val="6"/>
                <w:color w:val="auto"/>
              </w:rPr>
            </w:pPr>
          </w:p>
        </w:tc>
        <w:tc>
          <w:tcPr>
            <w:tcW w:w="88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2"/>
        </w:trPr>
        <w:tc>
          <w:tcPr>
            <w:tcW w:w="152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REPORTING</w:t>
            </w:r>
          </w:p>
        </w:tc>
        <w:tc>
          <w:tcPr>
            <w:tcW w:w="420" w:type="dxa"/>
            <w:vAlign w:val="bottom"/>
            <w:tcBorders>
              <w:right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8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right w:val="single" w:sz="8" w:color="auto"/>
            </w:tcBorders>
            <w:gridSpan w:val="3"/>
            <w:vMerge w:val="continue"/>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8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right w:val="single" w:sz="8" w:color="auto"/>
            </w:tcBorders>
          </w:tcPr>
          <w:p>
            <w:pPr>
              <w:jc w:val="center"/>
              <w:ind w:right="234"/>
              <w:spacing w:after="0"/>
              <w:rPr>
                <w:sz w:val="20"/>
                <w:szCs w:val="20"/>
                <w:color w:val="auto"/>
              </w:rPr>
            </w:pPr>
            <w:r>
              <w:rPr>
                <w:rFonts w:ascii="Times New Roman" w:cs="Times New Roman" w:eastAsia="Times New Roman" w:hAnsi="Times New Roman"/>
                <w:sz w:val="18"/>
                <w:szCs w:val="18"/>
                <w:color w:val="auto"/>
              </w:rPr>
              <w:t>PERSON</w:t>
            </w: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right w:val="single" w:sz="8" w:color="auto"/>
            </w:tcBorders>
          </w:tcPr>
          <w:p>
            <w:pPr>
              <w:jc w:val="center"/>
              <w:ind w:right="214"/>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2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w:t>
            </w:r>
          </w:p>
        </w:tc>
        <w:tc>
          <w:tcPr>
            <w:tcW w:w="160" w:type="dxa"/>
            <w:vAlign w:val="bottom"/>
          </w:tcPr>
          <w:p>
            <w:pPr>
              <w:spacing w:after="0"/>
              <w:rPr>
                <w:sz w:val="20"/>
                <w:szCs w:val="20"/>
                <w:color w:val="auto"/>
              </w:rPr>
            </w:pPr>
          </w:p>
        </w:tc>
        <w:tc>
          <w:tcPr>
            <w:tcW w:w="8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160,104</w:t>
            </w: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0460" w:type="dxa"/>
            <w:vAlign w:val="bottom"/>
            <w:tcBorders>
              <w:right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160,104</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4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1.17%</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2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ectPr>
          <w:pgSz w:w="11900" w:h="16838" w:orient="portrait"/>
          <w:cols w:equalWidth="0" w:num="1">
            <w:col w:w="10900"/>
          </w:cols>
          <w:pgMar w:left="440" w:top="266" w:right="5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auto"/>
        </w:rPr>
        <w:t>178787107</w:t>
      </w:r>
    </w:p>
    <w:p>
      <w:pPr>
        <w:spacing w:after="0" w:line="254" w:lineRule="exact"/>
        <w:rPr>
          <w:sz w:val="20"/>
          <w:szCs w:val="20"/>
          <w:color w:val="auto"/>
        </w:rPr>
      </w:pPr>
    </w:p>
    <w:tbl>
      <w:tblPr>
        <w:tblLayout w:type="fixed"/>
        <w:tblInd w:w="14" w:type="dxa"/>
        <w:tblCellMar>
          <w:top w:w="0" w:type="dxa"/>
          <w:left w:w="0" w:type="dxa"/>
          <w:bottom w:w="0" w:type="dxa"/>
          <w:right w:w="0" w:type="dxa"/>
        </w:tblCellMar>
      </w:tblPr>
      <w:tr>
        <w:trPr>
          <w:trHeight w:val="252"/>
        </w:trPr>
        <w:tc>
          <w:tcPr>
            <w:tcW w:w="34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auto"/>
              <w:right w:val="single" w:sz="8" w:color="auto"/>
            </w:tcBorders>
          </w:tcPr>
          <w:p>
            <w:pPr>
              <w:spacing w:after="0"/>
              <w:rPr>
                <w:sz w:val="21"/>
                <w:szCs w:val="21"/>
                <w:color w:val="auto"/>
              </w:rPr>
            </w:pPr>
          </w:p>
        </w:tc>
        <w:tc>
          <w:tcPr>
            <w:tcW w:w="10460" w:type="dxa"/>
            <w:vAlign w:val="bottom"/>
            <w:tcBorders>
              <w:top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Svenco Investments Ltd.</w:t>
            </w: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gridSpan w:val="2"/>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right w:val="single" w:sz="8" w:color="auto"/>
            </w:tcBorders>
          </w:tcPr>
          <w:p>
            <w:pPr>
              <w:spacing w:after="0"/>
              <w:rPr>
                <w:sz w:val="20"/>
                <w:szCs w:val="20"/>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8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OO</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460" w:type="dxa"/>
            <w:vAlign w:val="bottom"/>
            <w:tcBorders>
              <w:bottom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Province of Alberta, Canada</w:t>
            </w: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3"/>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420" w:type="dxa"/>
            <w:vAlign w:val="bottom"/>
            <w:tcBorders>
              <w:right w:val="single" w:sz="8" w:color="auto"/>
            </w:tcBorders>
          </w:tcPr>
          <w:p>
            <w:pPr>
              <w:spacing w:after="0"/>
              <w:rPr>
                <w:sz w:val="24"/>
                <w:szCs w:val="24"/>
                <w:color w:val="auto"/>
              </w:rPr>
            </w:pP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Borders>
              <w:right w:val="single" w:sz="8" w:color="auto"/>
            </w:tcBorders>
            <w:vMerge w:val="restart"/>
          </w:tcPr>
          <w:p>
            <w:pPr>
              <w:jc w:val="center"/>
              <w:ind w:right="234"/>
              <w:spacing w:after="0"/>
              <w:rPr>
                <w:sz w:val="20"/>
                <w:szCs w:val="20"/>
                <w:color w:val="auto"/>
              </w:rPr>
            </w:pPr>
            <w:r>
              <w:rPr>
                <w:rFonts w:ascii="Times New Roman" w:cs="Times New Roman" w:eastAsia="Times New Roman" w:hAnsi="Times New Roman"/>
                <w:sz w:val="18"/>
                <w:szCs w:val="18"/>
                <w:color w:val="auto"/>
              </w:rPr>
              <w:t>SHARES</w:t>
            </w:r>
          </w:p>
        </w:tc>
        <w:tc>
          <w:tcPr>
            <w:tcW w:w="420" w:type="dxa"/>
            <w:vAlign w:val="bottom"/>
            <w:tcBorders>
              <w:bottom w:val="single" w:sz="8" w:color="auto"/>
              <w:right w:val="single" w:sz="8" w:color="auto"/>
            </w:tcBorders>
          </w:tcPr>
          <w:p>
            <w:pPr>
              <w:spacing w:after="0"/>
              <w:rPr>
                <w:sz w:val="5"/>
                <w:szCs w:val="5"/>
                <w:color w:val="auto"/>
              </w:rPr>
            </w:pPr>
          </w:p>
        </w:tc>
        <w:tc>
          <w:tcPr>
            <w:tcW w:w="8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8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89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114"/>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 xml:space="preserve">160,104 </w:t>
            </w:r>
            <w:r>
              <w:rPr>
                <w:rFonts w:ascii="Times New Roman" w:cs="Times New Roman" w:eastAsia="Times New Roman" w:hAnsi="Times New Roman"/>
                <w:sz w:val="26"/>
                <w:szCs w:val="26"/>
                <w:color w:val="auto"/>
                <w:vertAlign w:val="superscript"/>
              </w:rPr>
              <w:t>(2)</w:t>
            </w:r>
          </w:p>
        </w:tc>
        <w:tc>
          <w:tcPr>
            <w:tcW w:w="0" w:type="dxa"/>
            <w:vAlign w:val="bottom"/>
          </w:tcPr>
          <w:p>
            <w:pPr>
              <w:spacing w:after="0"/>
              <w:rPr>
                <w:sz w:val="1"/>
                <w:szCs w:val="1"/>
                <w:color w:val="auto"/>
              </w:rPr>
            </w:pPr>
          </w:p>
        </w:tc>
      </w:tr>
      <w:tr>
        <w:trPr>
          <w:trHeight w:val="126"/>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EACH</w:t>
            </w:r>
          </w:p>
        </w:tc>
        <w:tc>
          <w:tcPr>
            <w:tcW w:w="420" w:type="dxa"/>
            <w:vAlign w:val="bottom"/>
            <w:tcBorders>
              <w:bottom w:val="single" w:sz="8" w:color="auto"/>
              <w:right w:val="single" w:sz="8" w:color="auto"/>
            </w:tcBorders>
          </w:tcPr>
          <w:p>
            <w:pPr>
              <w:spacing w:after="0"/>
              <w:rPr>
                <w:sz w:val="10"/>
                <w:szCs w:val="10"/>
                <w:color w:val="auto"/>
              </w:rPr>
            </w:pPr>
          </w:p>
        </w:tc>
        <w:tc>
          <w:tcPr>
            <w:tcW w:w="89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340" w:type="dxa"/>
            <w:vAlign w:val="bottom"/>
            <w:tcBorders>
              <w:lef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2"/>
        </w:trPr>
        <w:tc>
          <w:tcPr>
            <w:tcW w:w="152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REPORTING</w:t>
            </w:r>
          </w:p>
        </w:tc>
        <w:tc>
          <w:tcPr>
            <w:tcW w:w="420" w:type="dxa"/>
            <w:vAlign w:val="bottom"/>
            <w:tcBorders>
              <w:right w:val="single" w:sz="8" w:color="auto"/>
            </w:tcBorders>
            <w:vMerge w:val="continue"/>
          </w:tcPr>
          <w:p>
            <w:pPr>
              <w:spacing w:after="0"/>
              <w:rPr>
                <w:sz w:val="14"/>
                <w:szCs w:val="14"/>
                <w:color w:val="auto"/>
              </w:rPr>
            </w:pPr>
          </w:p>
        </w:tc>
        <w:tc>
          <w:tcPr>
            <w:tcW w:w="89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right w:val="single" w:sz="8" w:color="auto"/>
            </w:tcBorders>
            <w:gridSpan w:val="3"/>
            <w:vMerge w:val="continue"/>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89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right w:val="single" w:sz="8" w:color="auto"/>
            </w:tcBorders>
          </w:tcPr>
          <w:p>
            <w:pPr>
              <w:jc w:val="center"/>
              <w:ind w:right="234"/>
              <w:spacing w:after="0"/>
              <w:rPr>
                <w:sz w:val="20"/>
                <w:szCs w:val="20"/>
                <w:color w:val="auto"/>
              </w:rPr>
            </w:pPr>
            <w:r>
              <w:rPr>
                <w:rFonts w:ascii="Times New Roman" w:cs="Times New Roman" w:eastAsia="Times New Roman" w:hAnsi="Times New Roman"/>
                <w:sz w:val="18"/>
                <w:szCs w:val="18"/>
                <w:color w:val="auto"/>
              </w:rPr>
              <w:t>PERSON</w:t>
            </w:r>
          </w:p>
        </w:tc>
        <w:tc>
          <w:tcPr>
            <w:tcW w:w="4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right w:val="single" w:sz="8" w:color="auto"/>
            </w:tcBorders>
          </w:tcPr>
          <w:p>
            <w:pPr>
              <w:jc w:val="center"/>
              <w:ind w:right="214"/>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20" w:type="dxa"/>
            <w:vAlign w:val="bottom"/>
            <w:tcBorders>
              <w:bottom w:val="single" w:sz="8" w:color="auto"/>
              <w:right w:val="single" w:sz="8" w:color="auto"/>
            </w:tcBorders>
          </w:tcPr>
          <w:p>
            <w:pPr>
              <w:spacing w:after="0"/>
              <w:rPr>
                <w:sz w:val="15"/>
                <w:szCs w:val="15"/>
                <w:color w:val="auto"/>
              </w:rPr>
            </w:pPr>
          </w:p>
        </w:tc>
        <w:tc>
          <w:tcPr>
            <w:tcW w:w="89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xml:space="preserve">160,104 </w:t>
            </w:r>
            <w:r>
              <w:rPr>
                <w:rFonts w:ascii="Times New Roman" w:cs="Times New Roman" w:eastAsia="Times New Roman" w:hAnsi="Times New Roman"/>
                <w:sz w:val="26"/>
                <w:szCs w:val="26"/>
                <w:color w:val="auto"/>
                <w:vertAlign w:val="superscript"/>
              </w:rPr>
              <w:t>(2)</w:t>
            </w:r>
          </w:p>
        </w:tc>
        <w:tc>
          <w:tcPr>
            <w:tcW w:w="0" w:type="dxa"/>
            <w:vAlign w:val="bottom"/>
          </w:tcPr>
          <w:p>
            <w:pPr>
              <w:spacing w:after="0"/>
              <w:rPr>
                <w:sz w:val="1"/>
                <w:szCs w:val="1"/>
                <w:color w:val="auto"/>
              </w:rPr>
            </w:pPr>
          </w:p>
        </w:tc>
      </w:tr>
      <w:tr>
        <w:trPr>
          <w:trHeight w:val="232"/>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046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 xml:space="preserve">160,104 </w:t>
            </w:r>
            <w:r>
              <w:rPr>
                <w:rFonts w:ascii="Times New Roman" w:cs="Times New Roman" w:eastAsia="Times New Roman" w:hAnsi="Times New Roman"/>
                <w:sz w:val="26"/>
                <w:szCs w:val="26"/>
                <w:color w:val="auto"/>
                <w:vertAlign w:val="superscript"/>
              </w:rPr>
              <w:t>(2)</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460" w:type="dxa"/>
            <w:vAlign w:val="bottom"/>
            <w:tcBorders>
              <w:bottom w:val="single" w:sz="8" w:color="auto"/>
              <w:right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1.17%</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220" w:hanging="424"/>
        <w:spacing w:after="0" w:line="208" w:lineRule="auto"/>
        <w:tabs>
          <w:tab w:leader="none" w:pos="424"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Svenco Investments Ltd. may be deemed to be the beneficial owner of 160,104 shares held indirectly by Svenco Investments Ltd. as the direct owner of all of the voting shares of 989677 Alberta Ltd.</w:t>
      </w:r>
    </w:p>
    <w:p>
      <w:pPr>
        <w:spacing w:after="0" w:line="132"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4"/>
          </w:cols>
          <w:pgMar w:left="436" w:top="266" w:right="5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auto"/>
        </w:rPr>
        <w:t>178787107</w:t>
      </w:r>
    </w:p>
    <w:p>
      <w:pPr>
        <w:spacing w:after="0" w:line="254" w:lineRule="exact"/>
        <w:rPr>
          <w:sz w:val="20"/>
          <w:szCs w:val="20"/>
          <w:color w:val="auto"/>
        </w:rPr>
      </w:pPr>
    </w:p>
    <w:tbl>
      <w:tblPr>
        <w:tblLayout w:type="fixed"/>
        <w:tblInd w:w="14" w:type="dxa"/>
        <w:tblCellMar>
          <w:top w:w="0" w:type="dxa"/>
          <w:left w:w="0" w:type="dxa"/>
          <w:bottom w:w="0" w:type="dxa"/>
          <w:right w:w="0" w:type="dxa"/>
        </w:tblCellMar>
      </w:tblPr>
      <w:tr>
        <w:trPr>
          <w:trHeight w:val="252"/>
        </w:trPr>
        <w:tc>
          <w:tcPr>
            <w:tcW w:w="34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auto"/>
              <w:right w:val="single" w:sz="8" w:color="auto"/>
            </w:tcBorders>
          </w:tcPr>
          <w:p>
            <w:pPr>
              <w:spacing w:after="0"/>
              <w:rPr>
                <w:sz w:val="21"/>
                <w:szCs w:val="21"/>
                <w:color w:val="auto"/>
              </w:rPr>
            </w:pPr>
          </w:p>
        </w:tc>
        <w:tc>
          <w:tcPr>
            <w:tcW w:w="10460" w:type="dxa"/>
            <w:vAlign w:val="bottom"/>
            <w:tcBorders>
              <w:top w:val="single" w:sz="8" w:color="auto"/>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Lance Torgerson</w:t>
            </w: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gridSpan w:val="2"/>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right w:val="single" w:sz="8" w:color="auto"/>
            </w:tcBorders>
          </w:tcPr>
          <w:p>
            <w:pPr>
              <w:spacing w:after="0"/>
              <w:rPr>
                <w:sz w:val="20"/>
                <w:szCs w:val="20"/>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8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OO</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Canada</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3"/>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420" w:type="dxa"/>
            <w:vAlign w:val="bottom"/>
            <w:tcBorders>
              <w:right w:val="single" w:sz="8" w:color="auto"/>
            </w:tcBorders>
          </w:tcPr>
          <w:p>
            <w:pPr>
              <w:spacing w:after="0"/>
              <w:rPr>
                <w:sz w:val="24"/>
                <w:szCs w:val="24"/>
                <w:color w:val="auto"/>
              </w:rPr>
            </w:pP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Borders>
              <w:right w:val="single" w:sz="8" w:color="auto"/>
            </w:tcBorders>
            <w:vMerge w:val="restart"/>
          </w:tcPr>
          <w:p>
            <w:pPr>
              <w:jc w:val="center"/>
              <w:ind w:right="234"/>
              <w:spacing w:after="0"/>
              <w:rPr>
                <w:sz w:val="20"/>
                <w:szCs w:val="20"/>
                <w:color w:val="auto"/>
              </w:rPr>
            </w:pPr>
            <w:r>
              <w:rPr>
                <w:rFonts w:ascii="Times New Roman" w:cs="Times New Roman" w:eastAsia="Times New Roman" w:hAnsi="Times New Roman"/>
                <w:sz w:val="18"/>
                <w:szCs w:val="18"/>
                <w:color w:val="auto"/>
              </w:rPr>
              <w:t>SHARES</w:t>
            </w:r>
          </w:p>
        </w:tc>
        <w:tc>
          <w:tcPr>
            <w:tcW w:w="420" w:type="dxa"/>
            <w:vAlign w:val="bottom"/>
            <w:tcBorders>
              <w:bottom w:val="single" w:sz="8" w:color="auto"/>
              <w:right w:val="single" w:sz="8" w:color="auto"/>
            </w:tcBorders>
          </w:tcPr>
          <w:p>
            <w:pPr>
              <w:spacing w:after="0"/>
              <w:rPr>
                <w:sz w:val="5"/>
                <w:szCs w:val="5"/>
                <w:color w:val="auto"/>
              </w:rPr>
            </w:pPr>
          </w:p>
        </w:tc>
        <w:tc>
          <w:tcPr>
            <w:tcW w:w="8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Borders>
              <w:right w:val="single" w:sz="8" w:color="auto"/>
            </w:tcBorders>
            <w:vMerge w:val="continue"/>
          </w:tcPr>
          <w:p>
            <w:pPr>
              <w:spacing w:after="0"/>
              <w:rPr>
                <w:sz w:val="9"/>
                <w:szCs w:val="9"/>
                <w:color w:val="auto"/>
              </w:rPr>
            </w:pPr>
          </w:p>
        </w:tc>
        <w:tc>
          <w:tcPr>
            <w:tcW w:w="8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continue"/>
          </w:tcPr>
          <w:p>
            <w:pPr>
              <w:spacing w:after="0"/>
              <w:rPr>
                <w:sz w:val="9"/>
                <w:szCs w:val="9"/>
                <w:color w:val="auto"/>
              </w:rPr>
            </w:pPr>
          </w:p>
        </w:tc>
        <w:tc>
          <w:tcPr>
            <w:tcW w:w="420" w:type="dxa"/>
            <w:vAlign w:val="bottom"/>
            <w:tcBorders>
              <w:right w:val="single" w:sz="8" w:color="auto"/>
            </w:tcBorders>
          </w:tcPr>
          <w:p>
            <w:pPr>
              <w:spacing w:after="0"/>
              <w:rPr>
                <w:sz w:val="9"/>
                <w:szCs w:val="9"/>
                <w:color w:val="auto"/>
              </w:rPr>
            </w:pPr>
          </w:p>
        </w:tc>
        <w:tc>
          <w:tcPr>
            <w:tcW w:w="89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114"/>
              <w:spacing w:after="0"/>
              <w:rPr>
                <w:sz w:val="20"/>
                <w:szCs w:val="20"/>
                <w:color w:val="auto"/>
              </w:rPr>
            </w:pPr>
            <w:r>
              <w:rPr>
                <w:rFonts w:ascii="Times New Roman" w:cs="Times New Roman" w:eastAsia="Times New Roman" w:hAnsi="Times New Roman"/>
                <w:sz w:val="18"/>
                <w:szCs w:val="18"/>
                <w:color w:val="auto"/>
              </w:rPr>
              <w:t>OWNED BY</w:t>
            </w:r>
          </w:p>
        </w:tc>
        <w:tc>
          <w:tcPr>
            <w:tcW w:w="4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 xml:space="preserve">1,873,297 </w:t>
            </w:r>
            <w:r>
              <w:rPr>
                <w:rFonts w:ascii="Times New Roman" w:cs="Times New Roman" w:eastAsia="Times New Roman" w:hAnsi="Times New Roman"/>
                <w:sz w:val="26"/>
                <w:szCs w:val="26"/>
                <w:color w:val="auto"/>
                <w:vertAlign w:val="superscript"/>
              </w:rPr>
              <w:t>(3)</w:t>
            </w:r>
          </w:p>
        </w:tc>
        <w:tc>
          <w:tcPr>
            <w:tcW w:w="0" w:type="dxa"/>
            <w:vAlign w:val="bottom"/>
          </w:tcPr>
          <w:p>
            <w:pPr>
              <w:spacing w:after="0"/>
              <w:rPr>
                <w:sz w:val="1"/>
                <w:szCs w:val="1"/>
                <w:color w:val="auto"/>
              </w:rPr>
            </w:pPr>
          </w:p>
        </w:tc>
      </w:tr>
      <w:tr>
        <w:trPr>
          <w:trHeight w:val="126"/>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EACH</w:t>
            </w:r>
          </w:p>
        </w:tc>
        <w:tc>
          <w:tcPr>
            <w:tcW w:w="420" w:type="dxa"/>
            <w:vAlign w:val="bottom"/>
            <w:tcBorders>
              <w:bottom w:val="single" w:sz="8" w:color="auto"/>
              <w:right w:val="single" w:sz="8" w:color="auto"/>
            </w:tcBorders>
          </w:tcPr>
          <w:p>
            <w:pPr>
              <w:spacing w:after="0"/>
              <w:rPr>
                <w:sz w:val="10"/>
                <w:szCs w:val="10"/>
                <w:color w:val="auto"/>
              </w:rPr>
            </w:pPr>
          </w:p>
        </w:tc>
        <w:tc>
          <w:tcPr>
            <w:tcW w:w="89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340" w:type="dxa"/>
            <w:vAlign w:val="bottom"/>
            <w:tcBorders>
              <w:lef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2"/>
        </w:trPr>
        <w:tc>
          <w:tcPr>
            <w:tcW w:w="152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REPORTING</w:t>
            </w:r>
          </w:p>
        </w:tc>
        <w:tc>
          <w:tcPr>
            <w:tcW w:w="420" w:type="dxa"/>
            <w:vAlign w:val="bottom"/>
            <w:tcBorders>
              <w:right w:val="single" w:sz="8" w:color="auto"/>
            </w:tcBorders>
            <w:vMerge w:val="continue"/>
          </w:tcPr>
          <w:p>
            <w:pPr>
              <w:spacing w:after="0"/>
              <w:rPr>
                <w:sz w:val="14"/>
                <w:szCs w:val="14"/>
                <w:color w:val="auto"/>
              </w:rPr>
            </w:pPr>
          </w:p>
        </w:tc>
        <w:tc>
          <w:tcPr>
            <w:tcW w:w="89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right w:val="single" w:sz="8" w:color="auto"/>
            </w:tcBorders>
            <w:gridSpan w:val="3"/>
            <w:vMerge w:val="continue"/>
          </w:tcPr>
          <w:p>
            <w:pPr>
              <w:spacing w:after="0"/>
              <w:rPr>
                <w:sz w:val="4"/>
                <w:szCs w:val="4"/>
                <w:color w:val="auto"/>
              </w:rPr>
            </w:pPr>
          </w:p>
        </w:tc>
        <w:tc>
          <w:tcPr>
            <w:tcW w:w="420" w:type="dxa"/>
            <w:vAlign w:val="bottom"/>
            <w:tcBorders>
              <w:right w:val="single" w:sz="8" w:color="auto"/>
            </w:tcBorders>
          </w:tcPr>
          <w:p>
            <w:pPr>
              <w:spacing w:after="0"/>
              <w:rPr>
                <w:sz w:val="4"/>
                <w:szCs w:val="4"/>
                <w:color w:val="auto"/>
              </w:rPr>
            </w:pPr>
          </w:p>
        </w:tc>
        <w:tc>
          <w:tcPr>
            <w:tcW w:w="89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right w:val="single" w:sz="8" w:color="auto"/>
            </w:tcBorders>
          </w:tcPr>
          <w:p>
            <w:pPr>
              <w:jc w:val="center"/>
              <w:ind w:right="234"/>
              <w:spacing w:after="0"/>
              <w:rPr>
                <w:sz w:val="20"/>
                <w:szCs w:val="20"/>
                <w:color w:val="auto"/>
              </w:rPr>
            </w:pPr>
            <w:r>
              <w:rPr>
                <w:rFonts w:ascii="Times New Roman" w:cs="Times New Roman" w:eastAsia="Times New Roman" w:hAnsi="Times New Roman"/>
                <w:sz w:val="18"/>
                <w:szCs w:val="18"/>
                <w:color w:val="auto"/>
              </w:rPr>
              <w:t>PERSON</w:t>
            </w:r>
          </w:p>
        </w:tc>
        <w:tc>
          <w:tcPr>
            <w:tcW w:w="42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right w:val="single" w:sz="8" w:color="auto"/>
            </w:tcBorders>
          </w:tcPr>
          <w:p>
            <w:pPr>
              <w:jc w:val="center"/>
              <w:ind w:right="214"/>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20" w:type="dxa"/>
            <w:vAlign w:val="bottom"/>
            <w:tcBorders>
              <w:bottom w:val="single" w:sz="8" w:color="auto"/>
              <w:right w:val="single" w:sz="8" w:color="auto"/>
            </w:tcBorders>
          </w:tcPr>
          <w:p>
            <w:pPr>
              <w:spacing w:after="0"/>
              <w:rPr>
                <w:sz w:val="15"/>
                <w:szCs w:val="15"/>
                <w:color w:val="auto"/>
              </w:rPr>
            </w:pPr>
          </w:p>
        </w:tc>
        <w:tc>
          <w:tcPr>
            <w:tcW w:w="89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42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xml:space="preserve">1,873,297 </w:t>
            </w:r>
            <w:r>
              <w:rPr>
                <w:rFonts w:ascii="Times New Roman" w:cs="Times New Roman" w:eastAsia="Times New Roman" w:hAnsi="Times New Roman"/>
                <w:sz w:val="26"/>
                <w:szCs w:val="26"/>
                <w:color w:val="auto"/>
                <w:vertAlign w:val="superscript"/>
              </w:rPr>
              <w:t>(3)</w:t>
            </w:r>
          </w:p>
        </w:tc>
        <w:tc>
          <w:tcPr>
            <w:tcW w:w="0" w:type="dxa"/>
            <w:vAlign w:val="bottom"/>
          </w:tcPr>
          <w:p>
            <w:pPr>
              <w:spacing w:after="0"/>
              <w:rPr>
                <w:sz w:val="1"/>
                <w:szCs w:val="1"/>
                <w:color w:val="auto"/>
              </w:rPr>
            </w:pPr>
          </w:p>
        </w:tc>
      </w:tr>
      <w:tr>
        <w:trPr>
          <w:trHeight w:val="232"/>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046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3"/>
              </w:rPr>
              <w:t>1,873,297</w:t>
            </w:r>
            <w:r>
              <w:rPr>
                <w:rFonts w:ascii="Times New Roman" w:cs="Times New Roman" w:eastAsia="Times New Roman" w:hAnsi="Times New Roman"/>
                <w:sz w:val="26"/>
                <w:szCs w:val="26"/>
                <w:color w:val="auto"/>
                <w:w w:val="93"/>
                <w:vertAlign w:val="superscript"/>
              </w:rPr>
              <w:t>(3)</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460" w:type="dxa"/>
            <w:vAlign w:val="bottom"/>
            <w:tcBorders>
              <w:bottom w:val="single" w:sz="8" w:color="auto"/>
              <w:right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12.32%</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w:t>
            </w:r>
          </w:p>
        </w:tc>
        <w:tc>
          <w:tcPr>
            <w:tcW w:w="42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20" w:hanging="424"/>
        <w:spacing w:after="0" w:line="231" w:lineRule="auto"/>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Lance Torgerson may be deemed to be the beneficial owner of the shares held directly by Torgerson Family Trust, of which Lance Torgerson is one of three co-trustees and a beneficiary, and the shares held directly by 989677 Alberta Ltd., of which Lance Torgerson is the sole director and, as the owner of 100% of the voting shares of Svenco Investments Ltd., is the indirect beneficial owner of all the voting shares of 989677 Alberta Ltd. Includes 1,498,544 common shares issuable upon conversion of 5,425 Class A Series 1 preferred shares held by Torgerson Family Trust, which may be converted at the option of the holder.</w:t>
      </w:r>
    </w:p>
    <w:p>
      <w:pPr>
        <w:spacing w:after="0" w:line="133"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4"/>
          </w:cols>
          <w:pgMar w:left="436" w:top="266" w:right="55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auto"/>
        </w:rPr>
        <w:t>178787107</w:t>
      </w:r>
    </w:p>
    <w:p>
      <w:pPr>
        <w:spacing w:after="0" w:line="254" w:lineRule="exact"/>
        <w:rPr>
          <w:sz w:val="20"/>
          <w:szCs w:val="20"/>
          <w:color w:val="auto"/>
        </w:rPr>
      </w:pPr>
    </w:p>
    <w:tbl>
      <w:tblPr>
        <w:tblLayout w:type="fixed"/>
        <w:tblInd w:w="14" w:type="dxa"/>
        <w:tblCellMar>
          <w:top w:w="0" w:type="dxa"/>
          <w:left w:w="0" w:type="dxa"/>
          <w:bottom w:w="0" w:type="dxa"/>
          <w:right w:w="0" w:type="dxa"/>
        </w:tblCellMar>
      </w:tblPr>
      <w:tr>
        <w:trPr>
          <w:trHeight w:val="252"/>
        </w:trPr>
        <w:tc>
          <w:tcPr>
            <w:tcW w:w="34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auto"/>
              <w:right w:val="single" w:sz="8" w:color="auto"/>
            </w:tcBorders>
          </w:tcPr>
          <w:p>
            <w:pPr>
              <w:spacing w:after="0"/>
              <w:rPr>
                <w:sz w:val="21"/>
                <w:szCs w:val="21"/>
                <w:color w:val="auto"/>
              </w:rPr>
            </w:pPr>
          </w:p>
        </w:tc>
        <w:tc>
          <w:tcPr>
            <w:tcW w:w="10460" w:type="dxa"/>
            <w:vAlign w:val="bottom"/>
            <w:tcBorders>
              <w:top w:val="single" w:sz="8" w:color="auto"/>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w w:val="96"/>
              </w:rPr>
              <w:t>Tammy Torgerson</w:t>
            </w: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gridSpan w:val="3"/>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right w:val="single" w:sz="8" w:color="auto"/>
            </w:tcBorders>
          </w:tcPr>
          <w:p>
            <w:pPr>
              <w:spacing w:after="0"/>
              <w:rPr>
                <w:sz w:val="20"/>
                <w:szCs w:val="20"/>
                <w:color w:val="auto"/>
              </w:rPr>
            </w:pPr>
          </w:p>
        </w:tc>
        <w:tc>
          <w:tcPr>
            <w:tcW w:w="1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8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OO</w:t>
            </w:r>
          </w:p>
        </w:tc>
        <w:tc>
          <w:tcPr>
            <w:tcW w:w="38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89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Canada</w:t>
            </w:r>
          </w:p>
        </w:tc>
        <w:tc>
          <w:tcPr>
            <w:tcW w:w="38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3"/>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4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Borders>
              <w:right w:val="single" w:sz="8" w:color="auto"/>
            </w:tcBorders>
            <w:vMerge w:val="restart"/>
          </w:tcPr>
          <w:p>
            <w:pPr>
              <w:jc w:val="center"/>
              <w:ind w:right="234"/>
              <w:spacing w:after="0"/>
              <w:rPr>
                <w:sz w:val="20"/>
                <w:szCs w:val="20"/>
                <w:color w:val="auto"/>
              </w:rPr>
            </w:pPr>
            <w:r>
              <w:rPr>
                <w:rFonts w:ascii="Times New Roman" w:cs="Times New Roman" w:eastAsia="Times New Roman" w:hAnsi="Times New Roman"/>
                <w:sz w:val="18"/>
                <w:szCs w:val="18"/>
                <w:color w:val="auto"/>
              </w:rPr>
              <w:t>SHARES</w:t>
            </w:r>
          </w:p>
        </w:tc>
        <w:tc>
          <w:tcPr>
            <w:tcW w:w="4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8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0" w:type="dxa"/>
            <w:vAlign w:val="bottom"/>
          </w:tcPr>
          <w:p>
            <w:pPr>
              <w:spacing w:after="0"/>
              <w:rPr>
                <w:sz w:val="9"/>
                <w:szCs w:val="9"/>
                <w:color w:val="auto"/>
              </w:rPr>
            </w:pPr>
          </w:p>
        </w:tc>
        <w:tc>
          <w:tcPr>
            <w:tcW w:w="380" w:type="dxa"/>
            <w:vAlign w:val="bottom"/>
            <w:tcBorders>
              <w:right w:val="single" w:sz="8" w:color="auto"/>
            </w:tcBorders>
            <w:vMerge w:val="continue"/>
          </w:tcPr>
          <w:p>
            <w:pPr>
              <w:spacing w:after="0"/>
              <w:rPr>
                <w:sz w:val="9"/>
                <w:szCs w:val="9"/>
                <w:color w:val="auto"/>
              </w:rPr>
            </w:pPr>
          </w:p>
        </w:tc>
        <w:tc>
          <w:tcPr>
            <w:tcW w:w="89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89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114"/>
              <w:spacing w:after="0"/>
              <w:rPr>
                <w:sz w:val="20"/>
                <w:szCs w:val="20"/>
                <w:color w:val="auto"/>
              </w:rPr>
            </w:pPr>
            <w:r>
              <w:rPr>
                <w:rFonts w:ascii="Times New Roman" w:cs="Times New Roman" w:eastAsia="Times New Roman" w:hAnsi="Times New Roman"/>
                <w:sz w:val="18"/>
                <w:szCs w:val="18"/>
                <w:color w:val="auto"/>
              </w:rPr>
              <w:t>OWNED BY</w:t>
            </w:r>
          </w:p>
        </w:tc>
        <w:tc>
          <w:tcPr>
            <w:tcW w:w="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 xml:space="preserve">1,873,297 </w:t>
            </w:r>
            <w:r>
              <w:rPr>
                <w:rFonts w:ascii="Times New Roman" w:cs="Times New Roman" w:eastAsia="Times New Roman" w:hAnsi="Times New Roman"/>
                <w:sz w:val="26"/>
                <w:szCs w:val="26"/>
                <w:color w:val="auto"/>
                <w:vertAlign w:val="superscript"/>
              </w:rPr>
              <w:t>(4)</w:t>
            </w:r>
          </w:p>
        </w:tc>
        <w:tc>
          <w:tcPr>
            <w:tcW w:w="0" w:type="dxa"/>
            <w:vAlign w:val="bottom"/>
          </w:tcPr>
          <w:p>
            <w:pPr>
              <w:spacing w:after="0"/>
              <w:rPr>
                <w:sz w:val="1"/>
                <w:szCs w:val="1"/>
                <w:color w:val="auto"/>
              </w:rPr>
            </w:pPr>
          </w:p>
        </w:tc>
      </w:tr>
      <w:tr>
        <w:trPr>
          <w:trHeight w:val="126"/>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EACH</w:t>
            </w:r>
          </w:p>
        </w:tc>
        <w:tc>
          <w:tcPr>
            <w:tcW w:w="4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89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340" w:type="dxa"/>
            <w:vAlign w:val="bottom"/>
            <w:tcBorders>
              <w:lef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w:t>
            </w: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2"/>
        </w:trPr>
        <w:tc>
          <w:tcPr>
            <w:tcW w:w="152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REPORTING</w:t>
            </w:r>
          </w:p>
        </w:tc>
        <w:tc>
          <w:tcPr>
            <w:tcW w:w="40" w:type="dxa"/>
            <w:vAlign w:val="bottom"/>
          </w:tcPr>
          <w:p>
            <w:pPr>
              <w:spacing w:after="0"/>
              <w:rPr>
                <w:sz w:val="14"/>
                <w:szCs w:val="14"/>
                <w:color w:val="auto"/>
              </w:rPr>
            </w:pPr>
          </w:p>
        </w:tc>
        <w:tc>
          <w:tcPr>
            <w:tcW w:w="380" w:type="dxa"/>
            <w:vAlign w:val="bottom"/>
            <w:tcBorders>
              <w:right w:val="single" w:sz="8" w:color="auto"/>
            </w:tcBorders>
            <w:vMerge w:val="continue"/>
          </w:tcPr>
          <w:p>
            <w:pPr>
              <w:spacing w:after="0"/>
              <w:rPr>
                <w:sz w:val="14"/>
                <w:szCs w:val="14"/>
                <w:color w:val="auto"/>
              </w:rPr>
            </w:pPr>
          </w:p>
        </w:tc>
        <w:tc>
          <w:tcPr>
            <w:tcW w:w="89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right w:val="single" w:sz="8" w:color="auto"/>
            </w:tcBorders>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Borders>
              <w:right w:val="single" w:sz="8" w:color="auto"/>
            </w:tcBorders>
          </w:tcPr>
          <w:p>
            <w:pPr>
              <w:spacing w:after="0"/>
              <w:rPr>
                <w:sz w:val="4"/>
                <w:szCs w:val="4"/>
                <w:color w:val="auto"/>
              </w:rPr>
            </w:pPr>
          </w:p>
        </w:tc>
        <w:tc>
          <w:tcPr>
            <w:tcW w:w="89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right w:val="single" w:sz="8" w:color="auto"/>
            </w:tcBorders>
          </w:tcPr>
          <w:p>
            <w:pPr>
              <w:jc w:val="center"/>
              <w:ind w:right="234"/>
              <w:spacing w:after="0"/>
              <w:rPr>
                <w:sz w:val="20"/>
                <w:szCs w:val="20"/>
                <w:color w:val="auto"/>
              </w:rPr>
            </w:pPr>
            <w:r>
              <w:rPr>
                <w:rFonts w:ascii="Times New Roman" w:cs="Times New Roman" w:eastAsia="Times New Roman" w:hAnsi="Times New Roman"/>
                <w:sz w:val="18"/>
                <w:szCs w:val="18"/>
                <w:color w:val="auto"/>
              </w:rPr>
              <w:t>PERSON</w:t>
            </w:r>
          </w:p>
        </w:tc>
        <w:tc>
          <w:tcPr>
            <w:tcW w:w="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right w:val="single" w:sz="8" w:color="auto"/>
            </w:tcBorders>
          </w:tcPr>
          <w:p>
            <w:pPr>
              <w:jc w:val="center"/>
              <w:ind w:right="214"/>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0" w:type="dxa"/>
            <w:vAlign w:val="bottom"/>
            <w:tcBorders>
              <w:bottom w:val="single" w:sz="8" w:color="auto"/>
            </w:tcBorders>
          </w:tcPr>
          <w:p>
            <w:pPr>
              <w:spacing w:after="0"/>
              <w:rPr>
                <w:sz w:val="15"/>
                <w:szCs w:val="15"/>
                <w:color w:val="auto"/>
              </w:rPr>
            </w:pPr>
          </w:p>
        </w:tc>
        <w:tc>
          <w:tcPr>
            <w:tcW w:w="380" w:type="dxa"/>
            <w:vAlign w:val="bottom"/>
            <w:tcBorders>
              <w:bottom w:val="single" w:sz="8" w:color="auto"/>
              <w:right w:val="single" w:sz="8" w:color="auto"/>
            </w:tcBorders>
          </w:tcPr>
          <w:p>
            <w:pPr>
              <w:spacing w:after="0"/>
              <w:rPr>
                <w:sz w:val="15"/>
                <w:szCs w:val="15"/>
                <w:color w:val="auto"/>
              </w:rPr>
            </w:pPr>
          </w:p>
        </w:tc>
        <w:tc>
          <w:tcPr>
            <w:tcW w:w="89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w:t>
            </w:r>
          </w:p>
        </w:tc>
        <w:tc>
          <w:tcPr>
            <w:tcW w:w="8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xml:space="preserve">1,873,297 </w:t>
            </w:r>
            <w:r>
              <w:rPr>
                <w:rFonts w:ascii="Times New Roman" w:cs="Times New Roman" w:eastAsia="Times New Roman" w:hAnsi="Times New Roman"/>
                <w:sz w:val="26"/>
                <w:szCs w:val="26"/>
                <w:color w:val="auto"/>
                <w:vertAlign w:val="superscript"/>
              </w:rPr>
              <w:t>(4)</w:t>
            </w:r>
          </w:p>
        </w:tc>
        <w:tc>
          <w:tcPr>
            <w:tcW w:w="0" w:type="dxa"/>
            <w:vAlign w:val="bottom"/>
          </w:tcPr>
          <w:p>
            <w:pPr>
              <w:spacing w:after="0"/>
              <w:rPr>
                <w:sz w:val="1"/>
                <w:szCs w:val="1"/>
                <w:color w:val="auto"/>
              </w:rPr>
            </w:pPr>
          </w:p>
        </w:tc>
      </w:tr>
      <w:tr>
        <w:trPr>
          <w:trHeight w:val="232"/>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0460" w:type="dxa"/>
            <w:vAlign w:val="bottom"/>
            <w:tcBorders>
              <w:right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w w:val="95"/>
              </w:rPr>
              <w:t xml:space="preserve">1,873,297 </w:t>
            </w:r>
            <w:r>
              <w:rPr>
                <w:rFonts w:ascii="Times New Roman" w:cs="Times New Roman" w:eastAsia="Times New Roman" w:hAnsi="Times New Roman"/>
                <w:sz w:val="26"/>
                <w:szCs w:val="26"/>
                <w:color w:val="auto"/>
                <w:w w:val="95"/>
                <w:vertAlign w:val="superscript"/>
              </w:rPr>
              <w:t>(4)</w:t>
            </w:r>
          </w:p>
        </w:tc>
        <w:tc>
          <w:tcPr>
            <w:tcW w:w="38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46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12.32%</w:t>
            </w: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IN</w:t>
            </w:r>
          </w:p>
        </w:tc>
        <w:tc>
          <w:tcPr>
            <w:tcW w:w="380" w:type="dxa"/>
            <w:vAlign w:val="bottom"/>
            <w:tcBorders>
              <w:bottom w:val="single" w:sz="8" w:color="auto"/>
            </w:tcBorders>
          </w:tcPr>
          <w:p>
            <w:pPr>
              <w:spacing w:after="0"/>
              <w:rPr>
                <w:sz w:val="24"/>
                <w:szCs w:val="24"/>
                <w:color w:val="auto"/>
              </w:rPr>
            </w:pPr>
          </w:p>
        </w:tc>
        <w:tc>
          <w:tcPr>
            <w:tcW w:w="8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424" w:right="20" w:hanging="424"/>
        <w:spacing w:after="0" w:line="220" w:lineRule="auto"/>
        <w:tabs>
          <w:tab w:leader="none" w:pos="424"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Mrs. Torgerson may be deemed to be the beneficial owner of the shares held by her spouse Lance Torgerson. Includes 1,498,544 common shares issuable upon conversion of 5,425 Class A Series 1 preferred shares held by Torgerson Family Trust, which may be converted at the option of the holder, and the shares held directly by 989677 Alberta Ltd. of which her spouse is the sole Director.</w:t>
      </w:r>
    </w:p>
    <w:p>
      <w:pPr>
        <w:spacing w:after="0" w:line="132"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4"/>
          </w:cols>
          <w:pgMar w:left="436" w:top="266" w:right="55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auto"/>
        </w:rPr>
        <w:t>178787107</w:t>
      </w:r>
    </w:p>
    <w:p>
      <w:pPr>
        <w:spacing w:after="0" w:line="254" w:lineRule="exact"/>
        <w:rPr>
          <w:sz w:val="20"/>
          <w:szCs w:val="20"/>
          <w:color w:val="auto"/>
        </w:rPr>
      </w:pPr>
    </w:p>
    <w:tbl>
      <w:tblPr>
        <w:tblLayout w:type="fixed"/>
        <w:tblInd w:w="14" w:type="dxa"/>
        <w:tblCellMar>
          <w:top w:w="0" w:type="dxa"/>
          <w:left w:w="0" w:type="dxa"/>
          <w:bottom w:w="0" w:type="dxa"/>
          <w:right w:w="0" w:type="dxa"/>
        </w:tblCellMar>
      </w:tblPr>
      <w:tr>
        <w:trPr>
          <w:trHeight w:val="252"/>
        </w:trPr>
        <w:tc>
          <w:tcPr>
            <w:tcW w:w="34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auto"/>
              <w:right w:val="single" w:sz="8" w:color="auto"/>
            </w:tcBorders>
          </w:tcPr>
          <w:p>
            <w:pPr>
              <w:spacing w:after="0"/>
              <w:rPr>
                <w:sz w:val="21"/>
                <w:szCs w:val="21"/>
                <w:color w:val="auto"/>
              </w:rPr>
            </w:pPr>
          </w:p>
        </w:tc>
        <w:tc>
          <w:tcPr>
            <w:tcW w:w="10460" w:type="dxa"/>
            <w:vAlign w:val="bottom"/>
            <w:tcBorders>
              <w:top w:val="single" w:sz="8" w:color="auto"/>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Richard Torgerson</w:t>
            </w: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tcBorders>
            <w:gridSpan w:val="4"/>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right w:val="single" w:sz="8" w:color="auto"/>
            </w:tcBorders>
          </w:tcPr>
          <w:p>
            <w:pPr>
              <w:spacing w:after="0"/>
              <w:rPr>
                <w:sz w:val="20"/>
                <w:szCs w:val="20"/>
                <w:color w:val="auto"/>
              </w:rPr>
            </w:pPr>
          </w:p>
        </w:tc>
        <w:tc>
          <w:tcPr>
            <w:tcW w:w="15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SEC USE ONLY</w:t>
            </w:r>
          </w:p>
        </w:tc>
        <w:tc>
          <w:tcPr>
            <w:tcW w:w="8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89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OO</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89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Canada</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20"/>
                <w:szCs w:val="20"/>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3"/>
        </w:trPr>
        <w:tc>
          <w:tcPr>
            <w:tcW w:w="152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4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Borders>
              <w:right w:val="single" w:sz="8" w:color="auto"/>
            </w:tcBorders>
            <w:vMerge w:val="restart"/>
          </w:tcPr>
          <w:p>
            <w:pPr>
              <w:jc w:val="center"/>
              <w:ind w:right="234"/>
              <w:spacing w:after="0"/>
              <w:rPr>
                <w:sz w:val="20"/>
                <w:szCs w:val="20"/>
                <w:color w:val="auto"/>
              </w:rPr>
            </w:pPr>
            <w:r>
              <w:rPr>
                <w:rFonts w:ascii="Times New Roman" w:cs="Times New Roman" w:eastAsia="Times New Roman" w:hAnsi="Times New Roman"/>
                <w:sz w:val="18"/>
                <w:szCs w:val="18"/>
                <w:color w:val="auto"/>
              </w:rPr>
              <w:t>SHARES</w:t>
            </w:r>
          </w:p>
        </w:tc>
        <w:tc>
          <w:tcPr>
            <w:tcW w:w="4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8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Pr>
          <w:p>
            <w:pPr>
              <w:spacing w:after="0"/>
              <w:rPr>
                <w:sz w:val="10"/>
                <w:szCs w:val="10"/>
                <w:color w:val="auto"/>
              </w:rPr>
            </w:pPr>
          </w:p>
        </w:tc>
        <w:tc>
          <w:tcPr>
            <w:tcW w:w="88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0" w:type="dxa"/>
            <w:vAlign w:val="bottom"/>
          </w:tcPr>
          <w:p>
            <w:pPr>
              <w:spacing w:after="0"/>
              <w:rPr>
                <w:sz w:val="9"/>
                <w:szCs w:val="9"/>
                <w:color w:val="auto"/>
              </w:rPr>
            </w:pPr>
          </w:p>
        </w:tc>
        <w:tc>
          <w:tcPr>
            <w:tcW w:w="38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88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114"/>
              <w:spacing w:after="0"/>
              <w:rPr>
                <w:sz w:val="20"/>
                <w:szCs w:val="20"/>
                <w:color w:val="auto"/>
              </w:rPr>
            </w:pPr>
            <w:r>
              <w:rPr>
                <w:rFonts w:ascii="Times New Roman" w:cs="Times New Roman" w:eastAsia="Times New Roman" w:hAnsi="Times New Roman"/>
                <w:sz w:val="18"/>
                <w:szCs w:val="18"/>
                <w:color w:val="auto"/>
              </w:rPr>
              <w:t>OWNED BY</w:t>
            </w:r>
          </w:p>
        </w:tc>
        <w:tc>
          <w:tcPr>
            <w:tcW w:w="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1,713,193 </w:t>
            </w:r>
            <w:r>
              <w:rPr>
                <w:rFonts w:ascii="Times New Roman" w:cs="Times New Roman" w:eastAsia="Times New Roman" w:hAnsi="Times New Roman"/>
                <w:sz w:val="26"/>
                <w:szCs w:val="26"/>
                <w:color w:val="auto"/>
                <w:vertAlign w:val="superscript"/>
              </w:rPr>
              <w:t>(5)</w:t>
            </w:r>
          </w:p>
        </w:tc>
        <w:tc>
          <w:tcPr>
            <w:tcW w:w="0" w:type="dxa"/>
            <w:vAlign w:val="bottom"/>
          </w:tcPr>
          <w:p>
            <w:pPr>
              <w:spacing w:after="0"/>
              <w:rPr>
                <w:sz w:val="1"/>
                <w:szCs w:val="1"/>
                <w:color w:val="auto"/>
              </w:rPr>
            </w:pPr>
          </w:p>
        </w:tc>
      </w:tr>
      <w:tr>
        <w:trPr>
          <w:trHeight w:val="126"/>
        </w:trPr>
        <w:tc>
          <w:tcPr>
            <w:tcW w:w="34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EACH</w:t>
            </w:r>
          </w:p>
        </w:tc>
        <w:tc>
          <w:tcPr>
            <w:tcW w:w="4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340" w:type="dxa"/>
            <w:vAlign w:val="bottom"/>
            <w:tcBorders>
              <w:lef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Pr>
          <w:p>
            <w:pPr>
              <w:spacing w:after="0"/>
              <w:rPr>
                <w:sz w:val="6"/>
                <w:szCs w:val="6"/>
                <w:color w:val="auto"/>
              </w:rPr>
            </w:pPr>
          </w:p>
        </w:tc>
        <w:tc>
          <w:tcPr>
            <w:tcW w:w="88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2"/>
        </w:trPr>
        <w:tc>
          <w:tcPr>
            <w:tcW w:w="1520" w:type="dxa"/>
            <w:vAlign w:val="bottom"/>
            <w:tcBorders>
              <w:left w:val="single" w:sz="8" w:color="auto"/>
              <w:right w:val="single" w:sz="8" w:color="auto"/>
            </w:tcBorders>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8"/>
              </w:rPr>
              <w:t>REPORTING</w:t>
            </w:r>
          </w:p>
        </w:tc>
        <w:tc>
          <w:tcPr>
            <w:tcW w:w="40" w:type="dxa"/>
            <w:vAlign w:val="bottom"/>
          </w:tcPr>
          <w:p>
            <w:pPr>
              <w:spacing w:after="0"/>
              <w:rPr>
                <w:sz w:val="14"/>
                <w:szCs w:val="14"/>
                <w:color w:val="auto"/>
              </w:rPr>
            </w:pPr>
          </w:p>
        </w:tc>
        <w:tc>
          <w:tcPr>
            <w:tcW w:w="380" w:type="dxa"/>
            <w:vAlign w:val="bottom"/>
            <w:tcBorders>
              <w:right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8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right w:val="single" w:sz="8" w:color="auto"/>
            </w:tcBorders>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8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right w:val="single" w:sz="8" w:color="auto"/>
            </w:tcBorders>
          </w:tcPr>
          <w:p>
            <w:pPr>
              <w:jc w:val="center"/>
              <w:ind w:right="234"/>
              <w:spacing w:after="0"/>
              <w:rPr>
                <w:sz w:val="20"/>
                <w:szCs w:val="20"/>
                <w:color w:val="auto"/>
              </w:rPr>
            </w:pPr>
            <w:r>
              <w:rPr>
                <w:rFonts w:ascii="Times New Roman" w:cs="Times New Roman" w:eastAsia="Times New Roman" w:hAnsi="Times New Roman"/>
                <w:sz w:val="18"/>
                <w:szCs w:val="18"/>
                <w:color w:val="auto"/>
              </w:rPr>
              <w:t>PERSON</w:t>
            </w:r>
          </w:p>
        </w:tc>
        <w:tc>
          <w:tcPr>
            <w:tcW w:w="4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right w:val="single" w:sz="8" w:color="auto"/>
            </w:tcBorders>
          </w:tcPr>
          <w:p>
            <w:pPr>
              <w:jc w:val="center"/>
              <w:ind w:right="214"/>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0" w:type="dxa"/>
            <w:vAlign w:val="bottom"/>
            <w:tcBorders>
              <w:bottom w:val="single" w:sz="8" w:color="auto"/>
            </w:tcBorders>
          </w:tcPr>
          <w:p>
            <w:pPr>
              <w:spacing w:after="0"/>
              <w:rPr>
                <w:sz w:val="15"/>
                <w:szCs w:val="15"/>
                <w:color w:val="auto"/>
              </w:rPr>
            </w:pPr>
          </w:p>
        </w:tc>
        <w:tc>
          <w:tcPr>
            <w:tcW w:w="38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20"/>
                <w:szCs w:val="20"/>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1,713,193 </w:t>
            </w:r>
            <w:r>
              <w:rPr>
                <w:rFonts w:ascii="Times New Roman" w:cs="Times New Roman" w:eastAsia="Times New Roman" w:hAnsi="Times New Roman"/>
                <w:sz w:val="26"/>
                <w:szCs w:val="26"/>
                <w:color w:val="auto"/>
                <w:vertAlign w:val="superscript"/>
              </w:rPr>
              <w:t>(5)</w:t>
            </w:r>
          </w:p>
        </w:tc>
        <w:tc>
          <w:tcPr>
            <w:tcW w:w="0" w:type="dxa"/>
            <w:vAlign w:val="bottom"/>
          </w:tcPr>
          <w:p>
            <w:pPr>
              <w:spacing w:after="0"/>
              <w:rPr>
                <w:sz w:val="1"/>
                <w:szCs w:val="1"/>
                <w:color w:val="auto"/>
              </w:rPr>
            </w:pPr>
          </w:p>
        </w:tc>
      </w:tr>
      <w:tr>
        <w:trPr>
          <w:trHeight w:val="232"/>
        </w:trPr>
        <w:tc>
          <w:tcPr>
            <w:tcW w:w="460" w:type="dxa"/>
            <w:vAlign w:val="bottom"/>
            <w:tcBorders>
              <w:left w:val="single" w:sz="8" w:color="auto"/>
              <w:right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10460" w:type="dxa"/>
            <w:vAlign w:val="bottom"/>
            <w:tcBorders>
              <w:right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0"/>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w w:val="95"/>
              </w:rPr>
              <w:t xml:space="preserve">1,713,193 </w:t>
            </w:r>
            <w:r>
              <w:rPr>
                <w:rFonts w:ascii="Times New Roman" w:cs="Times New Roman" w:eastAsia="Times New Roman" w:hAnsi="Times New Roman"/>
                <w:sz w:val="26"/>
                <w:szCs w:val="26"/>
                <w:color w:val="auto"/>
                <w:w w:val="95"/>
                <w:vertAlign w:val="superscript"/>
              </w:rPr>
              <w:t>(5)</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460" w:type="dxa"/>
            <w:vAlign w:val="bottom"/>
            <w:tcBorders>
              <w:bottom w:val="single" w:sz="8" w:color="auto"/>
              <w:right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11.26%</w:t>
            </w: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tcBorders>
              <w:right w:val="single" w:sz="8" w:color="auto"/>
            </w:tcBorders>
          </w:tcPr>
          <w:p>
            <w:pPr>
              <w:spacing w:after="0"/>
              <w:rPr>
                <w:sz w:val="20"/>
                <w:szCs w:val="20"/>
                <w:color w:val="auto"/>
              </w:rPr>
            </w:pPr>
          </w:p>
        </w:tc>
        <w:tc>
          <w:tcPr>
            <w:tcW w:w="10460" w:type="dxa"/>
            <w:vAlign w:val="bottom"/>
            <w:tcBorders>
              <w:right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4"/>
        </w:trPr>
        <w:tc>
          <w:tcPr>
            <w:tcW w:w="34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IN</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line="220" w:lineRule="auto"/>
        <w:tabs>
          <w:tab w:leader="none" w:pos="424"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Richard Torgerson may be deemed to be the beneficial owner of the shares held directly by Torgerson Family Trust, of which Richard Torgerson is one of three co-trustees. Includes 1,498,544 common shares issuable upon conversion of 5,425 Class A Series 1 preferred shares held by Torgerson Family Trust, which may be converted at the option of the holder.</w:t>
      </w:r>
    </w:p>
    <w:p>
      <w:pPr>
        <w:spacing w:after="0" w:line="13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6" w:right="459" w:bottom="1440" w:gutter="0" w:footer="0" w:header="0"/>
        </w:sectPr>
      </w:pPr>
    </w:p>
    <w:bookmarkStart w:id="7" w:name="page8"/>
    <w:bookmarkEnd w:id="7"/>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NO. 9 TO SCHEDULE 13D</w:t>
      </w:r>
    </w:p>
    <w:p>
      <w:pPr>
        <w:spacing w:after="0" w:line="227"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i w:val="1"/>
          <w:iCs w:val="1"/>
          <w:color w:val="auto"/>
        </w:rPr>
        <w:t>This Amendment No. 9 to Schedule 13D/A (the “Amendment”) relates to the Common Shares (“Common Shares”) of Civeo Corporation, a British Columbia corporation (the “Issuer” or the “Company”). This Amendment is being filed to amend the Schedule 13D/A that was filed on August 16, 2022 (the “Schedule 13D”). This Amendment is being filed to update Item 5 to the Schedule 13D. Other than information set forth on the cover pages and Item 5 below, no other information in the Schedule 13D is being amended. Unless otherwise indicated in this Amendment, all capitalized terms have the meanings ascribed to them in the Schedule 13D.</w:t>
      </w:r>
    </w:p>
    <w:p>
      <w:pPr>
        <w:spacing w:after="0" w:line="2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and (b) The information on the cover pages are incorporated by reference to this Item 5(a) and 5(b).</w:t>
      </w:r>
    </w:p>
    <w:p>
      <w:pPr>
        <w:spacing w:after="0" w:line="225" w:lineRule="exact"/>
        <w:rPr>
          <w:sz w:val="20"/>
          <w:szCs w:val="20"/>
          <w:color w:val="auto"/>
        </w:rPr>
      </w:pPr>
    </w:p>
    <w:p>
      <w:pPr>
        <w:jc w:val="both"/>
        <w:ind w:left="4" w:right="200"/>
        <w:spacing w:after="0" w:line="266" w:lineRule="auto"/>
        <w:rPr>
          <w:sz w:val="20"/>
          <w:szCs w:val="20"/>
          <w:color w:val="auto"/>
        </w:rPr>
      </w:pPr>
      <w:r>
        <w:rPr>
          <w:rFonts w:ascii="Times New Roman" w:cs="Times New Roman" w:eastAsia="Times New Roman" w:hAnsi="Times New Roman"/>
          <w:sz w:val="18"/>
          <w:szCs w:val="18"/>
          <w:color w:val="auto"/>
        </w:rPr>
        <w:t>The ownership percentage is calculated based upon 13,712,661 of the Issuer’s Common Shares outstanding as of October 21, 2022, as reported in the Issuer’s quarterly report for the period ending September 30, 2022 on the Form 10-Q filed with the Securities and Exchange Commission (the “SEC”) on October 28, 2022.</w:t>
      </w:r>
    </w:p>
    <w:p>
      <w:pPr>
        <w:spacing w:after="0" w:line="176" w:lineRule="exact"/>
        <w:rPr>
          <w:sz w:val="20"/>
          <w:szCs w:val="20"/>
          <w:color w:val="auto"/>
        </w:rPr>
      </w:pPr>
    </w:p>
    <w:p>
      <w:pPr>
        <w:ind w:left="4" w:right="80" w:hanging="4"/>
        <w:spacing w:after="0" w:line="266" w:lineRule="auto"/>
        <w:tabs>
          <w:tab w:leader="none" w:pos="2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transactions with respect to the Common Shares effected during the past sixty (60) days prior to the effective date of this Amendment No. 9 to Schedule 13D by the Reporting Persons. On October 30, 2022, the Report Person sold 3,617 shares of Class A Series 1 Preferred Stock to the Issuer at a price of $8,465.08 per share of Class A Series 1 Preferred Stock.</w:t>
      </w:r>
    </w:p>
    <w:p>
      <w:pPr>
        <w:spacing w:after="0" w:line="1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66" w:right="459" w:bottom="1440" w:gutter="0" w:footer="0" w:header="0"/>
        </w:sectPr>
      </w:pPr>
    </w:p>
    <w:bookmarkStart w:id="8" w:name="page9"/>
    <w:bookmarkEnd w:id="8"/>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Torgerson Family Trust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Lance Torgerson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Lance Torgerson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989677 Alberta Ltd.</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Lance Torgerson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Lance Torgerson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Svenco Investments Ltd.</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Lance Torgerson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Lance Torgerson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Lance Torgerson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Richard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Richard Torgerson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Tammy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Tammy Torgerson</w:t>
      </w:r>
    </w:p>
    <w:p>
      <w:pPr>
        <w:spacing w:after="0" w:line="15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9</w:t>
      </w:r>
    </w:p>
    <w:sectPr>
      <w:pgSz w:w="11900" w:h="16838" w:orient="portrait"/>
      <w:cols w:equalWidth="0" w:num="1">
        <w:col w:w="10440"/>
      </w:cols>
      <w:pgMar w:left="440" w:top="266"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3"/>
    </w:lvl>
  </w:abstractNum>
  <w:abstractNum w:abstractNumId="4">
    <w:nsid w:val="507ED7AB"/>
    <w:multiLevelType w:val="hybridMultilevel"/>
    <w:lvl w:ilvl="0">
      <w:lvlJc w:val="left"/>
      <w:lvlText w:val="(%1)"/>
      <w:numFmt w:val="decimal"/>
      <w:start w:val="5"/>
    </w:lvl>
  </w:abstractNum>
  <w:abstractNum w:abstractNumId="5">
    <w:nsid w:val="2EB141F2"/>
    <w:multiLevelType w:val="hybridMultilevel"/>
    <w:lvl w:ilvl="0">
      <w:lvlJc w:val="left"/>
      <w:lvlText w:val="(%1)"/>
      <w:numFmt w:val="decimal"/>
      <w:start w:val="5"/>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2022-11-04T12:33:53Z</dcterms:created>
  <dcterms:modified xsi:type="dcterms:W3CDTF">2022-11-04T12:33:53Z</dcterms:modified>
</cp:coreProperties>
</file>