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29, 2024</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jc w:val="both"/>
        <w:ind w:firstLine="285"/>
        <w:spacing w:after="0" w:line="263" w:lineRule="auto"/>
        <w:rPr>
          <w:sz w:val="20"/>
          <w:szCs w:val="20"/>
          <w:color w:val="auto"/>
        </w:rPr>
      </w:pPr>
      <w:r>
        <w:rPr>
          <w:rFonts w:ascii="Times New Roman" w:cs="Times New Roman" w:eastAsia="Times New Roman" w:hAnsi="Times New Roman"/>
          <w:sz w:val="22"/>
          <w:szCs w:val="22"/>
          <w:color w:val="auto"/>
        </w:rPr>
        <w:t>On February 29, 2024, Civeo Corporation (“Civeo”) issued a press release announcing its financial condition and results of operations as of and for the quarter and year ended December 31, 2023. A copy of the press release is furnished as Exhibit 99.1 to this report on Form 8-K, and is incorporated herein by reference.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700" w:hanging="47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612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1020" w:type="dxa"/>
            <w:vAlign w:val="bottom"/>
          </w:tcPr>
          <w:p>
            <w:pPr>
              <w:spacing w:after="0"/>
              <w:rPr>
                <w:sz w:val="24"/>
                <w:szCs w:val="24"/>
                <w:color w:val="auto"/>
              </w:rPr>
            </w:pPr>
          </w:p>
        </w:tc>
        <w:tc>
          <w:tcPr>
            <w:tcW w:w="3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Press Release dated February 29, 2024</w:t>
            </w:r>
          </w:p>
        </w:tc>
        <w:tc>
          <w:tcPr>
            <w:tcW w:w="6120" w:type="dxa"/>
            <w:vAlign w:val="bottom"/>
          </w:tcPr>
          <w:p>
            <w:pPr>
              <w:spacing w:after="0"/>
              <w:rPr>
                <w:sz w:val="24"/>
                <w:szCs w:val="24"/>
                <w:color w:val="auto"/>
              </w:rPr>
            </w:pPr>
          </w:p>
        </w:tc>
      </w:tr>
      <w:tr>
        <w:trPr>
          <w:trHeight w:val="4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(formatted as Inline XBRL and contained in Exhibit 101)</w:t>
            </w:r>
          </w:p>
        </w:tc>
      </w:tr>
      <w:tr>
        <w:trPr>
          <w:trHeight w:val="2169"/>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-2150745</wp:posOffset>
            </wp:positionV>
            <wp:extent cx="34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29, 2024</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Carolyn J. Stone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143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Carolyn J. Stone</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p>
      <w:pPr>
        <w:sectPr>
          <w:pgSz w:w="11900" w:h="16838" w:orient="portrait"/>
          <w:cols w:equalWidth="0" w:num="1">
            <w:col w:w="11220"/>
          </w:cols>
          <w:pgMar w:left="320" w:top="1296"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Civeo Reports Fourth Quarter and Full Year 2023 Results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Highlights:</w:t>
      </w:r>
    </w:p>
    <w:p>
      <w:pPr>
        <w:spacing w:after="0" w:line="158" w:lineRule="exact"/>
        <w:rPr>
          <w:sz w:val="20"/>
          <w:szCs w:val="20"/>
          <w:color w:val="auto"/>
        </w:rPr>
      </w:pPr>
    </w:p>
    <w:p>
      <w:pPr>
        <w:ind w:left="660" w:right="24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fourth quarter 2023 revenues of $170.8 million, net income of $23.0 million and operating cash flow of $40.0 million, with full year 2023 revenues of $700.8 million, net income of $30.2 million and operating cash flow of $96.6 million;</w:t>
      </w:r>
    </w:p>
    <w:p>
      <w:pPr>
        <w:spacing w:after="0" w:line="179"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fourth quarter 2023 Adjusted EBITDA of $17.4 million and free cash flow of $39.2 million, with full year 2023 Adjusted EBITDA of $102.0 million and free cash flow of $81.7 million;</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total debt in the fourth quarter by $37.7 million to $65.6 million as of December 31, 2023;</w:t>
      </w:r>
    </w:p>
    <w:p>
      <w:pPr>
        <w:spacing w:after="0" w:line="252"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regular quarterly dividend in September 2023 and continued opportunistic share repurchases, resulting in the return of 23% of 2023 free cash flow to shareholders; and</w:t>
      </w:r>
    </w:p>
    <w:p>
      <w:pPr>
        <w:spacing w:after="0" w:line="179"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the previously announced sale of McClelland Lake Lodge in January 2024, with additional potential associated revenue opportunities under consideration.</w:t>
      </w:r>
    </w:p>
    <w:p>
      <w:pPr>
        <w:spacing w:after="0" w:line="180"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HOUSTON and CALGARY, February 29, 2024 (BUSINESS WIRE) -- Civeo Corporation (NYSE:CVEO) today reported financial and operating results for the fourth quarter and year ended December 31, 2023.</w:t>
      </w:r>
    </w:p>
    <w:p>
      <w:pPr>
        <w:spacing w:after="0" w:line="1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ended 2023 in a solid financial position. Our continued discipline in capital allocation and strong cash flow enabled us to reach our target leverage ratio and return capital to shareholders through continued share repurchases and the initiation of a quarterly dividend. We continued</w:t>
      </w:r>
    </w:p>
    <w:p>
      <w:pPr>
        <w:spacing w:after="0" w:line="1"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to deliver strong results in the fourth quarter with revenues, Adjusted EBITDA and free cash flow above expectations. In the fourth quarter, Australian Adjusted EBITDA increased 64% compared to the fourth quarter of 2022, driven by the third consecutive quarter of record billed rooms in our owned villages coupled with improved margins in our Australian integrated services business benefiting from our inflation mitigation efforts,” said Bradley J. Dodson, Civeo's President and Chief Executive Officer.</w:t>
      </w:r>
    </w:p>
    <w:p>
      <w:pPr>
        <w:spacing w:after="0" w:line="20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Mr. Dodson continued, "Additionally, we are excited to announce that the sale of McClelland Lake Lodge was completed earlier this year. The majority of the proceeds were received in the fourth quarter with the remainder received in January. We were awarded the transportation contract for the assets, which is currently in progress, and will continue to pursue opportunities related to this sale as well as other opportunities to redeploy underutilized assets</w:t>
      </w:r>
      <w:r>
        <w:rPr>
          <w:rFonts w:ascii="Calibri" w:cs="Calibri" w:eastAsia="Calibri" w:hAnsi="Calibri"/>
          <w:sz w:val="19"/>
          <w:szCs w:val="19"/>
          <w:color w:val="auto"/>
        </w:rPr>
        <w:t>.</w:t>
      </w:r>
      <w:r>
        <w:rPr>
          <w:rFonts w:ascii="Arial" w:cs="Arial" w:eastAsia="Arial" w:hAnsi="Arial"/>
          <w:sz w:val="18"/>
          <w:szCs w:val="18"/>
          <w:color w:val="auto"/>
        </w:rPr>
        <w:t>”</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Mr. Dodson added, “Despite the wind-down of LNG-related activity in Canada, we entered 2024 with significant strength and flexibility. We will continue to execute on our capital allocation framework we announced in September that includes a quarterly dividend and opportunistic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while maintaining a prudent leverage ratio and investing in growth at attractive economics.”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Fourth Quarter 2023 Results</w:t>
      </w:r>
    </w:p>
    <w:p>
      <w:pPr>
        <w:spacing w:after="0" w:line="15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the fourth quarter of 2023, Civeo generated revenues of $170.8 million and reported net income of $23.0 million, or $1.55 per diluted share. During the fourth quarter of 2023, Civeo produced operating cash flow of $40.0 million, Adjusted EBITDA of $17.4 million and free cash flow of $39.2 million.</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By comparison, in the fourth quarter of 2022, Civeo generated revenues of $162.2 million and reported a net loss of $13.0 million, or $1.31 per diluted share. The loss resulted in part from $5.7 million in costs associated with impairments on assets in Australia and the U.S. During the fourth quarter of 2022, Civeo produced operating cash flow of $29.4 million, Adjusted EBITDA of $15.1 million and free cash flow of $25.8 million.</w:t>
      </w:r>
    </w:p>
    <w:p>
      <w:pPr>
        <w:spacing w:after="0" w:line="95"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Overall, the increase in Adjusted EBITDA in the fourth quarter of 2023 compared to 2022 was primarily due to increased billed rooms at the Australian Bowen Basin villages and improved margins in the Australian integrated services business, partially offset by the expected wind-down of LNG-related Canadian mobile camp activity, including $5.6 million in mobile camp demobilization costs.</w:t>
      </w:r>
    </w:p>
    <w:p>
      <w:pPr>
        <w:sectPr>
          <w:pgSz w:w="11900" w:h="16838" w:orient="portrait"/>
          <w:cols w:equalWidth="0" w:num="1">
            <w:col w:w="11240"/>
          </w:cols>
          <w:pgMar w:left="320" w:top="88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Full Year 2023 Results</w:t>
      </w:r>
    </w:p>
    <w:p>
      <w:pPr>
        <w:spacing w:after="0" w:line="14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For the full year 2023, the Company reported revenues of $700.8 million and net income of $30.2 million, or $2.01 per diluted share. Adjusted EBITDA for the full year 2023 was $102.0 million. This compared to revenues of $697.1 million and net income of $2.2 million, or $0.21 loss</w:t>
      </w:r>
    </w:p>
    <w:p>
      <w:pPr>
        <w:ind w:right="100"/>
        <w:spacing w:after="0" w:line="226" w:lineRule="auto"/>
        <w:rPr>
          <w:sz w:val="20"/>
          <w:szCs w:val="20"/>
          <w:color w:val="auto"/>
        </w:rPr>
      </w:pPr>
      <w:r>
        <w:rPr>
          <w:rFonts w:ascii="Arial" w:cs="Arial" w:eastAsia="Arial" w:hAnsi="Arial"/>
          <w:sz w:val="18"/>
          <w:szCs w:val="18"/>
          <w:color w:val="auto"/>
        </w:rPr>
        <w:t>per diluted share, for the full year 2022. Adjusted EBITDA was $112.8 million in 2022. Results for the full year of 2023 reflect the impact of weakened Australian and Canadian dollars relative to the U.S. dollar, which decreased revenues and Adjusted EBITDA by $28.8 million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$5.7 million, respectively.</w:t>
      </w:r>
    </w:p>
    <w:p>
      <w:pPr>
        <w:spacing w:after="0" w:line="23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decrease in Adjusted EBITDA in 2023 as compared to 2022 was largely driven by the wind-down of LNG-related activity in Canada and the impact of weakened Canadian and Australian dollars, partially offset by significant improvement across our Australian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5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(Unless otherwise noted, the following discussion compares the quarterly results for the fourth quarter of 2023 to the results for the fourth quarter of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fourth quarter of 2023, the Canada segment generated revenues of $ 72.7 million, operating income of $15.6 million and Adjusted EBITDA of $3.4 million, compared to revenues of $88.0 million, operating loss of $6.1 million and Adjusted EBITDA of $11.8 million in the fourth quarter of 2022.</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Canadian segment experienced a 17% period-over-period decrease in revenues and a 72% decrease in Adjusted EBITDA driven by the wind-down of LNG-related mobile camp activity, including $5.6 million of mobile camp demobilization costs.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5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During the fourth quarter of 2023, the Australia segment generated revenues of $89.3 million, operating income of $13.2 million and Adjusted EBITDA of $21.5 million, compared to revenues of $73.1 million, operating loss of $2.7 million and Adjusted EBITDA of $13.1 million in the fourth quarter of 2022. Operating loss for the fourth quarter of 2022 includes asset impairment charges of $3.8 million.</w:t>
      </w:r>
    </w:p>
    <w:p>
      <w:pPr>
        <w:spacing w:after="0" w:line="18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Australian segment experienced a 22% period-over-period increase in revenues and a 64% increase in Adjusted EBITDA driven by a 23% year-over-year increase in billed rooms, increased integrated services activity and improved margins.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 and Capital Allocation</w:t>
      </w:r>
    </w:p>
    <w:p>
      <w:pPr>
        <w:spacing w:after="0" w:line="14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As of December 31, 2023, Civeo had total liquidity of approximately $136.4 million, consisting of $133.1 million available under its revolving credit facilities and $3.3 million of cash on hand.</w:t>
      </w:r>
    </w:p>
    <w:p>
      <w:pPr>
        <w:spacing w:after="0" w:line="8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Civeo’s total debt outstanding on December 31, 2023 was $65.6 million, a $37.7 million decrease from September 30, 2023 and a $66.5 million decrease from December 31, 2022.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Civeo reported a net leverage ratio of 0.6x as of December 31, 2023.</w:t>
      </w:r>
    </w:p>
    <w:p>
      <w:pPr>
        <w:spacing w:after="0" w:line="131"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During 2023, Civeo invested $31.6 million in capital expenditures, up from $25.4 million during 2022. Capital expenditures in both periods were primarily related to maintenance spending on the Company’s lodges and villages. Capital expenditures in 2023 also included $10.0 million related to customer-funded infrastructure upgrades at three Australian villages.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previously announced that its board of directors declared a quarterly cash dividend of $0.25 per</w:t>
      </w:r>
    </w:p>
    <w:p>
      <w:pPr>
        <w:spacing w:after="0" w:line="2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common share, payable on March 18, 2024 to shareholders of record as of close of business on February 26, 2024. For purposes of the Income Tax Act (Canada), the Company has designated this dividend to be an "eligible dividend".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2024 Guidance</w:t>
      </w:r>
    </w:p>
    <w:p>
      <w:pPr>
        <w:spacing w:after="0" w:line="15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For the full year of 2024, Civeo expects revenues of $625.0 million to $700.0 million, Adjusted EBITDA of $80.0 million to $90.0 million and capital expenditures of $30.0 million to $35.0 million.</w:t>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Conference Call</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Civeo will host a conference call to discuss its fourth quarter 2023 financial results today at 11:00 a.m. Eastern time. This call is being webcast and can be accessed at Civeo's website at www.civeo.com. Participants may also join the conference call by dialing (877) 423-9813 in the United States or (201) 689-8573 internationally and asking for the Civeo call or using the conference ID 13744459#. A replay will be available after the call by dialing (844) 512-2921 in the United States or (412) 317-6671 internationally and using the conference ID 13744459#.</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58" w:lineRule="exact"/>
        <w:rPr>
          <w:sz w:val="20"/>
          <w:szCs w:val="20"/>
          <w:color w:val="auto"/>
        </w:rPr>
      </w:pPr>
    </w:p>
    <w:p>
      <w:pPr>
        <w:ind w:right="2000"/>
        <w:spacing w:after="0" w:line="256"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24 lodges and villages in Canada, Australia and the U.S., with an aggregate of approximately 26,000 rooms. Civeo is publicly traded under the symbol CVEO on the New York Stock Exchange. For more information, please visit Civeo's website at www.civeo.com.</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44" w:lineRule="exact"/>
        <w:rPr>
          <w:sz w:val="20"/>
          <w:szCs w:val="20"/>
          <w:color w:val="auto"/>
        </w:rPr>
      </w:pPr>
    </w:p>
    <w:p>
      <w:pPr>
        <w:ind w:right="1960"/>
        <w:spacing w:after="0" w:line="251"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including the statements regarding Civeo’s future plans and outlook, strategic priorities, guidance, current trends, expectations with respect to share repurchases and dividends, and liquidity needs,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w:t>
      </w:r>
    </w:p>
    <w:p>
      <w:pPr>
        <w:spacing w:after="0" w:line="1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company’s ability to integrate any future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geopolitical events, inflation, global weather conditions, natural disasters, global health</w:t>
      </w:r>
    </w:p>
    <w:p>
      <w:pPr>
        <w:spacing w:after="0" w:line="2" w:lineRule="exact"/>
        <w:rPr>
          <w:sz w:val="20"/>
          <w:szCs w:val="20"/>
          <w:color w:val="auto"/>
        </w:rPr>
      </w:pPr>
    </w:p>
    <w:p>
      <w:pPr>
        <w:ind w:right="2280"/>
        <w:spacing w:after="0" w:line="265" w:lineRule="auto"/>
        <w:rPr>
          <w:sz w:val="20"/>
          <w:szCs w:val="20"/>
          <w:color w:val="auto"/>
        </w:rPr>
      </w:pPr>
      <w:r>
        <w:rPr>
          <w:rFonts w:ascii="Arial" w:cs="Arial" w:eastAsia="Arial" w:hAnsi="Arial"/>
          <w:sz w:val="17"/>
          <w:szCs w:val="17"/>
          <w:color w:val="auto"/>
        </w:rPr>
        <w:t>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w:t>
      </w:r>
    </w:p>
    <w:p>
      <w:pPr>
        <w:ind w:right="720"/>
        <w:spacing w:after="0" w:line="250" w:lineRule="auto"/>
        <w:rPr>
          <w:sz w:val="20"/>
          <w:szCs w:val="20"/>
          <w:color w:val="auto"/>
        </w:rPr>
      </w:pPr>
      <w:r>
        <w:rPr>
          <w:rFonts w:ascii="Arial" w:cs="Arial" w:eastAsia="Arial" w:hAnsi="Arial"/>
          <w:sz w:val="18"/>
          <w:szCs w:val="18"/>
          <w:color w:val="auto"/>
        </w:rPr>
        <w:t>reports the company may file from time to time with the U.S. Securities and Exchange Commission. Each forward-looking statement contained herein speaks only as of the date of this release. Except as required by law, Civeo</w:t>
      </w:r>
    </w:p>
    <w:p>
      <w:pPr>
        <w:spacing w:after="0" w:line="1" w:lineRule="exact"/>
        <w:rPr>
          <w:sz w:val="20"/>
          <w:szCs w:val="20"/>
          <w:color w:val="auto"/>
        </w:rPr>
      </w:pPr>
    </w:p>
    <w:p>
      <w:pPr>
        <w:ind w:right="2320"/>
        <w:spacing w:after="0" w:line="266" w:lineRule="auto"/>
        <w:rPr>
          <w:sz w:val="20"/>
          <w:szCs w:val="20"/>
          <w:color w:val="auto"/>
        </w:rPr>
      </w:pPr>
      <w:r>
        <w:rPr>
          <w:rFonts w:ascii="Arial" w:cs="Arial" w:eastAsia="Arial" w:hAnsi="Arial"/>
          <w:sz w:val="18"/>
          <w:szCs w:val="18"/>
          <w:color w:val="auto"/>
        </w:rPr>
        <w:t>expressly disclaims any intention or obligation to revise or update any forward-looking statements, whether as a result of new information, future events or otherwise.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252" w:lineRule="exact"/>
        <w:rPr>
          <w:sz w:val="20"/>
          <w:szCs w:val="20"/>
          <w:color w:val="auto"/>
        </w:rPr>
      </w:pPr>
    </w:p>
    <w:p>
      <w:pPr>
        <w:ind w:right="2000"/>
        <w:spacing w:after="0" w:line="255" w:lineRule="auto"/>
        <w:rPr>
          <w:sz w:val="20"/>
          <w:szCs w:val="20"/>
          <w:color w:val="auto"/>
        </w:rPr>
      </w:pPr>
      <w:r>
        <w:rPr>
          <w:rFonts w:ascii="Arial" w:cs="Arial" w:eastAsia="Arial" w:hAnsi="Arial"/>
          <w:sz w:val="18"/>
          <w:szCs w:val="18"/>
          <w:color w:val="auto"/>
        </w:rPr>
        <w:t>EBITDA, Adjusted EBITDA, free cash flow, net debt, bank-adjusted EBITDA and net leverage ratio are non-GAAP financial measures. See “Non-GAAP Reconciliation” below for definitions and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ectPr>
          <w:pgSz w:w="11900" w:h="16838" w:orient="portrait"/>
          <w:cols w:equalWidth="0" w:num="1">
            <w:col w:w="11200"/>
          </w:cols>
          <w:pgMar w:left="320" w:top="890" w:right="379" w:bottom="144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 Financial Schedules Follow -</w:t>
      </w:r>
    </w:p>
    <w:p>
      <w:pPr>
        <w:sectPr>
          <w:pgSz w:w="11900" w:h="16838" w:orient="portrait"/>
          <w:cols w:equalWidth="0" w:num="1">
            <w:col w:w="11200"/>
          </w:cols>
          <w:pgMar w:left="320" w:top="890" w:right="379" w:bottom="144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7"/>
                <w:szCs w:val="17"/>
                <w:color w:val="auto"/>
              </w:rPr>
            </w:pPr>
          </w:p>
        </w:tc>
        <w:tc>
          <w:tcPr>
            <w:tcW w:w="2300" w:type="dxa"/>
            <w:vAlign w:val="bottom"/>
            <w:gridSpan w:val="4"/>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0" w:type="dxa"/>
            <w:vAlign w:val="bottom"/>
          </w:tcPr>
          <w:p>
            <w:pPr>
              <w:spacing w:after="0"/>
              <w:rPr>
                <w:sz w:val="20"/>
                <w:szCs w:val="20"/>
                <w:color w:val="auto"/>
              </w:rPr>
            </w:pPr>
          </w:p>
        </w:tc>
        <w:tc>
          <w:tcPr>
            <w:tcW w:w="2300" w:type="dxa"/>
            <w:vAlign w:val="bottom"/>
            <w:gridSpan w:val="4"/>
          </w:tcPr>
          <w:p>
            <w:pPr>
              <w:jc w:val="right"/>
              <w:ind w:right="688"/>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4"/>
        </w:trPr>
        <w:tc>
          <w:tcPr>
            <w:tcW w:w="38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513"/>
        </w:trPr>
        <w:tc>
          <w:tcPr>
            <w:tcW w:w="3880" w:type="dxa"/>
            <w:vAlign w:val="bottom"/>
          </w:tcPr>
          <w:p>
            <w:pPr>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170,799</w:t>
            </w:r>
          </w:p>
        </w:tc>
        <w:tc>
          <w:tcPr>
            <w:tcW w:w="2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162,193</w:t>
            </w:r>
          </w:p>
        </w:tc>
        <w:tc>
          <w:tcPr>
            <w:tcW w:w="24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700,805</w:t>
            </w:r>
          </w:p>
        </w:tc>
        <w:tc>
          <w:tcPr>
            <w:tcW w:w="2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697,052</w:t>
            </w:r>
          </w:p>
        </w:tc>
        <w:tc>
          <w:tcPr>
            <w:tcW w:w="0" w:type="dxa"/>
            <w:vAlign w:val="bottom"/>
          </w:tcPr>
          <w:p>
            <w:pPr>
              <w:spacing w:after="0"/>
              <w:rPr>
                <w:sz w:val="1"/>
                <w:szCs w:val="1"/>
                <w:color w:val="auto"/>
              </w:rPr>
            </w:pPr>
          </w:p>
        </w:tc>
      </w:tr>
      <w:tr>
        <w:trPr>
          <w:trHeight w:val="540"/>
        </w:trPr>
        <w:tc>
          <w:tcPr>
            <w:tcW w:w="3880" w:type="dxa"/>
            <w:vAlign w:val="bottom"/>
          </w:tcPr>
          <w:p>
            <w:pPr>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135,052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127,671</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530,287</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517,063</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19,720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19,390</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72,605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69,962</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15,865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21,396</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75,142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87,214</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1,395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5,721</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1,395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5,721</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Gain on sale of McClelland Lake Lodge assets, net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(23,458)</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(18,590)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3880" w:type="dxa"/>
            <w:vAlign w:val="bottom"/>
          </w:tcPr>
          <w:p>
            <w:pPr>
              <w:ind w:left="120"/>
              <w:spacing w:after="0"/>
              <w:rPr>
                <w:sz w:val="20"/>
                <w:szCs w:val="20"/>
                <w:color w:val="auto"/>
              </w:rPr>
            </w:pPr>
            <w:r>
              <w:rPr>
                <w:rFonts w:ascii="Arial" w:cs="Arial" w:eastAsia="Arial" w:hAnsi="Arial"/>
                <w:sz w:val="14"/>
                <w:szCs w:val="14"/>
                <w:color w:val="auto"/>
              </w:rPr>
              <w:t>Other operating expense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177</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261</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479</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148,751</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174,439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661,318</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680,034</w:t>
            </w:r>
          </w:p>
        </w:tc>
        <w:tc>
          <w:tcPr>
            <w:tcW w:w="0" w:type="dxa"/>
            <w:vAlign w:val="bottom"/>
          </w:tcPr>
          <w:p>
            <w:pPr>
              <w:spacing w:after="0"/>
              <w:rPr>
                <w:sz w:val="1"/>
                <w:szCs w:val="1"/>
                <w:color w:val="auto"/>
              </w:rPr>
            </w:pPr>
          </w:p>
        </w:tc>
      </w:tr>
      <w:tr>
        <w:trPr>
          <w:trHeight w:val="246"/>
        </w:trPr>
        <w:tc>
          <w:tcPr>
            <w:tcW w:w="3880" w:type="dxa"/>
            <w:vAlign w:val="bottom"/>
          </w:tcPr>
          <w:p>
            <w:pPr>
              <w:spacing w:after="0"/>
              <w:rPr>
                <w:sz w:val="20"/>
                <w:szCs w:val="20"/>
                <w:color w:val="auto"/>
              </w:rPr>
            </w:pPr>
            <w:r>
              <w:rPr>
                <w:rFonts w:ascii="Arial" w:cs="Arial" w:eastAsia="Arial" w:hAnsi="Arial"/>
                <w:sz w:val="14"/>
                <w:szCs w:val="14"/>
                <w:color w:val="auto"/>
              </w:rPr>
              <w:t>Operating income (loss)</w:t>
            </w:r>
          </w:p>
        </w:tc>
        <w:tc>
          <w:tcPr>
            <w:tcW w:w="260" w:type="dxa"/>
            <w:vAlign w:val="bottom"/>
          </w:tcPr>
          <w:p>
            <w:pPr>
              <w:spacing w:after="0"/>
              <w:rPr>
                <w:sz w:val="21"/>
                <w:szCs w:val="21"/>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22,048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(12,246)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39,487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17,018</w:t>
            </w:r>
          </w:p>
        </w:tc>
        <w:tc>
          <w:tcPr>
            <w:tcW w:w="0" w:type="dxa"/>
            <w:vAlign w:val="bottom"/>
          </w:tcPr>
          <w:p>
            <w:pPr>
              <w:spacing w:after="0"/>
              <w:rPr>
                <w:sz w:val="1"/>
                <w:szCs w:val="1"/>
                <w:color w:val="auto"/>
              </w:rPr>
            </w:pPr>
          </w:p>
        </w:tc>
      </w:tr>
      <w:tr>
        <w:trPr>
          <w:trHeight w:val="540"/>
        </w:trPr>
        <w:tc>
          <w:tcPr>
            <w:tcW w:w="3880" w:type="dxa"/>
            <w:vAlign w:val="bottom"/>
          </w:tcPr>
          <w:p>
            <w:pPr>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(2,552)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(3,397)</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(13,177)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(11,474)</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46</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172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4"/>
        </w:trPr>
        <w:tc>
          <w:tcPr>
            <w:tcW w:w="3880" w:type="dxa"/>
            <w:vAlign w:val="bottom"/>
          </w:tcPr>
          <w:p>
            <w:pPr>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10,845</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859</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13,881</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5,149</w:t>
            </w:r>
          </w:p>
        </w:tc>
        <w:tc>
          <w:tcPr>
            <w:tcW w:w="0" w:type="dxa"/>
            <w:vAlign w:val="bottom"/>
          </w:tcPr>
          <w:p>
            <w:pPr>
              <w:spacing w:after="0"/>
              <w:rPr>
                <w:sz w:val="1"/>
                <w:szCs w:val="1"/>
                <w:color w:val="auto"/>
              </w:rPr>
            </w:pPr>
          </w:p>
        </w:tc>
      </w:tr>
      <w:tr>
        <w:trPr>
          <w:trHeight w:val="246"/>
        </w:trPr>
        <w:tc>
          <w:tcPr>
            <w:tcW w:w="388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30,387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(14,760)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40,363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10,732</w:t>
            </w:r>
          </w:p>
        </w:tc>
        <w:tc>
          <w:tcPr>
            <w:tcW w:w="0" w:type="dxa"/>
            <w:vAlign w:val="bottom"/>
          </w:tcPr>
          <w:p>
            <w:pPr>
              <w:spacing w:after="0"/>
              <w:rPr>
                <w:sz w:val="1"/>
                <w:szCs w:val="1"/>
                <w:color w:val="auto"/>
              </w:rPr>
            </w:pPr>
          </w:p>
        </w:tc>
      </w:tr>
      <w:tr>
        <w:trPr>
          <w:trHeight w:val="274"/>
        </w:trPr>
        <w:tc>
          <w:tcPr>
            <w:tcW w:w="388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(7,736)</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2,689</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(10,633)</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(4,402)</w:t>
            </w:r>
          </w:p>
        </w:tc>
        <w:tc>
          <w:tcPr>
            <w:tcW w:w="0" w:type="dxa"/>
            <w:vAlign w:val="bottom"/>
          </w:tcPr>
          <w:p>
            <w:pPr>
              <w:spacing w:after="0"/>
              <w:rPr>
                <w:sz w:val="1"/>
                <w:szCs w:val="1"/>
                <w:color w:val="auto"/>
              </w:rPr>
            </w:pPr>
          </w:p>
        </w:tc>
      </w:tr>
      <w:tr>
        <w:trPr>
          <w:trHeight w:val="246"/>
        </w:trPr>
        <w:tc>
          <w:tcPr>
            <w:tcW w:w="388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1"/>
                <w:szCs w:val="21"/>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22,651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(12,071)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29,730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6,330</w:t>
            </w:r>
          </w:p>
        </w:tc>
        <w:tc>
          <w:tcPr>
            <w:tcW w:w="0" w:type="dxa"/>
            <w:vAlign w:val="bottom"/>
          </w:tcPr>
          <w:p>
            <w:pPr>
              <w:spacing w:after="0"/>
              <w:rPr>
                <w:sz w:val="1"/>
                <w:szCs w:val="1"/>
                <w:color w:val="auto"/>
              </w:rPr>
            </w:pPr>
          </w:p>
        </w:tc>
      </w:tr>
      <w:tr>
        <w:trPr>
          <w:trHeight w:val="157"/>
        </w:trPr>
        <w:tc>
          <w:tcPr>
            <w:tcW w:w="3880" w:type="dxa"/>
            <w:vAlign w:val="bottom"/>
          </w:tcPr>
          <w:p>
            <w:pPr>
              <w:ind w:left="120"/>
              <w:spacing w:after="0" w:line="157" w:lineRule="exact"/>
              <w:rPr>
                <w:sz w:val="20"/>
                <w:szCs w:val="20"/>
                <w:color w:val="auto"/>
              </w:rPr>
            </w:pPr>
            <w:r>
              <w:rPr>
                <w:rFonts w:ascii="Arial" w:cs="Arial" w:eastAsia="Arial" w:hAnsi="Arial"/>
                <w:sz w:val="14"/>
                <w:szCs w:val="14"/>
                <w:color w:val="auto"/>
              </w:rPr>
              <w:t>Less: Net income (loss) attributable to noncontrolling</w:t>
            </w: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(374)</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627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(427)</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2,333</w:t>
            </w:r>
          </w:p>
        </w:tc>
        <w:tc>
          <w:tcPr>
            <w:tcW w:w="0" w:type="dxa"/>
            <w:vAlign w:val="bottom"/>
          </w:tcPr>
          <w:p>
            <w:pPr>
              <w:spacing w:after="0"/>
              <w:rPr>
                <w:sz w:val="1"/>
                <w:szCs w:val="1"/>
                <w:color w:val="auto"/>
              </w:rPr>
            </w:pPr>
          </w:p>
        </w:tc>
      </w:tr>
      <w:tr>
        <w:trPr>
          <w:trHeight w:val="189"/>
        </w:trPr>
        <w:tc>
          <w:tcPr>
            <w:tcW w:w="3880" w:type="dxa"/>
            <w:vAlign w:val="bottom"/>
          </w:tcPr>
          <w:p>
            <w:pPr>
              <w:ind w:left="120"/>
              <w:spacing w:after="0"/>
              <w:rPr>
                <w:sz w:val="20"/>
                <w:szCs w:val="20"/>
                <w:color w:val="auto"/>
              </w:rPr>
            </w:pPr>
            <w:r>
              <w:rPr>
                <w:rFonts w:ascii="Arial" w:cs="Arial" w:eastAsia="Arial" w:hAnsi="Arial"/>
                <w:sz w:val="14"/>
                <w:szCs w:val="14"/>
                <w:color w:val="auto"/>
              </w:rPr>
              <w:t>interest</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88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260" w:type="dxa"/>
            <w:vAlign w:val="bottom"/>
          </w:tcPr>
          <w:p>
            <w:pPr>
              <w:spacing w:after="0"/>
              <w:rPr>
                <w:sz w:val="21"/>
                <w:szCs w:val="21"/>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23,025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(12,698)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30,157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3,997</w:t>
            </w:r>
          </w:p>
        </w:tc>
        <w:tc>
          <w:tcPr>
            <w:tcW w:w="0" w:type="dxa"/>
            <w:vAlign w:val="bottom"/>
          </w:tcPr>
          <w:p>
            <w:pPr>
              <w:spacing w:after="0"/>
              <w:rPr>
                <w:sz w:val="1"/>
                <w:szCs w:val="1"/>
                <w:color w:val="auto"/>
              </w:rPr>
            </w:pPr>
          </w:p>
        </w:tc>
      </w:tr>
      <w:tr>
        <w:trPr>
          <w:trHeight w:val="157"/>
        </w:trPr>
        <w:tc>
          <w:tcPr>
            <w:tcW w:w="3880" w:type="dxa"/>
            <w:vAlign w:val="bottom"/>
          </w:tcPr>
          <w:p>
            <w:pPr>
              <w:ind w:left="120"/>
              <w:spacing w:after="0" w:line="157" w:lineRule="exact"/>
              <w:rPr>
                <w:sz w:val="20"/>
                <w:szCs w:val="20"/>
                <w:color w:val="auto"/>
              </w:rPr>
            </w:pPr>
            <w:r>
              <w:rPr>
                <w:rFonts w:ascii="Arial" w:cs="Arial" w:eastAsia="Arial" w:hAnsi="Arial"/>
                <w:sz w:val="14"/>
                <w:szCs w:val="14"/>
                <w:color w:val="auto"/>
              </w:rPr>
              <w:t>Less: Dividends attributable to Class A preferred</w:t>
            </w:r>
          </w:p>
        </w:tc>
        <w:tc>
          <w:tcPr>
            <w:tcW w:w="260" w:type="dxa"/>
            <w:vAlign w:val="bottom"/>
          </w:tcPr>
          <w:p>
            <w:pPr>
              <w:spacing w:after="0"/>
              <w:rPr>
                <w:sz w:val="13"/>
                <w:szCs w:val="13"/>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302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89"/>
        </w:trPr>
        <w:tc>
          <w:tcPr>
            <w:tcW w:w="3880" w:type="dxa"/>
            <w:vAlign w:val="bottom"/>
          </w:tcPr>
          <w:p>
            <w:pPr>
              <w:ind w:left="120"/>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4"/>
                <w:szCs w:val="14"/>
                <w:color w:val="auto"/>
              </w:rPr>
              <w:t>23,025</w:t>
            </w:r>
          </w:p>
        </w:tc>
        <w:tc>
          <w:tcPr>
            <w:tcW w:w="200" w:type="dxa"/>
            <w:vAlign w:val="bottom"/>
          </w:tcPr>
          <w:p>
            <w:pPr>
              <w:spacing w:after="0"/>
              <w:rPr>
                <w:sz w:val="14"/>
                <w:szCs w:val="14"/>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(13,000)</w:t>
            </w:r>
          </w:p>
        </w:tc>
        <w:tc>
          <w:tcPr>
            <w:tcW w:w="240" w:type="dxa"/>
            <w:vAlign w:val="bottom"/>
          </w:tcPr>
          <w:p>
            <w:pPr>
              <w:spacing w:after="0"/>
              <w:rPr>
                <w:sz w:val="14"/>
                <w:szCs w:val="14"/>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4"/>
                <w:szCs w:val="14"/>
                <w:color w:val="auto"/>
              </w:rPr>
              <w:t>30,157</w:t>
            </w:r>
          </w:p>
        </w:tc>
        <w:tc>
          <w:tcPr>
            <w:tcW w:w="200" w:type="dxa"/>
            <w:vAlign w:val="bottom"/>
          </w:tcPr>
          <w:p>
            <w:pPr>
              <w:spacing w:after="0"/>
              <w:rPr>
                <w:sz w:val="14"/>
                <w:szCs w:val="14"/>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2,226</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20"/>
                <w:szCs w:val="20"/>
                <w:color w:val="auto"/>
              </w:rPr>
            </w:pPr>
            <w:r>
              <w:rPr>
                <w:rFonts w:ascii="Arial" w:cs="Arial" w:eastAsia="Arial" w:hAnsi="Arial"/>
                <w:sz w:val="14"/>
                <w:szCs w:val="14"/>
                <w:color w:val="auto"/>
              </w:rPr>
              <w:t>common shareholders</w:t>
            </w:r>
          </w:p>
        </w:tc>
        <w:tc>
          <w:tcPr>
            <w:tcW w:w="2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color w:val="auto"/>
              </w:rPr>
              <w:t>Net income (loss) per share attributable to Civeo</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20"/>
                <w:szCs w:val="20"/>
                <w:color w:val="auto"/>
              </w:rPr>
            </w:pPr>
            <w:r>
              <w:rPr>
                <w:rFonts w:ascii="Arial" w:cs="Arial" w:eastAsia="Arial" w:hAnsi="Arial"/>
                <w:sz w:val="14"/>
                <w:szCs w:val="14"/>
                <w:color w:val="auto"/>
              </w:rPr>
              <w:t>Corporation common shareholders: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88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1.57</w:t>
            </w:r>
          </w:p>
        </w:tc>
        <w:tc>
          <w:tcPr>
            <w:tcW w:w="2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(1.31)</w:t>
            </w:r>
          </w:p>
        </w:tc>
        <w:tc>
          <w:tcPr>
            <w:tcW w:w="24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2.02</w:t>
            </w:r>
          </w:p>
        </w:tc>
        <w:tc>
          <w:tcPr>
            <w:tcW w:w="2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1.55</w:t>
            </w:r>
          </w:p>
        </w:tc>
        <w:tc>
          <w:tcPr>
            <w:tcW w:w="2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(1.31)</w:t>
            </w:r>
          </w:p>
        </w:tc>
        <w:tc>
          <w:tcPr>
            <w:tcW w:w="24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2.01</w:t>
            </w:r>
          </w:p>
        </w:tc>
        <w:tc>
          <w:tcPr>
            <w:tcW w:w="2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427"/>
        </w:trPr>
        <w:tc>
          <w:tcPr>
            <w:tcW w:w="3880" w:type="dxa"/>
            <w:vAlign w:val="bottom"/>
          </w:tcPr>
          <w:p>
            <w:pPr>
              <w:spacing w:after="0"/>
              <w:rPr>
                <w:sz w:val="20"/>
                <w:szCs w:val="20"/>
                <w:color w:val="auto"/>
              </w:rPr>
            </w:pPr>
            <w:r>
              <w:rPr>
                <w:rFonts w:ascii="Arial" w:cs="Arial" w:eastAsia="Arial" w:hAnsi="Arial"/>
                <w:sz w:val="14"/>
                <w:szCs w:val="14"/>
                <w:color w:val="auto"/>
              </w:rPr>
              <w:t>Weighted average number of common shares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88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2"/>
                <w:szCs w:val="22"/>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14,687</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13,835</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14,906</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14,002</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14,855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13,835</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15,013</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14,002</w:t>
            </w:r>
          </w:p>
        </w:tc>
        <w:tc>
          <w:tcPr>
            <w:tcW w:w="0" w:type="dxa"/>
            <w:vAlign w:val="bottom"/>
          </w:tcPr>
          <w:p>
            <w:pPr>
              <w:spacing w:after="0"/>
              <w:rPr>
                <w:sz w:val="1"/>
                <w:szCs w:val="1"/>
                <w:color w:val="auto"/>
              </w:rPr>
            </w:pPr>
          </w:p>
        </w:tc>
      </w:tr>
    </w:tbl>
    <w:p>
      <w:pPr>
        <w:sectPr>
          <w:pgSz w:w="11900" w:h="16838" w:orient="portrait"/>
          <w:cols w:equalWidth="0" w:num="1">
            <w:col w:w="9220"/>
          </w:cols>
          <w:pgMar w:left="1340" w:top="890" w:right="1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17"/>
        </w:trPr>
        <w:tc>
          <w:tcPr>
            <w:tcW w:w="3820" w:type="dxa"/>
            <w:vAlign w:val="bottom"/>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December 31, 2023</w:t>
            </w:r>
          </w:p>
        </w:tc>
        <w:tc>
          <w:tcPr>
            <w:tcW w:w="180" w:type="dxa"/>
            <w:vAlign w:val="bottom"/>
          </w:tcPr>
          <w:p>
            <w:pPr>
              <w:spacing w:after="0"/>
              <w:rPr>
                <w:sz w:val="18"/>
                <w:szCs w:val="18"/>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(UNAUDITED)</w:t>
            </w: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8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3,323</w:t>
            </w:r>
          </w:p>
        </w:tc>
        <w:tc>
          <w:tcPr>
            <w:tcW w:w="18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7,954</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143,222</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119,755</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6,982</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6,907</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5,873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8,653</w:t>
            </w:r>
          </w:p>
        </w:tc>
        <w:tc>
          <w:tcPr>
            <w:tcW w:w="0" w:type="dxa"/>
            <w:vAlign w:val="bottom"/>
          </w:tcPr>
          <w:p>
            <w:pPr>
              <w:spacing w:after="0"/>
              <w:rPr>
                <w:sz w:val="1"/>
                <w:szCs w:val="1"/>
                <w:color w:val="auto"/>
              </w:rPr>
            </w:pPr>
          </w:p>
        </w:tc>
      </w:tr>
      <w:tr>
        <w:trPr>
          <w:trHeight w:val="271"/>
        </w:trPr>
        <w:tc>
          <w:tcPr>
            <w:tcW w:w="38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15,846</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10,280</w:t>
            </w:r>
          </w:p>
        </w:tc>
        <w:tc>
          <w:tcPr>
            <w:tcW w:w="0" w:type="dxa"/>
            <w:vAlign w:val="bottom"/>
          </w:tcPr>
          <w:p>
            <w:pPr>
              <w:spacing w:after="0"/>
              <w:rPr>
                <w:sz w:val="1"/>
                <w:szCs w:val="1"/>
                <w:color w:val="auto"/>
              </w:rPr>
            </w:pPr>
          </w:p>
        </w:tc>
      </w:tr>
      <w:tr>
        <w:trPr>
          <w:trHeight w:val="249"/>
        </w:trPr>
        <w:tc>
          <w:tcPr>
            <w:tcW w:w="38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175,246</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153,549</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270,563</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301,890</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Goodwill,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7,690</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7,672</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77,999</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81,747</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12,286</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15,722</w:t>
            </w:r>
          </w:p>
        </w:tc>
        <w:tc>
          <w:tcPr>
            <w:tcW w:w="0" w:type="dxa"/>
            <w:vAlign w:val="bottom"/>
          </w:tcPr>
          <w:p>
            <w:pPr>
              <w:spacing w:after="0"/>
              <w:rPr>
                <w:sz w:val="1"/>
                <w:szCs w:val="1"/>
                <w:color w:val="auto"/>
              </w:rPr>
            </w:pPr>
          </w:p>
        </w:tc>
      </w:tr>
      <w:tr>
        <w:trPr>
          <w:trHeight w:val="271"/>
        </w:trPr>
        <w:tc>
          <w:tcPr>
            <w:tcW w:w="38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4,278</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5,604</w:t>
            </w:r>
          </w:p>
        </w:tc>
        <w:tc>
          <w:tcPr>
            <w:tcW w:w="0" w:type="dxa"/>
            <w:vAlign w:val="bottom"/>
          </w:tcPr>
          <w:p>
            <w:pPr>
              <w:spacing w:after="0"/>
              <w:rPr>
                <w:sz w:val="1"/>
                <w:szCs w:val="1"/>
                <w:color w:val="auto"/>
              </w:rPr>
            </w:pPr>
          </w:p>
        </w:tc>
      </w:tr>
      <w:tr>
        <w:trPr>
          <w:trHeight w:val="224"/>
        </w:trPr>
        <w:tc>
          <w:tcPr>
            <w:tcW w:w="38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548,062</w:t>
            </w:r>
          </w:p>
        </w:tc>
        <w:tc>
          <w:tcPr>
            <w:tcW w:w="18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566,184</w:t>
            </w:r>
          </w:p>
        </w:tc>
        <w:tc>
          <w:tcPr>
            <w:tcW w:w="0" w:type="dxa"/>
            <w:vAlign w:val="bottom"/>
          </w:tcPr>
          <w:p>
            <w:pPr>
              <w:spacing w:after="0"/>
              <w:rPr>
                <w:sz w:val="1"/>
                <w:szCs w:val="1"/>
                <w:color w:val="auto"/>
              </w:rPr>
            </w:pPr>
          </w:p>
        </w:tc>
      </w:tr>
      <w:tr>
        <w:trPr>
          <w:trHeight w:val="21"/>
        </w:trPr>
        <w:tc>
          <w:tcPr>
            <w:tcW w:w="38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5"/>
        </w:trPr>
        <w:tc>
          <w:tcPr>
            <w:tcW w:w="3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58,699</w:t>
            </w:r>
          </w:p>
        </w:tc>
        <w:tc>
          <w:tcPr>
            <w:tcW w:w="18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51,087</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40,523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39,211</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3,831</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28,448</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4,849</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71"/>
        </w:trPr>
        <w:tc>
          <w:tcPr>
            <w:tcW w:w="38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6,334</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8,342</w:t>
            </w:r>
          </w:p>
        </w:tc>
        <w:tc>
          <w:tcPr>
            <w:tcW w:w="0" w:type="dxa"/>
            <w:vAlign w:val="bottom"/>
          </w:tcPr>
          <w:p>
            <w:pPr>
              <w:spacing w:after="0"/>
              <w:rPr>
                <w:sz w:val="1"/>
                <w:szCs w:val="1"/>
                <w:color w:val="auto"/>
              </w:rPr>
            </w:pPr>
          </w:p>
        </w:tc>
      </w:tr>
      <w:tr>
        <w:trPr>
          <w:trHeight w:val="249"/>
        </w:trPr>
        <w:tc>
          <w:tcPr>
            <w:tcW w:w="38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114,236</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128,257</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65,554</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102,505</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11,803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4,778</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9,264</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12,771</w:t>
            </w:r>
          </w:p>
        </w:tc>
        <w:tc>
          <w:tcPr>
            <w:tcW w:w="0" w:type="dxa"/>
            <w:vAlign w:val="bottom"/>
          </w:tcPr>
          <w:p>
            <w:pPr>
              <w:spacing w:after="0"/>
              <w:rPr>
                <w:sz w:val="1"/>
                <w:szCs w:val="1"/>
                <w:color w:val="auto"/>
              </w:rPr>
            </w:pPr>
          </w:p>
        </w:tc>
      </w:tr>
      <w:tr>
        <w:trPr>
          <w:trHeight w:val="271"/>
        </w:trPr>
        <w:tc>
          <w:tcPr>
            <w:tcW w:w="38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24,167</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14,172</w:t>
            </w:r>
          </w:p>
        </w:tc>
        <w:tc>
          <w:tcPr>
            <w:tcW w:w="0" w:type="dxa"/>
            <w:vAlign w:val="bottom"/>
          </w:tcPr>
          <w:p>
            <w:pPr>
              <w:spacing w:after="0"/>
              <w:rPr>
                <w:sz w:val="1"/>
                <w:szCs w:val="1"/>
                <w:color w:val="auto"/>
              </w:rPr>
            </w:pPr>
          </w:p>
        </w:tc>
      </w:tr>
      <w:tr>
        <w:trPr>
          <w:trHeight w:val="249"/>
        </w:trPr>
        <w:tc>
          <w:tcPr>
            <w:tcW w:w="38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225,024</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262,483</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8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1,628,972</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1,624,512</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(919,023)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(930,123)</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(9,063)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271"/>
        </w:trPr>
        <w:tc>
          <w:tcPr>
            <w:tcW w:w="38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(380,715)</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(385,187)</w:t>
            </w:r>
          </w:p>
        </w:tc>
        <w:tc>
          <w:tcPr>
            <w:tcW w:w="0" w:type="dxa"/>
            <w:vAlign w:val="bottom"/>
          </w:tcPr>
          <w:p>
            <w:pPr>
              <w:spacing w:after="0"/>
              <w:rPr>
                <w:sz w:val="1"/>
                <w:szCs w:val="1"/>
                <w:color w:val="auto"/>
              </w:rPr>
            </w:pPr>
          </w:p>
        </w:tc>
      </w:tr>
      <w:tr>
        <w:trPr>
          <w:trHeight w:val="250"/>
        </w:trPr>
        <w:tc>
          <w:tcPr>
            <w:tcW w:w="38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320,171</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300,139</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2,867</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3,562</w:t>
            </w:r>
          </w:p>
        </w:tc>
        <w:tc>
          <w:tcPr>
            <w:tcW w:w="0" w:type="dxa"/>
            <w:vAlign w:val="bottom"/>
          </w:tcPr>
          <w:p>
            <w:pPr>
              <w:spacing w:after="0"/>
              <w:rPr>
                <w:sz w:val="1"/>
                <w:szCs w:val="1"/>
                <w:color w:val="auto"/>
              </w:rPr>
            </w:pPr>
          </w:p>
        </w:tc>
      </w:tr>
      <w:tr>
        <w:trPr>
          <w:trHeight w:val="250"/>
        </w:trPr>
        <w:tc>
          <w:tcPr>
            <w:tcW w:w="38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323,038</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303,701</w:t>
            </w:r>
          </w:p>
        </w:tc>
        <w:tc>
          <w:tcPr>
            <w:tcW w:w="0" w:type="dxa"/>
            <w:vAlign w:val="bottom"/>
          </w:tcPr>
          <w:p>
            <w:pPr>
              <w:spacing w:after="0"/>
              <w:rPr>
                <w:sz w:val="1"/>
                <w:szCs w:val="1"/>
                <w:color w:val="auto"/>
              </w:rPr>
            </w:pPr>
          </w:p>
        </w:tc>
      </w:tr>
      <w:tr>
        <w:trPr>
          <w:trHeight w:val="224"/>
        </w:trPr>
        <w:tc>
          <w:tcPr>
            <w:tcW w:w="38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548,062</w:t>
            </w:r>
          </w:p>
        </w:tc>
        <w:tc>
          <w:tcPr>
            <w:tcW w:w="18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566,184</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32" w:lineRule="exact"/>
        <w:rPr>
          <w:sz w:val="20"/>
          <w:szCs w:val="20"/>
          <w:color w:val="auto"/>
        </w:rPr>
      </w:pPr>
    </w:p>
    <w:p>
      <w:pPr>
        <w:jc w:val="center"/>
        <w:ind w:left="5920"/>
        <w:spacing w:after="0"/>
        <w:rPr>
          <w:sz w:val="20"/>
          <w:szCs w:val="20"/>
          <w:color w:val="auto"/>
        </w:rPr>
      </w:pPr>
      <w:r>
        <w:rPr>
          <w:rFonts w:ascii="Arial" w:cs="Arial" w:eastAsia="Arial" w:hAnsi="Arial"/>
          <w:sz w:val="16"/>
          <w:szCs w:val="16"/>
          <w:b w:val="1"/>
          <w:bCs w:val="1"/>
          <w:color w:val="auto"/>
        </w:rPr>
        <w:t>Twelve Months Ended</w:t>
      </w:r>
    </w:p>
    <w:p>
      <w:pPr>
        <w:jc w:val="center"/>
        <w:ind w:left="5920"/>
        <w:spacing w:after="0"/>
        <w:rPr>
          <w:sz w:val="20"/>
          <w:szCs w:val="20"/>
          <w:color w:val="auto"/>
        </w:rPr>
      </w:pPr>
      <w:r>
        <w:rPr>
          <w:rFonts w:ascii="Arial" w:cs="Arial" w:eastAsia="Arial" w:hAnsi="Arial"/>
          <w:sz w:val="16"/>
          <w:szCs w:val="16"/>
          <w:b w:val="1"/>
          <w:bCs w:val="1"/>
          <w:color w:val="auto"/>
        </w:rPr>
        <w:t>December 31,</w:t>
      </w: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5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396"/>
        </w:trPr>
        <w:tc>
          <w:tcPr>
            <w:tcW w:w="592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29,730</w:t>
            </w:r>
          </w:p>
        </w:tc>
        <w:tc>
          <w:tcPr>
            <w:tcW w:w="18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6,330</w:t>
            </w:r>
          </w:p>
        </w:tc>
      </w:tr>
      <w:tr>
        <w:trPr>
          <w:trHeight w:val="205"/>
        </w:trPr>
        <w:tc>
          <w:tcPr>
            <w:tcW w:w="592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5"/>
        </w:trPr>
        <w:tc>
          <w:tcPr>
            <w:tcW w:w="5920" w:type="dxa"/>
            <w:vAlign w:val="bottom"/>
          </w:tcPr>
          <w:p>
            <w:pPr>
              <w:spacing w:after="0"/>
              <w:rPr>
                <w:sz w:val="20"/>
                <w:szCs w:val="20"/>
                <w:color w:val="auto"/>
              </w:rPr>
            </w:pPr>
            <w:r>
              <w:rPr>
                <w:rFonts w:ascii="Arial" w:cs="Arial" w:eastAsia="Arial" w:hAnsi="Arial"/>
                <w:sz w:val="16"/>
                <w:szCs w:val="16"/>
                <w:color w:val="auto"/>
              </w:rPr>
              <w:t>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9"/>
        </w:trPr>
        <w:tc>
          <w:tcPr>
            <w:tcW w:w="59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75,142</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87,214</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1,395</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5,721</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Deferred income tax expense</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6,806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4,177</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4,460</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3,787</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Gain on disposals of assets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(21,196)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(4,917)</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Provision for loss on receivables, net of recoveries</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162</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1,660</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3,223</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9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(22,311)</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(14,447)</w:t>
            </w:r>
          </w:p>
        </w:tc>
      </w:tr>
      <w:tr>
        <w:trPr>
          <w:trHeight w:val="270"/>
        </w:trPr>
        <w:tc>
          <w:tcPr>
            <w:tcW w:w="59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(1,845)</w:t>
            </w:r>
          </w:p>
        </w:tc>
      </w:tr>
      <w:tr>
        <w:trPr>
          <w:trHeight w:val="270"/>
        </w:trPr>
        <w:tc>
          <w:tcPr>
            <w:tcW w:w="592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7,438</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12,323</w:t>
            </w:r>
          </w:p>
        </w:tc>
      </w:tr>
      <w:tr>
        <w:trPr>
          <w:trHeight w:val="270"/>
        </w:trPr>
        <w:tc>
          <w:tcPr>
            <w:tcW w:w="592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3,576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1"/>
        </w:trPr>
        <w:tc>
          <w:tcPr>
            <w:tcW w:w="5920" w:type="dxa"/>
            <w:vAlign w:val="bottom"/>
          </w:tcPr>
          <w:p>
            <w:pPr>
              <w:ind w:left="200"/>
              <w:spacing w:after="0"/>
              <w:rPr>
                <w:sz w:val="20"/>
                <w:szCs w:val="20"/>
                <w:color w:val="auto"/>
              </w:rPr>
            </w:pPr>
            <w:r>
              <w:rPr>
                <w:rFonts w:ascii="Arial" w:cs="Arial" w:eastAsia="Arial" w:hAnsi="Arial"/>
                <w:sz w:val="16"/>
                <w:szCs w:val="16"/>
                <w:color w:val="auto"/>
              </w:rPr>
              <w:t>Other current assets and liabilities, net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9,725</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(9,960)</w:t>
            </w:r>
          </w:p>
        </w:tc>
      </w:tr>
      <w:tr>
        <w:trPr>
          <w:trHeight w:val="249"/>
        </w:trPr>
        <w:tc>
          <w:tcPr>
            <w:tcW w:w="5920" w:type="dxa"/>
            <w:vAlign w:val="bottom"/>
          </w:tcPr>
          <w:p>
            <w:pPr>
              <w:ind w:left="320"/>
              <w:spacing w:after="0"/>
              <w:rPr>
                <w:sz w:val="20"/>
                <w:szCs w:val="20"/>
                <w:color w:val="auto"/>
              </w:rPr>
            </w:pPr>
            <w:r>
              <w:rPr>
                <w:rFonts w:ascii="Arial" w:cs="Arial" w:eastAsia="Arial" w:hAnsi="Arial"/>
                <w:sz w:val="16"/>
                <w:szCs w:val="16"/>
                <w:color w:val="auto"/>
              </w:rPr>
              <w:t>Net cash flows provided by operating activities</w:t>
            </w:r>
          </w:p>
        </w:tc>
        <w:tc>
          <w:tcPr>
            <w:tcW w:w="3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96,565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91,773</w:t>
            </w:r>
          </w:p>
        </w:tc>
      </w:tr>
      <w:tr>
        <w:trPr>
          <w:trHeight w:val="419"/>
        </w:trPr>
        <w:tc>
          <w:tcPr>
            <w:tcW w:w="59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(31,633)</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(25,421)</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16,740</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16,286</w:t>
            </w:r>
          </w:p>
        </w:tc>
      </w:tr>
      <w:tr>
        <w:trPr>
          <w:trHeight w:val="271"/>
        </w:trPr>
        <w:tc>
          <w:tcPr>
            <w:tcW w:w="59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w:t>
            </w:r>
          </w:p>
        </w:tc>
      </w:tr>
      <w:tr>
        <w:trPr>
          <w:trHeight w:val="249"/>
        </w:trPr>
        <w:tc>
          <w:tcPr>
            <w:tcW w:w="5920" w:type="dxa"/>
            <w:vAlign w:val="bottom"/>
          </w:tcPr>
          <w:p>
            <w:pPr>
              <w:ind w:left="320"/>
              <w:spacing w:after="0"/>
              <w:rPr>
                <w:sz w:val="20"/>
                <w:szCs w:val="20"/>
                <w:color w:val="auto"/>
              </w:rPr>
            </w:pPr>
            <w:r>
              <w:rPr>
                <w:rFonts w:ascii="Arial" w:cs="Arial" w:eastAsia="Arial" w:hAnsi="Arial"/>
                <w:sz w:val="16"/>
                <w:szCs w:val="16"/>
                <w:color w:val="auto"/>
              </w:rPr>
              <w:t>Net cash flows used in investing activities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(14,521)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(8,945)</w:t>
            </w:r>
          </w:p>
        </w:tc>
      </w:tr>
      <w:tr>
        <w:trPr>
          <w:trHeight w:val="419"/>
        </w:trPr>
        <w:tc>
          <w:tcPr>
            <w:tcW w:w="59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(29,899)</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(30,442)</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(37,846)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(3,374)</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(7,423)</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(11,634)</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(14,209)</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Repurchases of preferred shares</w:t>
            </w:r>
          </w:p>
        </w:tc>
        <w:tc>
          <w:tcPr>
            <w:tcW w:w="300" w:type="dxa"/>
            <w:vAlign w:val="bottom"/>
          </w:tcPr>
          <w:p>
            <w:pPr>
              <w:spacing w:after="0"/>
              <w:rPr>
                <w:sz w:val="23"/>
                <w:szCs w:val="23"/>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(30,553)</w:t>
            </w:r>
          </w:p>
        </w:tc>
      </w:tr>
      <w:tr>
        <w:trPr>
          <w:trHeight w:val="271"/>
        </w:trPr>
        <w:tc>
          <w:tcPr>
            <w:tcW w:w="59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23"/>
                <w:szCs w:val="23"/>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(1,078)</w:t>
            </w:r>
          </w:p>
        </w:tc>
      </w:tr>
      <w:tr>
        <w:trPr>
          <w:trHeight w:val="249"/>
        </w:trPr>
        <w:tc>
          <w:tcPr>
            <w:tcW w:w="5920" w:type="dxa"/>
            <w:vAlign w:val="bottom"/>
          </w:tcPr>
          <w:p>
            <w:pPr>
              <w:ind w:left="320"/>
              <w:spacing w:after="0"/>
              <w:rPr>
                <w:sz w:val="20"/>
                <w:szCs w:val="20"/>
                <w:color w:val="auto"/>
              </w:rPr>
            </w:pPr>
            <w:r>
              <w:rPr>
                <w:rFonts w:ascii="Arial" w:cs="Arial" w:eastAsia="Arial" w:hAnsi="Arial"/>
                <w:sz w:val="16"/>
                <w:szCs w:val="16"/>
                <w:color w:val="auto"/>
              </w:rPr>
              <w:t>Net cash flows used in financing activities</w:t>
            </w: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(86,802)</w:t>
            </w:r>
          </w:p>
        </w:tc>
        <w:tc>
          <w:tcPr>
            <w:tcW w:w="1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(79,656)</w:t>
            </w:r>
          </w:p>
        </w:tc>
      </w:tr>
      <w:tr>
        <w:trPr>
          <w:trHeight w:val="420"/>
        </w:trPr>
        <w:tc>
          <w:tcPr>
            <w:tcW w:w="592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r>
      <w:tr>
        <w:trPr>
          <w:trHeight w:val="249"/>
        </w:trPr>
        <w:tc>
          <w:tcPr>
            <w:tcW w:w="592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(4,631)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1,672</w:t>
            </w:r>
          </w:p>
        </w:tc>
      </w:tr>
      <w:tr>
        <w:trPr>
          <w:trHeight w:val="419"/>
        </w:trPr>
        <w:tc>
          <w:tcPr>
            <w:tcW w:w="592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7,954</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6,282</w:t>
            </w:r>
          </w:p>
        </w:tc>
      </w:tr>
      <w:tr>
        <w:trPr>
          <w:trHeight w:val="224"/>
        </w:trPr>
        <w:tc>
          <w:tcPr>
            <w:tcW w:w="592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3,323</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7,954</w:t>
            </w:r>
          </w:p>
        </w:tc>
      </w:tr>
      <w:tr>
        <w:trPr>
          <w:trHeight w:val="21"/>
        </w:trPr>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5"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58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48"/>
        </w:trPr>
        <w:tc>
          <w:tcPr>
            <w:tcW w:w="280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72,728</w:t>
            </w:r>
          </w:p>
        </w:tc>
        <w:tc>
          <w:tcPr>
            <w:tcW w:w="2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88,013</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352,795</w:t>
            </w:r>
          </w:p>
        </w:tc>
        <w:tc>
          <w:tcPr>
            <w:tcW w:w="20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395,997</w:t>
            </w: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89,345</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73,098</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336,763</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278,252</w:t>
            </w:r>
          </w:p>
        </w:tc>
        <w:tc>
          <w:tcPr>
            <w:tcW w:w="0" w:type="dxa"/>
            <w:vAlign w:val="bottom"/>
          </w:tcPr>
          <w:p>
            <w:pPr>
              <w:spacing w:after="0"/>
              <w:rPr>
                <w:sz w:val="1"/>
                <w:szCs w:val="1"/>
                <w:color w:val="auto"/>
              </w:rPr>
            </w:pPr>
          </w:p>
        </w:tc>
      </w:tr>
      <w:tr>
        <w:trPr>
          <w:trHeight w:val="271"/>
        </w:trPr>
        <w:tc>
          <w:tcPr>
            <w:tcW w:w="2800" w:type="dxa"/>
            <w:vAlign w:val="bottom"/>
          </w:tcPr>
          <w:p>
            <w:pPr>
              <w:ind w:left="220"/>
              <w:spacing w:after="0"/>
              <w:rPr>
                <w:sz w:val="20"/>
                <w:szCs w:val="20"/>
                <w:color w:val="auto"/>
              </w:rPr>
            </w:pPr>
            <w:r>
              <w:rPr>
                <w:rFonts w:ascii="Arial" w:cs="Arial" w:eastAsia="Arial" w:hAnsi="Arial"/>
                <w:sz w:val="16"/>
                <w:szCs w:val="16"/>
                <w:color w:val="auto"/>
              </w:rPr>
              <w:t>Other (2)</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8,726</w:t>
            </w:r>
          </w:p>
        </w:tc>
        <w:tc>
          <w:tcPr>
            <w:tcW w:w="2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1,082</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11,247</w:t>
            </w:r>
          </w:p>
        </w:tc>
        <w:tc>
          <w:tcPr>
            <w:tcW w:w="2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22,803</w:t>
            </w:r>
          </w:p>
        </w:tc>
        <w:tc>
          <w:tcPr>
            <w:tcW w:w="0" w:type="dxa"/>
            <w:vAlign w:val="bottom"/>
          </w:tcPr>
          <w:p>
            <w:pPr>
              <w:spacing w:after="0"/>
              <w:rPr>
                <w:sz w:val="1"/>
                <w:szCs w:val="1"/>
                <w:color w:val="auto"/>
              </w:rPr>
            </w:pPr>
          </w:p>
        </w:tc>
      </w:tr>
      <w:tr>
        <w:trPr>
          <w:trHeight w:val="224"/>
        </w:trPr>
        <w:tc>
          <w:tcPr>
            <w:tcW w:w="280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170,799</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162,193</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700,805</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697,052</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2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36,519</w:t>
            </w:r>
          </w:p>
        </w:tc>
        <w:tc>
          <w:tcPr>
            <w:tcW w:w="2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11,803</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86,502</w:t>
            </w:r>
          </w:p>
        </w:tc>
        <w:tc>
          <w:tcPr>
            <w:tcW w:w="20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83,248</w:t>
            </w: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21,469</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9,286</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74,069</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57,118</w:t>
            </w:r>
          </w:p>
        </w:tc>
        <w:tc>
          <w:tcPr>
            <w:tcW w:w="0" w:type="dxa"/>
            <w:vAlign w:val="bottom"/>
          </w:tcPr>
          <w:p>
            <w:pPr>
              <w:spacing w:after="0"/>
              <w:rPr>
                <w:sz w:val="1"/>
                <w:szCs w:val="1"/>
                <w:color w:val="auto"/>
              </w:rPr>
            </w:pPr>
          </w:p>
        </w:tc>
      </w:tr>
      <w:tr>
        <w:trPr>
          <w:trHeight w:val="164"/>
        </w:trPr>
        <w:tc>
          <w:tcPr>
            <w:tcW w:w="2800" w:type="dxa"/>
            <w:vAlign w:val="bottom"/>
          </w:tcPr>
          <w:p>
            <w:pPr>
              <w:ind w:left="220"/>
              <w:spacing w:after="0" w:line="164" w:lineRule="exact"/>
              <w:rPr>
                <w:sz w:val="20"/>
                <w:szCs w:val="20"/>
                <w:color w:val="auto"/>
              </w:rPr>
            </w:pPr>
            <w:r>
              <w:rPr>
                <w:rFonts w:ascii="Arial" w:cs="Arial" w:eastAsia="Arial" w:hAnsi="Arial"/>
                <w:sz w:val="16"/>
                <w:szCs w:val="16"/>
                <w:color w:val="auto"/>
              </w:rPr>
              <w:t>Corporate, other and</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(8,856)</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(11,707)</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(31,634)</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(33,318)</w:t>
            </w: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6"/>
                <w:szCs w:val="16"/>
                <w:color w:val="auto"/>
              </w:rPr>
              <w:t>eliminations (2)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49,132</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9,382</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128,937</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107,048</w:t>
            </w:r>
          </w:p>
        </w:tc>
        <w:tc>
          <w:tcPr>
            <w:tcW w:w="0" w:type="dxa"/>
            <w:vAlign w:val="bottom"/>
          </w:tcPr>
          <w:p>
            <w:pPr>
              <w:spacing w:after="0"/>
              <w:rPr>
                <w:sz w:val="1"/>
                <w:szCs w:val="1"/>
                <w:color w:val="auto"/>
              </w:rPr>
            </w:pPr>
          </w:p>
        </w:tc>
      </w:tr>
      <w:tr>
        <w:trPr>
          <w:trHeight w:val="21"/>
        </w:trPr>
        <w:tc>
          <w:tcPr>
            <w:tcW w:w="280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2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3,353</w:t>
            </w:r>
          </w:p>
        </w:tc>
        <w:tc>
          <w:tcPr>
            <w:tcW w:w="2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11,803</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58,204</w:t>
            </w:r>
          </w:p>
        </w:tc>
        <w:tc>
          <w:tcPr>
            <w:tcW w:w="20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83,248</w:t>
            </w: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21,469</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13,094</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74,069</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60,926</w:t>
            </w:r>
          </w:p>
        </w:tc>
        <w:tc>
          <w:tcPr>
            <w:tcW w:w="0" w:type="dxa"/>
            <w:vAlign w:val="bottom"/>
          </w:tcPr>
          <w:p>
            <w:pPr>
              <w:spacing w:after="0"/>
              <w:rPr>
                <w:sz w:val="1"/>
                <w:szCs w:val="1"/>
                <w:color w:val="auto"/>
              </w:rPr>
            </w:pPr>
          </w:p>
        </w:tc>
      </w:tr>
      <w:tr>
        <w:trPr>
          <w:trHeight w:val="164"/>
        </w:trPr>
        <w:tc>
          <w:tcPr>
            <w:tcW w:w="2800" w:type="dxa"/>
            <w:vAlign w:val="bottom"/>
          </w:tcPr>
          <w:p>
            <w:pPr>
              <w:ind w:left="220"/>
              <w:spacing w:after="0" w:line="164" w:lineRule="exact"/>
              <w:rPr>
                <w:sz w:val="20"/>
                <w:szCs w:val="20"/>
                <w:color w:val="auto"/>
              </w:rPr>
            </w:pPr>
            <w:r>
              <w:rPr>
                <w:rFonts w:ascii="Arial" w:cs="Arial" w:eastAsia="Arial" w:hAnsi="Arial"/>
                <w:sz w:val="16"/>
                <w:szCs w:val="16"/>
                <w:color w:val="auto"/>
              </w:rPr>
              <w:t>Corporate, other and</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(7,461)</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(9,794)</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(30,239)</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(31,405)</w:t>
            </w:r>
          </w:p>
        </w:tc>
        <w:tc>
          <w:tcPr>
            <w:tcW w:w="0" w:type="dxa"/>
            <w:vAlign w:val="bottom"/>
          </w:tcPr>
          <w:p>
            <w:pPr>
              <w:spacing w:after="0"/>
              <w:rPr>
                <w:sz w:val="1"/>
                <w:szCs w:val="1"/>
                <w:color w:val="auto"/>
              </w:rPr>
            </w:pPr>
          </w:p>
        </w:tc>
      </w:tr>
      <w:tr>
        <w:trPr>
          <w:trHeight w:val="215"/>
        </w:trPr>
        <w:tc>
          <w:tcPr>
            <w:tcW w:w="2800" w:type="dxa"/>
            <w:vAlign w:val="bottom"/>
          </w:tcPr>
          <w:p>
            <w:pPr>
              <w:ind w:left="220"/>
              <w:spacing w:after="0"/>
              <w:rPr>
                <w:sz w:val="20"/>
                <w:szCs w:val="20"/>
                <w:color w:val="auto"/>
              </w:rPr>
            </w:pPr>
            <w:r>
              <w:rPr>
                <w:rFonts w:ascii="Arial" w:cs="Arial" w:eastAsia="Arial" w:hAnsi="Arial"/>
                <w:sz w:val="16"/>
                <w:szCs w:val="16"/>
                <w:color w:val="auto"/>
              </w:rPr>
              <w:t>eliminations (2)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tcPr>
          <w:p>
            <w:pPr>
              <w:ind w:left="44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17,361</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15,103</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102,034</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112,769</w:t>
            </w:r>
          </w:p>
        </w:tc>
        <w:tc>
          <w:tcPr>
            <w:tcW w:w="0" w:type="dxa"/>
            <w:vAlign w:val="bottom"/>
          </w:tcPr>
          <w:p>
            <w:pPr>
              <w:spacing w:after="0"/>
              <w:rPr>
                <w:sz w:val="1"/>
                <w:szCs w:val="1"/>
                <w:color w:val="auto"/>
              </w:rPr>
            </w:pPr>
          </w:p>
        </w:tc>
      </w:tr>
      <w:tr>
        <w:trPr>
          <w:trHeight w:val="21"/>
        </w:trPr>
        <w:tc>
          <w:tcPr>
            <w:tcW w:w="280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2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15,569</w:t>
            </w:r>
          </w:p>
        </w:tc>
        <w:tc>
          <w:tcPr>
            <w:tcW w:w="2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(6,058)</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20,187</w:t>
            </w:r>
          </w:p>
        </w:tc>
        <w:tc>
          <w:tcPr>
            <w:tcW w:w="20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17,023</w:t>
            </w: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13,177</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(2,715)</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36,317</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14,731</w:t>
            </w:r>
          </w:p>
        </w:tc>
        <w:tc>
          <w:tcPr>
            <w:tcW w:w="0" w:type="dxa"/>
            <w:vAlign w:val="bottom"/>
          </w:tcPr>
          <w:p>
            <w:pPr>
              <w:spacing w:after="0"/>
              <w:rPr>
                <w:sz w:val="1"/>
                <w:szCs w:val="1"/>
                <w:color w:val="auto"/>
              </w:rPr>
            </w:pPr>
          </w:p>
        </w:tc>
      </w:tr>
      <w:tr>
        <w:trPr>
          <w:trHeight w:val="164"/>
        </w:trPr>
        <w:tc>
          <w:tcPr>
            <w:tcW w:w="2800" w:type="dxa"/>
            <w:vAlign w:val="bottom"/>
          </w:tcPr>
          <w:p>
            <w:pPr>
              <w:ind w:left="220"/>
              <w:spacing w:after="0" w:line="164" w:lineRule="exact"/>
              <w:rPr>
                <w:sz w:val="20"/>
                <w:szCs w:val="20"/>
                <w:color w:val="auto"/>
              </w:rPr>
            </w:pPr>
            <w:r>
              <w:rPr>
                <w:rFonts w:ascii="Arial" w:cs="Arial" w:eastAsia="Arial" w:hAnsi="Arial"/>
                <w:sz w:val="16"/>
                <w:szCs w:val="16"/>
                <w:color w:val="auto"/>
              </w:rPr>
              <w:t>Corporate, other and</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(6,698)</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(3,473)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(17,017)</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(14,736)</w:t>
            </w:r>
          </w:p>
        </w:tc>
        <w:tc>
          <w:tcPr>
            <w:tcW w:w="0" w:type="dxa"/>
            <w:vAlign w:val="bottom"/>
          </w:tcPr>
          <w:p>
            <w:pPr>
              <w:spacing w:after="0"/>
              <w:rPr>
                <w:sz w:val="1"/>
                <w:szCs w:val="1"/>
                <w:color w:val="auto"/>
              </w:rPr>
            </w:pPr>
          </w:p>
        </w:tc>
      </w:tr>
      <w:tr>
        <w:trPr>
          <w:trHeight w:val="215"/>
        </w:trPr>
        <w:tc>
          <w:tcPr>
            <w:tcW w:w="2800" w:type="dxa"/>
            <w:vAlign w:val="bottom"/>
          </w:tcPr>
          <w:p>
            <w:pPr>
              <w:ind w:left="220"/>
              <w:spacing w:after="0"/>
              <w:rPr>
                <w:sz w:val="20"/>
                <w:szCs w:val="20"/>
                <w:color w:val="auto"/>
              </w:rPr>
            </w:pPr>
            <w:r>
              <w:rPr>
                <w:rFonts w:ascii="Arial" w:cs="Arial" w:eastAsia="Arial" w:hAnsi="Arial"/>
                <w:sz w:val="16"/>
                <w:szCs w:val="16"/>
                <w:color w:val="auto"/>
              </w:rPr>
              <w:t>eliminations (2)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tcPr>
          <w:p>
            <w:pPr>
              <w:ind w:left="44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22,048</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(12,246)</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39,487</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17,018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400" w:hanging="245"/>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Please see Non-GAAP Reconciliation Schedule.</w:t>
      </w:r>
    </w:p>
    <w:p>
      <w:pPr>
        <w:spacing w:after="0" w:line="350" w:lineRule="exact"/>
        <w:rPr>
          <w:rFonts w:ascii="Arial" w:cs="Arial" w:eastAsia="Arial" w:hAnsi="Arial"/>
          <w:sz w:val="16"/>
          <w:szCs w:val="16"/>
          <w:color w:val="auto"/>
        </w:rPr>
      </w:pPr>
    </w:p>
    <w:p>
      <w:pPr>
        <w:ind w:left="400" w:hanging="245"/>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Prior to the first quarter of 2023, we presented the U.S. operating segment as a separate reportable segment. Our</w:t>
      </w:r>
    </w:p>
    <w:p>
      <w:pPr>
        <w:ind w:left="160" w:right="179"/>
        <w:spacing w:after="0" w:line="235" w:lineRule="auto"/>
        <w:rPr>
          <w:rFonts w:ascii="Arial" w:cs="Arial" w:eastAsia="Arial" w:hAnsi="Arial"/>
          <w:sz w:val="16"/>
          <w:szCs w:val="16"/>
          <w:color w:val="auto"/>
        </w:rPr>
      </w:pPr>
      <w:r>
        <w:rPr>
          <w:rFonts w:ascii="Arial" w:cs="Arial" w:eastAsia="Arial" w:hAnsi="Arial"/>
          <w:sz w:val="16"/>
          <w:szCs w:val="16"/>
          <w:color w:val="auto"/>
        </w:rPr>
        <w:t>operating segment in the U.S. no longer meets the reportable segment quantitative thresholds, and is included within the Other and Corporate, other and eliminations categories. Prior periods have been adjusted to conform to this presentation.</w:t>
      </w:r>
    </w:p>
    <w:p>
      <w:pPr>
        <w:sectPr>
          <w:pgSz w:w="11900" w:h="16838" w:orient="portrait"/>
          <w:cols w:equalWidth="0" w:num="1">
            <w:col w:w="9019"/>
          </w:cols>
          <w:pgMar w:left="1440" w:top="895" w:right="1440" w:bottom="1440" w:gutter="0" w:footer="0" w:header="0"/>
        </w:sectPr>
      </w:pPr>
    </w:p>
    <w:bookmarkStart w:id="11" w:name="page12"/>
    <w:bookmarkEnd w:id="11"/>
    <w:p>
      <w:pPr>
        <w:jc w:val="center"/>
        <w:ind w:right="-11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NON-GAAP RECONCILIATIONS</w:t>
      </w:r>
    </w:p>
    <w:p>
      <w:pPr>
        <w:spacing w:after="0" w:line="19"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(unaudited)</w:t>
      </w:r>
    </w:p>
    <w:p>
      <w:pPr>
        <w:spacing w:after="0" w:line="265" w:lineRule="exact"/>
        <w:rPr>
          <w:sz w:val="20"/>
          <w:szCs w:val="20"/>
          <w:color w:val="auto"/>
        </w:rPr>
      </w:pPr>
    </w:p>
    <w:tbl>
      <w:tblPr>
        <w:tblLayout w:type="fixed"/>
        <w:tblInd w:w="2332"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1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9"/>
                <w:szCs w:val="19"/>
                <w:color w:val="auto"/>
              </w:rPr>
            </w:pPr>
          </w:p>
        </w:tc>
        <w:tc>
          <w:tcPr>
            <w:tcW w:w="21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3"/>
        </w:trPr>
        <w:tc>
          <w:tcPr>
            <w:tcW w:w="1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518"/>
        </w:trPr>
        <w:tc>
          <w:tcPr>
            <w:tcW w:w="180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49,132</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9,382</w:t>
            </w:r>
          </w:p>
        </w:tc>
        <w:tc>
          <w:tcPr>
            <w:tcW w:w="18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128,937</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107,048</w:t>
            </w: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17,361</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15,103</w:t>
            </w:r>
          </w:p>
        </w:tc>
        <w:tc>
          <w:tcPr>
            <w:tcW w:w="18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102,034</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112,769</w:t>
            </w: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39,188</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25,757</w:t>
            </w:r>
          </w:p>
        </w:tc>
        <w:tc>
          <w:tcPr>
            <w:tcW w:w="18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81,672</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82,638</w:t>
            </w:r>
          </w:p>
        </w:tc>
        <w:tc>
          <w:tcPr>
            <w:tcW w:w="0" w:type="dxa"/>
            <w:vAlign w:val="bottom"/>
          </w:tcPr>
          <w:p>
            <w:pPr>
              <w:spacing w:after="0"/>
              <w:rPr>
                <w:sz w:val="1"/>
                <w:szCs w:val="1"/>
                <w:color w:val="auto"/>
              </w:rPr>
            </w:pPr>
          </w:p>
        </w:tc>
      </w:tr>
      <w:tr>
        <w:trPr>
          <w:trHeight w:val="164"/>
        </w:trPr>
        <w:tc>
          <w:tcPr>
            <w:tcW w:w="1800" w:type="dxa"/>
            <w:vAlign w:val="bottom"/>
          </w:tcPr>
          <w:p>
            <w:pPr>
              <w:spacing w:after="0" w:line="164" w:lineRule="exact"/>
              <w:rPr>
                <w:sz w:val="20"/>
                <w:szCs w:val="20"/>
                <w:color w:val="auto"/>
              </w:rPr>
            </w:pPr>
            <w:r>
              <w:rPr>
                <w:rFonts w:ascii="Arial" w:cs="Arial" w:eastAsia="Arial" w:hAnsi="Arial"/>
                <w:sz w:val="16"/>
                <w:szCs w:val="16"/>
                <w:color w:val="auto"/>
              </w:rPr>
              <w:t>Net Leverage Ratio</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540"/>
              <w:spacing w:after="0"/>
              <w:rPr>
                <w:sz w:val="20"/>
                <w:szCs w:val="20"/>
                <w:color w:val="auto"/>
              </w:rPr>
            </w:pPr>
            <w:r>
              <w:rPr>
                <w:rFonts w:ascii="Arial" w:cs="Arial" w:eastAsia="Arial" w:hAnsi="Arial"/>
                <w:sz w:val="16"/>
                <w:szCs w:val="16"/>
                <w:color w:val="auto"/>
              </w:rPr>
              <w:t>0.6x</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800" w:type="dxa"/>
            <w:vAlign w:val="bottom"/>
          </w:tcPr>
          <w:p>
            <w:pPr>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32" w:right="1900" w:hanging="332"/>
        <w:spacing w:after="0" w:line="257" w:lineRule="auto"/>
        <w:tabs>
          <w:tab w:leader="none" w:pos="3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Adjusted EBITDA is a non-GAAP financial measure that is 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332"/>
        <w:spacing w:after="0" w:line="304"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390" w:lineRule="exact"/>
        <w:rPr>
          <w:sz w:val="20"/>
          <w:szCs w:val="20"/>
          <w:color w:val="auto"/>
        </w:rPr>
      </w:pPr>
    </w:p>
    <w:tbl>
      <w:tblPr>
        <w:tblLayout w:type="fixed"/>
        <w:tblInd w:w="1772"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0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9"/>
                <w:szCs w:val="19"/>
                <w:color w:val="auto"/>
              </w:rPr>
            </w:pPr>
          </w:p>
        </w:tc>
        <w:tc>
          <w:tcPr>
            <w:tcW w:w="20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3"/>
        </w:trPr>
        <w:tc>
          <w:tcPr>
            <w:tcW w:w="30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453"/>
        </w:trPr>
        <w:tc>
          <w:tcPr>
            <w:tcW w:w="300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23,025</w:t>
            </w:r>
          </w:p>
        </w:tc>
        <w:tc>
          <w:tcPr>
            <w:tcW w:w="180" w:type="dxa"/>
            <w:vAlign w:val="bottom"/>
          </w:tcPr>
          <w:p>
            <w:pPr>
              <w:spacing w:after="0"/>
              <w:rPr>
                <w:sz w:val="24"/>
                <w:szCs w:val="2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(12,698)</w:t>
            </w:r>
          </w:p>
        </w:tc>
        <w:tc>
          <w:tcPr>
            <w:tcW w:w="160" w:type="dxa"/>
            <w:vAlign w:val="bottom"/>
          </w:tcPr>
          <w:p>
            <w:pPr>
              <w:spacing w:after="0"/>
              <w:rPr>
                <w:sz w:val="24"/>
                <w:szCs w:val="24"/>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30,157</w:t>
            </w:r>
          </w:p>
        </w:tc>
        <w:tc>
          <w:tcPr>
            <w:tcW w:w="180" w:type="dxa"/>
            <w:vAlign w:val="bottom"/>
          </w:tcPr>
          <w:p>
            <w:pPr>
              <w:spacing w:after="0"/>
              <w:rPr>
                <w:sz w:val="24"/>
                <w:szCs w:val="2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6"/>
                <w:szCs w:val="16"/>
                <w:color w:val="auto"/>
              </w:rPr>
              <w:t>Corporation</w:t>
            </w: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00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7,736</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(2,689)</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10,633</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4,402</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15,865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21,396</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75,142</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87,214</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71"/>
        </w:trPr>
        <w:tc>
          <w:tcPr>
            <w:tcW w:w="3000" w:type="dxa"/>
            <w:vAlign w:val="bottom"/>
          </w:tcPr>
          <w:p>
            <w:pPr>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3,397</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13,177</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11,474</w:t>
            </w:r>
          </w:p>
        </w:tc>
        <w:tc>
          <w:tcPr>
            <w:tcW w:w="0" w:type="dxa"/>
            <w:vAlign w:val="bottom"/>
          </w:tcPr>
          <w:p>
            <w:pPr>
              <w:spacing w:after="0"/>
              <w:rPr>
                <w:sz w:val="1"/>
                <w:szCs w:val="1"/>
                <w:color w:val="auto"/>
              </w:rPr>
            </w:pPr>
          </w:p>
        </w:tc>
      </w:tr>
      <w:tr>
        <w:trPr>
          <w:trHeight w:val="249"/>
        </w:trPr>
        <w:tc>
          <w:tcPr>
            <w:tcW w:w="3000" w:type="dxa"/>
            <w:vAlign w:val="bottom"/>
          </w:tcPr>
          <w:p>
            <w:pPr>
              <w:ind w:left="220"/>
              <w:spacing w:after="0"/>
              <w:rPr>
                <w:sz w:val="20"/>
                <w:szCs w:val="20"/>
                <w:color w:val="auto"/>
              </w:rPr>
            </w:pPr>
            <w:r>
              <w:rPr>
                <w:rFonts w:ascii="Arial" w:cs="Arial" w:eastAsia="Arial" w:hAnsi="Arial"/>
                <w:sz w:val="16"/>
                <w:szCs w:val="16"/>
                <w:color w:val="auto"/>
              </w:rPr>
              <w:t>EBITDA</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49,132</w:t>
            </w:r>
          </w:p>
        </w:tc>
        <w:tc>
          <w:tcPr>
            <w:tcW w:w="1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9,382</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128,937</w:t>
            </w:r>
          </w:p>
        </w:tc>
        <w:tc>
          <w:tcPr>
            <w:tcW w:w="1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107,048</w:t>
            </w:r>
          </w:p>
        </w:tc>
        <w:tc>
          <w:tcPr>
            <w:tcW w:w="0" w:type="dxa"/>
            <w:vAlign w:val="bottom"/>
          </w:tcPr>
          <w:p>
            <w:pPr>
              <w:spacing w:after="0"/>
              <w:rPr>
                <w:sz w:val="1"/>
                <w:szCs w:val="1"/>
                <w:color w:val="auto"/>
              </w:rPr>
            </w:pPr>
          </w:p>
        </w:tc>
      </w:tr>
      <w:tr>
        <w:trPr>
          <w:trHeight w:val="250"/>
        </w:trPr>
        <w:tc>
          <w:tcPr>
            <w:tcW w:w="3000" w:type="dxa"/>
            <w:vAlign w:val="bottom"/>
          </w:tcPr>
          <w:p>
            <w:pPr>
              <w:spacing w:after="0"/>
              <w:rPr>
                <w:sz w:val="20"/>
                <w:szCs w:val="20"/>
                <w:color w:val="auto"/>
              </w:rPr>
            </w:pPr>
            <w:r>
              <w:rPr>
                <w:rFonts w:ascii="Arial" w:cs="Arial" w:eastAsia="Arial" w:hAnsi="Arial"/>
                <w:sz w:val="16"/>
                <w:szCs w:val="16"/>
                <w:color w:val="auto"/>
              </w:rPr>
              <w:t>Adjustments to EBITDA</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20"/>
              <w:spacing w:after="0"/>
              <w:rPr>
                <w:sz w:val="20"/>
                <w:szCs w:val="20"/>
                <w:color w:val="auto"/>
              </w:rPr>
            </w:pPr>
            <w:r>
              <w:rPr>
                <w:rFonts w:ascii="Arial" w:cs="Arial" w:eastAsia="Arial" w:hAnsi="Arial"/>
                <w:sz w:val="16"/>
                <w:szCs w:val="16"/>
                <w:color w:val="auto"/>
              </w:rPr>
              <w:t>Impairment of long-lived assets (a)</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5,721</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5,721</w:t>
            </w:r>
          </w:p>
        </w:tc>
        <w:tc>
          <w:tcPr>
            <w:tcW w:w="0" w:type="dxa"/>
            <w:vAlign w:val="bottom"/>
          </w:tcPr>
          <w:p>
            <w:pPr>
              <w:spacing w:after="0"/>
              <w:rPr>
                <w:sz w:val="1"/>
                <w:szCs w:val="1"/>
                <w:color w:val="auto"/>
              </w:rPr>
            </w:pPr>
          </w:p>
        </w:tc>
      </w:tr>
      <w:tr>
        <w:trPr>
          <w:trHeight w:val="164"/>
        </w:trPr>
        <w:tc>
          <w:tcPr>
            <w:tcW w:w="3000" w:type="dxa"/>
            <w:vAlign w:val="bottom"/>
          </w:tcPr>
          <w:p>
            <w:pPr>
              <w:ind w:left="220"/>
              <w:spacing w:after="0" w:line="164" w:lineRule="exact"/>
              <w:rPr>
                <w:sz w:val="20"/>
                <w:szCs w:val="20"/>
                <w:color w:val="auto"/>
              </w:rPr>
            </w:pPr>
            <w:r>
              <w:rPr>
                <w:rFonts w:ascii="Arial" w:cs="Arial" w:eastAsia="Arial" w:hAnsi="Arial"/>
                <w:sz w:val="16"/>
                <w:szCs w:val="16"/>
                <w:color w:val="auto"/>
              </w:rPr>
              <w:t>Net gain on disposition of</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000" w:type="dxa"/>
            <w:vAlign w:val="bottom"/>
          </w:tcPr>
          <w:p>
            <w:pPr>
              <w:ind w:left="220"/>
              <w:spacing w:after="0"/>
              <w:rPr>
                <w:sz w:val="20"/>
                <w:szCs w:val="20"/>
                <w:color w:val="auto"/>
              </w:rPr>
            </w:pPr>
            <w:r>
              <w:rPr>
                <w:rFonts w:ascii="Arial" w:cs="Arial" w:eastAsia="Arial" w:hAnsi="Arial"/>
                <w:sz w:val="16"/>
                <w:szCs w:val="16"/>
                <w:color w:val="auto"/>
              </w:rPr>
              <w:t>McClelland Lake Lodge assets (b)</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(33,166)</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(28,298)</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000" w:type="dxa"/>
            <w:vAlign w:val="bottom"/>
          </w:tcPr>
          <w:p>
            <w:pPr>
              <w:ind w:left="44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17,361</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15,103</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102,034</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112,769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52" w:right="280" w:hanging="328"/>
        <w:spacing w:after="0" w:line="265" w:lineRule="auto"/>
        <w:tabs>
          <w:tab w:leader="none" w:pos="647"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asset impairments in the fourth quarter of 2023 and 2022. In the fourth quarter of 2023, we recorded a pre-tax loss related to the impairment of long-lived assets in the U.S. of $1.4 million. In the fourth quarter of 2022, we recorded a pre-tax loss related to the impairment of long-lived assets in our Australian segment of $3.8 million and a pre-tax loss related to the impairment of long-lived assets in the U.S. of $1.9 million.</w:t>
      </w:r>
    </w:p>
    <w:p>
      <w:pPr>
        <w:spacing w:after="0" w:line="199" w:lineRule="exact"/>
        <w:rPr>
          <w:rFonts w:ascii="Arial" w:cs="Arial" w:eastAsia="Arial" w:hAnsi="Arial"/>
          <w:sz w:val="16"/>
          <w:szCs w:val="16"/>
          <w:color w:val="auto"/>
        </w:rPr>
      </w:pPr>
    </w:p>
    <w:p>
      <w:pPr>
        <w:ind w:left="652" w:right="120" w:hanging="328"/>
        <w:spacing w:after="0" w:line="275" w:lineRule="auto"/>
        <w:tabs>
          <w:tab w:leader="none" w:pos="647"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proceeds received and expenses incurred associated with the dismantlement and sale of the McClelland Lake Lodge. In the fourth quarter of 2023, we recorded gains associated with the sale of the McClelland Lake Lodge of $33.2 million, which are included in Gain on sale of McClelland Lake Lodge assets, net ($23.5 million) and Other</w:t>
      </w:r>
    </w:p>
    <w:p>
      <w:pPr>
        <w:sectPr>
          <w:pgSz w:w="11900" w:h="16838" w:orient="portrait"/>
          <w:cols w:equalWidth="0" w:num="1">
            <w:col w:w="11112"/>
          </w:cols>
          <w:pgMar w:left="328" w:top="895" w:right="459" w:bottom="1440" w:gutter="0" w:footer="0" w:header="0"/>
        </w:sectPr>
      </w:pPr>
    </w:p>
    <w:bookmarkStart w:id="12" w:name="page13"/>
    <w:bookmarkEnd w:id="12"/>
    <w:p>
      <w:pPr>
        <w:ind w:left="652"/>
        <w:spacing w:after="0" w:line="275" w:lineRule="auto"/>
        <w:rPr>
          <w:sz w:val="20"/>
          <w:szCs w:val="20"/>
          <w:color w:val="auto"/>
        </w:rPr>
      </w:pPr>
      <w:r>
        <w:rPr>
          <w:rFonts w:ascii="Arial" w:cs="Arial" w:eastAsia="Arial" w:hAnsi="Arial"/>
          <w:sz w:val="16"/>
          <w:szCs w:val="16"/>
          <w:color w:val="auto"/>
        </w:rPr>
        <w:t>income ($9.7 million) on the unaudited statements of operations. In the third quarter of 2023, we recorded expenses associated with the sale of our McClelland Lake Lodge of $4.9 million, which are included in Gain on sale of McClelland Lake Lodge assets, net on the unaudited statements of operations.</w:t>
      </w:r>
    </w:p>
    <w:p>
      <w:pPr>
        <w:spacing w:after="0" w:line="191" w:lineRule="exact"/>
        <w:rPr>
          <w:sz w:val="20"/>
          <w:szCs w:val="20"/>
          <w:color w:val="auto"/>
        </w:rPr>
      </w:pPr>
    </w:p>
    <w:p>
      <w:pPr>
        <w:ind w:left="332" w:right="1960" w:hanging="332"/>
        <w:spacing w:after="0" w:line="258"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Free Cash Flow is a non-GAAP financial measure that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annual incentive compensation plan.</w:t>
      </w:r>
    </w:p>
    <w:p>
      <w:pPr>
        <w:spacing w:after="0" w:line="209" w:lineRule="exact"/>
        <w:rPr>
          <w:rFonts w:ascii="Arial" w:cs="Arial" w:eastAsia="Arial" w:hAnsi="Arial"/>
          <w:sz w:val="16"/>
          <w:szCs w:val="16"/>
          <w:color w:val="auto"/>
        </w:rPr>
      </w:pPr>
    </w:p>
    <w:p>
      <w:pPr>
        <w:ind w:left="332" w:right="68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56" w:lineRule="exact"/>
        <w:rPr>
          <w:sz w:val="20"/>
          <w:szCs w:val="20"/>
          <w:color w:val="auto"/>
        </w:rPr>
      </w:pPr>
    </w:p>
    <w:tbl>
      <w:tblPr>
        <w:tblLayout w:type="fixed"/>
        <w:tblInd w:w="1032"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60" w:type="dxa"/>
            <w:vAlign w:val="bottom"/>
            <w:gridSpan w:val="4"/>
          </w:tcPr>
          <w:p>
            <w:pPr>
              <w:ind w:left="120"/>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9"/>
                <w:szCs w:val="19"/>
                <w:color w:val="auto"/>
              </w:rPr>
            </w:pPr>
          </w:p>
        </w:tc>
        <w:tc>
          <w:tcPr>
            <w:tcW w:w="2160" w:type="dxa"/>
            <w:vAlign w:val="bottom"/>
            <w:gridSpan w:val="4"/>
          </w:tcPr>
          <w:p>
            <w:pPr>
              <w:ind w:left="4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518"/>
        </w:trPr>
        <w:tc>
          <w:tcPr>
            <w:tcW w:w="420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39,972</w:t>
            </w:r>
          </w:p>
        </w:tc>
        <w:tc>
          <w:tcPr>
            <w:tcW w:w="16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29,401</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center"/>
              <w:ind w:left="99"/>
              <w:spacing w:after="0"/>
              <w:rPr>
                <w:sz w:val="20"/>
                <w:szCs w:val="20"/>
                <w:color w:val="auto"/>
              </w:rPr>
            </w:pPr>
            <w:r>
              <w:rPr>
                <w:rFonts w:ascii="Arial" w:cs="Arial" w:eastAsia="Arial" w:hAnsi="Arial"/>
                <w:sz w:val="16"/>
                <w:szCs w:val="16"/>
                <w:color w:val="auto"/>
              </w:rPr>
              <w:t>96,565</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rPr>
              <w:t>91,773</w:t>
            </w:r>
          </w:p>
        </w:tc>
        <w:tc>
          <w:tcPr>
            <w:tcW w:w="0" w:type="dxa"/>
            <w:vAlign w:val="bottom"/>
          </w:tcPr>
          <w:p>
            <w:pPr>
              <w:spacing w:after="0"/>
              <w:rPr>
                <w:sz w:val="1"/>
                <w:szCs w:val="1"/>
                <w:color w:val="auto"/>
              </w:rPr>
            </w:pPr>
          </w:p>
        </w:tc>
      </w:tr>
      <w:tr>
        <w:trPr>
          <w:trHeight w:val="270"/>
        </w:trPr>
        <w:tc>
          <w:tcPr>
            <w:tcW w:w="420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(10,454)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(7,955)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center"/>
              <w:ind w:left="79"/>
              <w:spacing w:after="0"/>
              <w:rPr>
                <w:sz w:val="20"/>
                <w:szCs w:val="20"/>
                <w:color w:val="auto"/>
              </w:rPr>
            </w:pPr>
            <w:r>
              <w:rPr>
                <w:rFonts w:ascii="Arial" w:cs="Arial" w:eastAsia="Arial" w:hAnsi="Arial"/>
                <w:sz w:val="16"/>
                <w:szCs w:val="16"/>
                <w:color w:val="auto"/>
              </w:rPr>
              <w:t>(31,633)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center"/>
              <w:ind w:left="99"/>
              <w:spacing w:after="0"/>
              <w:rPr>
                <w:sz w:val="20"/>
                <w:szCs w:val="20"/>
                <w:color w:val="auto"/>
              </w:rPr>
            </w:pPr>
            <w:r>
              <w:rPr>
                <w:rFonts w:ascii="Arial" w:cs="Arial" w:eastAsia="Arial" w:hAnsi="Arial"/>
                <w:sz w:val="16"/>
                <w:szCs w:val="16"/>
                <w:color w:val="auto"/>
              </w:rPr>
              <w:t>(25,421)</w:t>
            </w:r>
          </w:p>
        </w:tc>
        <w:tc>
          <w:tcPr>
            <w:tcW w:w="0" w:type="dxa"/>
            <w:vAlign w:val="bottom"/>
          </w:tcPr>
          <w:p>
            <w:pPr>
              <w:spacing w:after="0"/>
              <w:rPr>
                <w:sz w:val="1"/>
                <w:szCs w:val="1"/>
                <w:color w:val="auto"/>
              </w:rPr>
            </w:pPr>
          </w:p>
        </w:tc>
      </w:tr>
      <w:tr>
        <w:trPr>
          <w:trHeight w:val="164"/>
        </w:trPr>
        <w:tc>
          <w:tcPr>
            <w:tcW w:w="4200" w:type="dxa"/>
            <w:vAlign w:val="bottom"/>
          </w:tcPr>
          <w:p>
            <w:pPr>
              <w:ind w:left="240"/>
              <w:spacing w:after="0" w:line="164" w:lineRule="exact"/>
              <w:rPr>
                <w:sz w:val="20"/>
                <w:szCs w:val="20"/>
                <w:color w:val="auto"/>
              </w:rPr>
            </w:pPr>
            <w:r>
              <w:rPr>
                <w:rFonts w:ascii="Arial" w:cs="Arial" w:eastAsia="Arial" w:hAnsi="Arial"/>
                <w:sz w:val="16"/>
                <w:szCs w:val="16"/>
                <w:color w:val="auto"/>
              </w:rPr>
              <w:t>Proceeds from disposition of property, plant and</w:t>
            </w:r>
          </w:p>
        </w:tc>
        <w:tc>
          <w:tcPr>
            <w:tcW w:w="24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9,670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4,311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center"/>
              <w:ind w:left="99"/>
              <w:spacing w:after="0"/>
              <w:rPr>
                <w:sz w:val="20"/>
                <w:szCs w:val="20"/>
                <w:color w:val="auto"/>
              </w:rPr>
            </w:pPr>
            <w:r>
              <w:rPr>
                <w:rFonts w:ascii="Arial" w:cs="Arial" w:eastAsia="Arial" w:hAnsi="Arial"/>
                <w:sz w:val="16"/>
                <w:szCs w:val="16"/>
                <w:color w:val="auto"/>
              </w:rPr>
              <w:t>16,740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center"/>
              <w:ind w:left="119"/>
              <w:spacing w:after="0"/>
              <w:rPr>
                <w:sz w:val="20"/>
                <w:szCs w:val="20"/>
                <w:color w:val="auto"/>
              </w:rPr>
            </w:pPr>
            <w:r>
              <w:rPr>
                <w:rFonts w:ascii="Arial" w:cs="Arial" w:eastAsia="Arial" w:hAnsi="Arial"/>
                <w:sz w:val="16"/>
                <w:szCs w:val="16"/>
                <w:color w:val="auto"/>
              </w:rPr>
              <w:t>16,286</w:t>
            </w: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equipment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0" w:type="dxa"/>
            <w:vAlign w:val="bottom"/>
          </w:tcPr>
          <w:p>
            <w:pPr>
              <w:ind w:left="24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39,188</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25,757</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rPr>
              <w:t>81,672</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82,638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332" w:right="1920" w:hanging="332"/>
        <w:spacing w:after="0" w:line="258" w:lineRule="auto"/>
        <w:tabs>
          <w:tab w:leader="none" w:pos="32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ectPr>
          <w:pgSz w:w="11900" w:h="16838" w:orient="portrait"/>
          <w:cols w:equalWidth="0" w:num="1">
            <w:col w:w="11152"/>
          </w:cols>
          <w:pgMar w:left="328" w:top="895" w:right="419" w:bottom="1440" w:gutter="0" w:footer="0" w:header="0"/>
        </w:sectPr>
      </w:pPr>
    </w:p>
    <w:bookmarkStart w:id="13" w:name="page14"/>
    <w:bookmarkEnd w:id="13"/>
    <w:p>
      <w:pPr>
        <w:spacing w:after="0" w:line="286" w:lineRule="auto"/>
        <w:rPr>
          <w:sz w:val="20"/>
          <w:szCs w:val="20"/>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auto"/>
              </w:rPr>
              <w:t>As of December</w:t>
            </w:r>
          </w:p>
        </w:tc>
      </w:tr>
      <w:tr>
        <w:trPr>
          <w:trHeight w:val="215"/>
        </w:trPr>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579"/>
              <w:spacing w:after="0"/>
              <w:rPr>
                <w:sz w:val="20"/>
                <w:szCs w:val="20"/>
                <w:color w:val="auto"/>
              </w:rPr>
            </w:pPr>
            <w:r>
              <w:rPr>
                <w:rFonts w:ascii="Arial" w:cs="Arial" w:eastAsia="Arial" w:hAnsi="Arial"/>
                <w:sz w:val="16"/>
                <w:szCs w:val="16"/>
                <w:b w:val="1"/>
                <w:bCs w:val="1"/>
                <w:color w:val="auto"/>
              </w:rPr>
              <w:t>31,</w:t>
            </w:r>
          </w:p>
        </w:tc>
      </w:tr>
      <w:tr>
        <w:trPr>
          <w:trHeight w:val="217"/>
        </w:trPr>
        <w:tc>
          <w:tcPr>
            <w:tcW w:w="6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464"/>
        </w:trPr>
        <w:tc>
          <w:tcPr>
            <w:tcW w:w="6260" w:type="dxa"/>
            <w:vAlign w:val="bottom"/>
          </w:tcPr>
          <w:p>
            <w:pPr>
              <w:spacing w:after="0"/>
              <w:rPr>
                <w:sz w:val="20"/>
                <w:szCs w:val="20"/>
                <w:color w:val="auto"/>
              </w:rPr>
            </w:pPr>
            <w:r>
              <w:rPr>
                <w:rFonts w:ascii="Arial" w:cs="Arial" w:eastAsia="Arial" w:hAnsi="Arial"/>
                <w:sz w:val="16"/>
                <w:szCs w:val="16"/>
                <w:color w:val="auto"/>
              </w:rPr>
              <w:t>Total debt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65,554</w:t>
            </w:r>
          </w:p>
        </w:tc>
      </w:tr>
      <w:tr>
        <w:trPr>
          <w:trHeight w:val="217"/>
        </w:trPr>
        <w:tc>
          <w:tcPr>
            <w:tcW w:w="626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3,323</w:t>
            </w:r>
          </w:p>
        </w:tc>
      </w:tr>
      <w:tr>
        <w:trPr>
          <w:trHeight w:val="211"/>
        </w:trPr>
        <w:tc>
          <w:tcPr>
            <w:tcW w:w="6260" w:type="dxa"/>
            <w:vAlign w:val="bottom"/>
          </w:tcPr>
          <w:p>
            <w:pPr>
              <w:ind w:left="100"/>
              <w:spacing w:after="0"/>
              <w:rPr>
                <w:sz w:val="20"/>
                <w:szCs w:val="20"/>
                <w:color w:val="auto"/>
              </w:rPr>
            </w:pPr>
            <w:r>
              <w:rPr>
                <w:rFonts w:ascii="Arial" w:cs="Arial" w:eastAsia="Arial" w:hAnsi="Arial"/>
                <w:sz w:val="16"/>
                <w:szCs w:val="16"/>
                <w:color w:val="auto"/>
              </w:rPr>
              <w:t>Net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62,231</w:t>
            </w:r>
          </w:p>
        </w:tc>
      </w:tr>
      <w:tr>
        <w:trPr>
          <w:trHeight w:val="21"/>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50"/>
        </w:trPr>
        <w:tc>
          <w:tcPr>
            <w:tcW w:w="6260" w:type="dxa"/>
            <w:vAlign w:val="bottom"/>
          </w:tcPr>
          <w:p>
            <w:pPr>
              <w:spacing w:after="0"/>
              <w:rPr>
                <w:sz w:val="20"/>
                <w:szCs w:val="20"/>
                <w:color w:val="auto"/>
              </w:rPr>
            </w:pPr>
            <w:r>
              <w:rPr>
                <w:rFonts w:ascii="Arial" w:cs="Arial" w:eastAsia="Arial" w:hAnsi="Arial"/>
                <w:sz w:val="16"/>
                <w:szCs w:val="16"/>
                <w:color w:val="auto"/>
              </w:rPr>
              <w:t>Adjusted EBITDA for the twelve months ended December 31, 2023 (a)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102,034</w:t>
            </w:r>
          </w:p>
        </w:tc>
      </w:tr>
      <w:tr>
        <w:trPr>
          <w:trHeight w:val="216"/>
        </w:trPr>
        <w:tc>
          <w:tcPr>
            <w:tcW w:w="626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4,460</w:t>
            </w: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7"/>
        </w:trPr>
        <w:tc>
          <w:tcPr>
            <w:tcW w:w="6260" w:type="dxa"/>
            <w:vAlign w:val="bottom"/>
          </w:tcPr>
          <w:p>
            <w:pPr>
              <w:ind w:left="100"/>
              <w:spacing w:after="0"/>
              <w:rPr>
                <w:sz w:val="20"/>
                <w:szCs w:val="20"/>
                <w:color w:val="auto"/>
              </w:rPr>
            </w:pPr>
            <w:r>
              <w:rPr>
                <w:rFonts w:ascii="Arial" w:cs="Arial" w:eastAsia="Arial" w:hAnsi="Arial"/>
                <w:sz w:val="16"/>
                <w:szCs w:val="16"/>
                <w:color w:val="auto"/>
              </w:rPr>
              <w:t>Incremental adjustments for McClelland Lake Lodge disposition (b)</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w:t>
            </w:r>
          </w:p>
        </w:tc>
      </w:tr>
      <w:tr>
        <w:trPr>
          <w:trHeight w:val="211"/>
        </w:trPr>
        <w:tc>
          <w:tcPr>
            <w:tcW w:w="6260" w:type="dxa"/>
            <w:vAlign w:val="bottom"/>
          </w:tcPr>
          <w:p>
            <w:pPr>
              <w:ind w:left="200"/>
              <w:spacing w:after="0"/>
              <w:rPr>
                <w:sz w:val="20"/>
                <w:szCs w:val="20"/>
                <w:color w:val="auto"/>
              </w:rPr>
            </w:pPr>
            <w:r>
              <w:rPr>
                <w:rFonts w:ascii="Arial" w:cs="Arial" w:eastAsia="Arial" w:hAnsi="Arial"/>
                <w:sz w:val="16"/>
                <w:szCs w:val="16"/>
                <w:color w:val="auto"/>
              </w:rPr>
              <w:t>Bank-adjusted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109,996</w:t>
            </w: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50"/>
        </w:trPr>
        <w:tc>
          <w:tcPr>
            <w:tcW w:w="6260" w:type="dxa"/>
            <w:vAlign w:val="bottom"/>
          </w:tcPr>
          <w:p>
            <w:pPr>
              <w:ind w:left="100"/>
              <w:spacing w:after="0"/>
              <w:rPr>
                <w:sz w:val="20"/>
                <w:szCs w:val="20"/>
                <w:color w:val="auto"/>
              </w:rPr>
            </w:pPr>
            <w:r>
              <w:rPr>
                <w:rFonts w:ascii="Arial" w:cs="Arial" w:eastAsia="Arial" w:hAnsi="Arial"/>
                <w:sz w:val="16"/>
                <w:szCs w:val="16"/>
                <w:color w:val="auto"/>
              </w:rPr>
              <w:t>Net leverage ratio (c)</w:t>
            </w: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0.6x</w:t>
            </w:r>
          </w:p>
        </w:tc>
      </w:tr>
    </w:tbl>
    <w:p>
      <w:pPr>
        <w:spacing w:after="0" w:line="200" w:lineRule="exact"/>
        <w:rPr>
          <w:sz w:val="20"/>
          <w:szCs w:val="20"/>
          <w:color w:val="auto"/>
        </w:rPr>
      </w:pPr>
    </w:p>
    <w:p>
      <w:pPr>
        <w:spacing w:after="0" w:line="220" w:lineRule="exact"/>
        <w:rPr>
          <w:sz w:val="20"/>
          <w:szCs w:val="20"/>
          <w:color w:val="auto"/>
        </w:rPr>
      </w:pPr>
    </w:p>
    <w:p>
      <w:pPr>
        <w:ind w:left="20" w:right="3140" w:hanging="10"/>
        <w:spacing w:after="0" w:line="246" w:lineRule="auto"/>
        <w:tabs>
          <w:tab w:leader="none" w:pos="247"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footnote 1 above for reconciliation of Adjusted EBITDA to net income (loss) attributable to Civeo Corporation.</w:t>
      </w:r>
    </w:p>
    <w:p>
      <w:pPr>
        <w:ind w:left="20" w:right="3100" w:hanging="10"/>
        <w:spacing w:after="0" w:line="246" w:lineRule="auto"/>
        <w:tabs>
          <w:tab w:leader="none" w:pos="26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Related to incremental adjustments associated with the sale of the McClelland Lake Lodge assets as required by our credit facility.</w:t>
      </w:r>
    </w:p>
    <w:p>
      <w:pPr>
        <w:ind w:left="240" w:hanging="230"/>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ectPr>
          <w:pgSz w:w="11900" w:h="16838" w:orient="portrait"/>
          <w:cols w:equalWidth="0" w:num="1">
            <w:col w:w="10580"/>
          </w:cols>
          <w:pgMar w:left="660" w:top="895" w:right="659" w:bottom="1440" w:gutter="0" w:footer="0" w:header="0"/>
        </w:sectPr>
      </w:pPr>
    </w:p>
    <w:bookmarkStart w:id="14" w:name="page15"/>
    <w:bookmarkEnd w:id="14"/>
    <w:p>
      <w:pPr>
        <w:jc w:val="center"/>
        <w:ind w:right="192"/>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2"/>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4828"/>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4848"/>
        <w:spacing w:after="0"/>
        <w:rPr>
          <w:sz w:val="20"/>
          <w:szCs w:val="20"/>
          <w:color w:val="auto"/>
        </w:rPr>
      </w:pPr>
      <w:r>
        <w:rPr>
          <w:rFonts w:ascii="Arial" w:cs="Arial" w:eastAsia="Arial" w:hAnsi="Arial"/>
          <w:sz w:val="16"/>
          <w:szCs w:val="16"/>
          <w:b w:val="1"/>
          <w:bCs w:val="1"/>
          <w:color w:val="auto"/>
        </w:rPr>
        <w:t>(unaudited)</w:t>
      </w:r>
    </w:p>
    <w:p>
      <w:pPr>
        <w:spacing w:after="0" w:line="361" w:lineRule="exact"/>
        <w:rPr>
          <w:sz w:val="20"/>
          <w:szCs w:val="20"/>
          <w:color w:val="auto"/>
        </w:rPr>
      </w:pPr>
    </w:p>
    <w:p>
      <w:pPr>
        <w:ind w:left="6028"/>
        <w:spacing w:after="0"/>
        <w:rPr>
          <w:sz w:val="20"/>
          <w:szCs w:val="20"/>
          <w:color w:val="auto"/>
        </w:rPr>
      </w:pPr>
      <w:r>
        <w:rPr>
          <w:rFonts w:ascii="Arial" w:cs="Arial" w:eastAsia="Arial" w:hAnsi="Arial"/>
          <w:sz w:val="16"/>
          <w:szCs w:val="16"/>
          <w:b w:val="1"/>
          <w:bCs w:val="1"/>
          <w:color w:val="auto"/>
        </w:rPr>
        <w:t>Year Ending</w:t>
      </w:r>
    </w:p>
    <w:p>
      <w:pPr>
        <w:ind w:left="5788"/>
        <w:spacing w:after="0"/>
        <w:rPr>
          <w:sz w:val="20"/>
          <w:szCs w:val="20"/>
          <w:color w:val="auto"/>
        </w:rPr>
      </w:pPr>
      <w:r>
        <w:rPr>
          <w:rFonts w:ascii="Arial" w:cs="Arial" w:eastAsia="Arial" w:hAnsi="Arial"/>
          <w:sz w:val="16"/>
          <w:szCs w:val="16"/>
          <w:b w:val="1"/>
          <w:bCs w:val="1"/>
          <w:color w:val="auto"/>
        </w:rPr>
        <w:t>December 31, 2024</w:t>
      </w:r>
    </w:p>
    <w:p>
      <w:pPr>
        <w:spacing w:after="0" w:line="151" w:lineRule="exact"/>
        <w:rPr>
          <w:sz w:val="20"/>
          <w:szCs w:val="20"/>
          <w:color w:val="auto"/>
        </w:rPr>
      </w:pPr>
    </w:p>
    <w:tbl>
      <w:tblPr>
        <w:tblLayout w:type="fixed"/>
        <w:tblInd w:w="2908" w:type="dxa"/>
        <w:tblCellMar>
          <w:top w:w="0" w:type="dxa"/>
          <w:left w:w="0" w:type="dxa"/>
          <w:bottom w:w="0" w:type="dxa"/>
          <w:right w:w="0" w:type="dxa"/>
        </w:tblCellMar>
      </w:tblPr>
      <w:tr>
        <w:trPr>
          <w:trHeight w:val="215"/>
        </w:trPr>
        <w:tc>
          <w:tcPr>
            <w:tcW w:w="2240" w:type="dxa"/>
            <w:vAlign w:val="bottom"/>
          </w:tcPr>
          <w:p>
            <w:pPr>
              <w:spacing w:after="0"/>
              <w:rPr>
                <w:sz w:val="20"/>
                <w:szCs w:val="20"/>
                <w:color w:val="auto"/>
              </w:rPr>
            </w:pPr>
            <w:r>
              <w:rPr>
                <w:rFonts w:ascii="Arial" w:cs="Arial" w:eastAsia="Arial" w:hAnsi="Arial"/>
                <w:sz w:val="16"/>
                <w:szCs w:val="16"/>
                <w:color w:val="auto"/>
              </w:rPr>
              <w:t>EBITDA Range (1)</w:t>
            </w:r>
          </w:p>
        </w:tc>
        <w:tc>
          <w:tcPr>
            <w:tcW w:w="5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86.0</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96.0</w:t>
            </w:r>
          </w:p>
        </w:tc>
      </w:tr>
      <w:tr>
        <w:trPr>
          <w:trHeight w:val="270"/>
        </w:trPr>
        <w:tc>
          <w:tcPr>
            <w:tcW w:w="224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5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80.0</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90.0</w:t>
            </w:r>
          </w:p>
        </w:tc>
      </w:tr>
    </w:tbl>
    <w:p>
      <w:pPr>
        <w:spacing w:after="0" w:line="312" w:lineRule="exact"/>
        <w:rPr>
          <w:sz w:val="20"/>
          <w:szCs w:val="20"/>
          <w:color w:val="auto"/>
        </w:rPr>
      </w:pPr>
    </w:p>
    <w:p>
      <w:pPr>
        <w:ind w:left="328" w:hanging="328"/>
        <w:spacing w:after="0" w:line="304" w:lineRule="auto"/>
        <w:tabs>
          <w:tab w:leader="none" w:pos="3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and Adjusted EBITDA to estimated net income (loss), which is the most directly comparable measure of financial performance calculated under generally accepted accounting principles (in millions) (unaudited):</w:t>
      </w:r>
    </w:p>
    <w:p>
      <w:pPr>
        <w:spacing w:after="0" w:line="284" w:lineRule="exact"/>
        <w:rPr>
          <w:sz w:val="20"/>
          <w:szCs w:val="20"/>
          <w:color w:val="auto"/>
        </w:rPr>
      </w:pPr>
    </w:p>
    <w:p>
      <w:pPr>
        <w:ind w:left="6088"/>
        <w:spacing w:after="0"/>
        <w:rPr>
          <w:sz w:val="20"/>
          <w:szCs w:val="20"/>
          <w:color w:val="auto"/>
        </w:rPr>
      </w:pPr>
      <w:r>
        <w:rPr>
          <w:rFonts w:ascii="Arial" w:cs="Arial" w:eastAsia="Arial" w:hAnsi="Arial"/>
          <w:sz w:val="16"/>
          <w:szCs w:val="16"/>
          <w:b w:val="1"/>
          <w:bCs w:val="1"/>
          <w:color w:val="auto"/>
        </w:rPr>
        <w:t>Year Ending</w:t>
      </w:r>
    </w:p>
    <w:p>
      <w:pPr>
        <w:ind w:left="5868"/>
        <w:spacing w:after="0"/>
        <w:rPr>
          <w:sz w:val="20"/>
          <w:szCs w:val="20"/>
          <w:color w:val="auto"/>
        </w:rPr>
      </w:pPr>
      <w:r>
        <w:rPr>
          <w:rFonts w:ascii="Arial" w:cs="Arial" w:eastAsia="Arial" w:hAnsi="Arial"/>
          <w:sz w:val="16"/>
          <w:szCs w:val="16"/>
          <w:b w:val="1"/>
          <w:bCs w:val="1"/>
          <w:color w:val="auto"/>
        </w:rPr>
        <w:t>December 31, 2024</w:t>
      </w:r>
    </w:p>
    <w:p>
      <w:pPr>
        <w:spacing w:after="0" w:line="151" w:lineRule="exact"/>
        <w:rPr>
          <w:sz w:val="20"/>
          <w:szCs w:val="20"/>
          <w:color w:val="auto"/>
        </w:rPr>
      </w:pPr>
    </w:p>
    <w:p>
      <w:pPr>
        <w:ind w:left="6148"/>
        <w:spacing w:after="0"/>
        <w:rPr>
          <w:sz w:val="20"/>
          <w:szCs w:val="20"/>
          <w:color w:val="auto"/>
        </w:rPr>
      </w:pPr>
      <w:r>
        <w:rPr>
          <w:rFonts w:ascii="Arial" w:cs="Arial" w:eastAsia="Arial" w:hAnsi="Arial"/>
          <w:sz w:val="16"/>
          <w:szCs w:val="16"/>
          <w:b w:val="1"/>
          <w:bCs w:val="1"/>
          <w:color w:val="auto"/>
        </w:rPr>
        <w:t>(estimated)</w:t>
      </w:r>
    </w:p>
    <w:p>
      <w:pPr>
        <w:spacing w:after="0" w:line="356" w:lineRule="exact"/>
        <w:rPr>
          <w:sz w:val="20"/>
          <w:szCs w:val="20"/>
          <w:color w:val="auto"/>
        </w:rPr>
      </w:pPr>
    </w:p>
    <w:tbl>
      <w:tblPr>
        <w:tblLayout w:type="fixed"/>
        <w:tblInd w:w="2648" w:type="dxa"/>
        <w:tblCellMar>
          <w:top w:w="0" w:type="dxa"/>
          <w:left w:w="0" w:type="dxa"/>
          <w:bottom w:w="0" w:type="dxa"/>
          <w:right w:w="0" w:type="dxa"/>
        </w:tblCellMar>
      </w:tblPr>
      <w:tr>
        <w:trPr>
          <w:trHeight w:val="215"/>
        </w:trPr>
        <w:tc>
          <w:tcPr>
            <w:tcW w:w="2580" w:type="dxa"/>
            <w:vAlign w:val="bottom"/>
          </w:tcPr>
          <w:p>
            <w:pPr>
              <w:spacing w:after="0"/>
              <w:rPr>
                <w:sz w:val="20"/>
                <w:szCs w:val="20"/>
                <w:color w:val="auto"/>
              </w:rPr>
            </w:pPr>
            <w:r>
              <w:rPr>
                <w:rFonts w:ascii="Arial" w:cs="Arial" w:eastAsia="Arial" w:hAnsi="Arial"/>
                <w:sz w:val="16"/>
                <w:szCs w:val="16"/>
                <w:color w:val="auto"/>
              </w:rPr>
              <w:t>Net income (loss)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6"/>
                <w:szCs w:val="16"/>
                <w:color w:val="auto"/>
              </w:rPr>
              <w:t>Income tax provision</w:t>
            </w:r>
          </w:p>
        </w:tc>
        <w:tc>
          <w:tcPr>
            <w:tcW w:w="5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w:t>
            </w: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5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72.0</w:t>
            </w: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71"/>
        </w:trPr>
        <w:tc>
          <w:tcPr>
            <w:tcW w:w="2580" w:type="dxa"/>
            <w:vAlign w:val="bottom"/>
          </w:tcPr>
          <w:p>
            <w:pPr>
              <w:spacing w:after="0"/>
              <w:rPr>
                <w:sz w:val="20"/>
                <w:szCs w:val="20"/>
                <w:color w:val="auto"/>
              </w:rPr>
            </w:pPr>
            <w:r>
              <w:rPr>
                <w:rFonts w:ascii="Arial" w:cs="Arial" w:eastAsia="Arial" w:hAnsi="Arial"/>
                <w:sz w:val="16"/>
                <w:szCs w:val="16"/>
                <w:color w:val="auto"/>
              </w:rPr>
              <w:t>Interest expense</w:t>
            </w:r>
          </w:p>
        </w:tc>
        <w:tc>
          <w:tcPr>
            <w:tcW w:w="5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24"/>
        </w:trPr>
        <w:tc>
          <w:tcPr>
            <w:tcW w:w="2580" w:type="dxa"/>
            <w:vAlign w:val="bottom"/>
          </w:tcPr>
          <w:p>
            <w:pPr>
              <w:ind w:left="220"/>
              <w:spacing w:after="0"/>
              <w:rPr>
                <w:sz w:val="20"/>
                <w:szCs w:val="20"/>
                <w:color w:val="auto"/>
              </w:rPr>
            </w:pPr>
            <w:r>
              <w:rPr>
                <w:rFonts w:ascii="Arial" w:cs="Arial" w:eastAsia="Arial" w:hAnsi="Arial"/>
                <w:sz w:val="16"/>
                <w:szCs w:val="16"/>
                <w:color w:val="auto"/>
              </w:rPr>
              <w:t>EBITDA</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18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1"/>
        </w:trPr>
        <w:tc>
          <w:tcPr>
            <w:tcW w:w="2580" w:type="dxa"/>
            <w:vAlign w:val="bottom"/>
            <w:vMerge w:val="restart"/>
          </w:tcPr>
          <w:p>
            <w:pPr>
              <w:spacing w:after="0"/>
              <w:rPr>
                <w:sz w:val="20"/>
                <w:szCs w:val="20"/>
                <w:color w:val="auto"/>
              </w:rPr>
            </w:pPr>
            <w:r>
              <w:rPr>
                <w:rFonts w:ascii="Arial" w:cs="Arial" w:eastAsia="Arial" w:hAnsi="Arial"/>
                <w:sz w:val="16"/>
                <w:szCs w:val="16"/>
                <w:color w:val="auto"/>
              </w:rPr>
              <w:t>Adjustments to EBITDA</w:t>
            </w: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25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580" w:type="dxa"/>
            <w:vAlign w:val="bottom"/>
          </w:tcPr>
          <w:p>
            <w:pPr>
              <w:spacing w:after="0" w:line="164" w:lineRule="exact"/>
              <w:rPr>
                <w:sz w:val="20"/>
                <w:szCs w:val="20"/>
                <w:color w:val="auto"/>
              </w:rPr>
            </w:pPr>
            <w:r>
              <w:rPr>
                <w:rFonts w:ascii="Arial" w:cs="Arial" w:eastAsia="Arial" w:hAnsi="Arial"/>
                <w:sz w:val="16"/>
                <w:szCs w:val="16"/>
                <w:color w:val="auto"/>
              </w:rPr>
              <w:t>Net gain on disposition of</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line="162" w:lineRule="exact"/>
              <w:rPr>
                <w:sz w:val="20"/>
                <w:szCs w:val="20"/>
                <w:color w:val="auto"/>
              </w:rPr>
            </w:pPr>
            <w:r>
              <w:rPr>
                <w:rFonts w:ascii="Arial" w:cs="Arial" w:eastAsia="Arial" w:hAnsi="Arial"/>
                <w:sz w:val="16"/>
                <w:szCs w:val="16"/>
                <w:color w:val="auto"/>
              </w:rPr>
              <w:t>McClelland Lake Lodge assets</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580" w:type="dxa"/>
            <w:vAlign w:val="bottom"/>
          </w:tcPr>
          <w:p>
            <w:pPr>
              <w:spacing w:after="0"/>
              <w:rPr>
                <w:sz w:val="20"/>
                <w:szCs w:val="20"/>
                <w:color w:val="auto"/>
              </w:rPr>
            </w:pPr>
            <w:r>
              <w:rPr>
                <w:rFonts w:ascii="Arial" w:cs="Arial" w:eastAsia="Arial" w:hAnsi="Arial"/>
                <w:sz w:val="16"/>
                <w:szCs w:val="16"/>
                <w:color w:val="auto"/>
              </w:rPr>
              <w:t>(a)</w:t>
            </w: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4"/>
        </w:trPr>
        <w:tc>
          <w:tcPr>
            <w:tcW w:w="2580" w:type="dxa"/>
            <w:vAlign w:val="bottom"/>
          </w:tcPr>
          <w:p>
            <w:pPr>
              <w:ind w:left="440"/>
              <w:spacing w:after="0"/>
              <w:rPr>
                <w:sz w:val="20"/>
                <w:szCs w:val="20"/>
                <w:color w:val="auto"/>
              </w:rPr>
            </w:pPr>
            <w:r>
              <w:rPr>
                <w:rFonts w:ascii="Arial" w:cs="Arial" w:eastAsia="Arial" w:hAnsi="Arial"/>
                <w:sz w:val="16"/>
                <w:szCs w:val="16"/>
                <w:color w:val="auto"/>
              </w:rPr>
              <w:t>Adjusted EBITDA</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18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
        <w:spacing w:after="0"/>
        <w:rPr>
          <w:sz w:val="20"/>
          <w:szCs w:val="20"/>
          <w:color w:val="auto"/>
        </w:rPr>
      </w:pPr>
      <w:r>
        <w:rPr>
          <w:rFonts w:ascii="Arial" w:cs="Arial" w:eastAsia="Arial" w:hAnsi="Arial"/>
          <w:sz w:val="16"/>
          <w:szCs w:val="16"/>
          <w:color w:val="auto"/>
        </w:rPr>
        <w:t>(a)  Relates to proceeds received and expenses incurred associated with the dismantlement and sale of the McClelland Lake Lodge.</w:t>
      </w:r>
    </w:p>
    <w:p>
      <w:pPr>
        <w:sectPr>
          <w:pgSz w:w="11900" w:h="16838" w:orient="portrait"/>
          <w:cols w:equalWidth="0" w:num="1">
            <w:col w:w="10788"/>
          </w:cols>
          <w:pgMar w:left="652" w:top="1138" w:right="459" w:bottom="1440" w:gutter="0" w:footer="0" w:header="0"/>
        </w:sectPr>
      </w:pPr>
    </w:p>
    <w:bookmarkStart w:id="15" w:name="page16"/>
    <w:bookmarkEnd w:id="15"/>
    <w:p>
      <w:pPr>
        <w:jc w:val="center"/>
        <w:ind w:right="-17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(unaudited)</w:t>
      </w:r>
    </w:p>
    <w:p>
      <w:pPr>
        <w:spacing w:after="0" w:line="359" w:lineRule="exact"/>
        <w:rPr>
          <w:sz w:val="20"/>
          <w:szCs w:val="20"/>
          <w:color w:val="auto"/>
        </w:rPr>
      </w:pPr>
    </w:p>
    <w:tbl>
      <w:tblPr>
        <w:tblLayout w:type="fixed"/>
        <w:tblInd w:w="130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22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5"/>
          </w:tcPr>
          <w:p>
            <w:pPr>
              <w:ind w:left="40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9"/>
                <w:szCs w:val="19"/>
                <w:color w:val="auto"/>
              </w:rPr>
            </w:pPr>
          </w:p>
        </w:tc>
        <w:tc>
          <w:tcPr>
            <w:tcW w:w="22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3"/>
        </w:trPr>
        <w:tc>
          <w:tcPr>
            <w:tcW w:w="3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0"/>
                <w:szCs w:val="20"/>
                <w:color w:val="auto"/>
              </w:rPr>
            </w:pPr>
            <w:r>
              <w:rPr>
                <w:rFonts w:ascii="Arial" w:cs="Arial" w:eastAsia="Arial" w:hAnsi="Arial"/>
                <w:sz w:val="16"/>
                <w:szCs w:val="16"/>
                <w:color w:val="auto"/>
              </w:rPr>
              <w:t>Supplemental Operating Data - Canadian</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6"/>
                <w:szCs w:val="16"/>
                <w:color w:val="auto"/>
              </w:rPr>
              <w:t>Segment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74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58,926</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60,106</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266,926</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279,455</w:t>
            </w:r>
          </w:p>
        </w:tc>
        <w:tc>
          <w:tcPr>
            <w:tcW w:w="0" w:type="dxa"/>
            <w:vAlign w:val="bottom"/>
          </w:tcPr>
          <w:p>
            <w:pPr>
              <w:spacing w:after="0"/>
              <w:rPr>
                <w:sz w:val="1"/>
                <w:szCs w:val="1"/>
                <w:color w:val="auto"/>
              </w:rPr>
            </w:pPr>
          </w:p>
        </w:tc>
      </w:tr>
      <w:tr>
        <w:trPr>
          <w:trHeight w:val="270"/>
        </w:trPr>
        <w:tc>
          <w:tcPr>
            <w:tcW w:w="374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7,147</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23,041</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61,899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96,400</w:t>
            </w:r>
          </w:p>
        </w:tc>
        <w:tc>
          <w:tcPr>
            <w:tcW w:w="0" w:type="dxa"/>
            <w:vAlign w:val="bottom"/>
          </w:tcPr>
          <w:p>
            <w:pPr>
              <w:spacing w:after="0"/>
              <w:rPr>
                <w:sz w:val="1"/>
                <w:szCs w:val="1"/>
                <w:color w:val="auto"/>
              </w:rPr>
            </w:pPr>
          </w:p>
        </w:tc>
      </w:tr>
      <w:tr>
        <w:trPr>
          <w:trHeight w:val="271"/>
        </w:trPr>
        <w:tc>
          <w:tcPr>
            <w:tcW w:w="374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6,655</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4,866</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23,970</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20,142</w:t>
            </w:r>
          </w:p>
        </w:tc>
        <w:tc>
          <w:tcPr>
            <w:tcW w:w="0" w:type="dxa"/>
            <w:vAlign w:val="bottom"/>
          </w:tcPr>
          <w:p>
            <w:pPr>
              <w:spacing w:after="0"/>
              <w:rPr>
                <w:sz w:val="1"/>
                <w:szCs w:val="1"/>
                <w:color w:val="auto"/>
              </w:rPr>
            </w:pPr>
          </w:p>
        </w:tc>
      </w:tr>
      <w:tr>
        <w:trPr>
          <w:trHeight w:val="249"/>
        </w:trPr>
        <w:tc>
          <w:tcPr>
            <w:tcW w:w="374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72,728</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88,013</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352,795</w:t>
            </w:r>
          </w:p>
        </w:tc>
        <w:tc>
          <w:tcPr>
            <w:tcW w:w="2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395,997</w:t>
            </w:r>
          </w:p>
        </w:tc>
        <w:tc>
          <w:tcPr>
            <w:tcW w:w="0" w:type="dxa"/>
            <w:vAlign w:val="bottom"/>
          </w:tcPr>
          <w:p>
            <w:pPr>
              <w:spacing w:after="0"/>
              <w:rPr>
                <w:sz w:val="1"/>
                <w:szCs w:val="1"/>
                <w:color w:val="auto"/>
              </w:rPr>
            </w:pPr>
          </w:p>
        </w:tc>
      </w:tr>
      <w:tr>
        <w:trPr>
          <w:trHeight w:val="378"/>
        </w:trPr>
        <w:tc>
          <w:tcPr>
            <w:tcW w:w="374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45,251</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48,049</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195,843</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204,592</w:t>
            </w:r>
          </w:p>
        </w:tc>
        <w:tc>
          <w:tcPr>
            <w:tcW w:w="0" w:type="dxa"/>
            <w:vAlign w:val="bottom"/>
          </w:tcPr>
          <w:p>
            <w:pPr>
              <w:spacing w:after="0"/>
              <w:rPr>
                <w:sz w:val="1"/>
                <w:szCs w:val="1"/>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11,337</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15,116</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49,073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60,055</w:t>
            </w:r>
          </w:p>
        </w:tc>
        <w:tc>
          <w:tcPr>
            <w:tcW w:w="0" w:type="dxa"/>
            <w:vAlign w:val="bottom"/>
          </w:tcPr>
          <w:p>
            <w:pPr>
              <w:spacing w:after="0"/>
              <w:rPr>
                <w:sz w:val="1"/>
                <w:szCs w:val="1"/>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6,120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4,590</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21,821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18,372</w:t>
            </w:r>
          </w:p>
        </w:tc>
        <w:tc>
          <w:tcPr>
            <w:tcW w:w="0" w:type="dxa"/>
            <w:vAlign w:val="bottom"/>
          </w:tcPr>
          <w:p>
            <w:pPr>
              <w:spacing w:after="0"/>
              <w:rPr>
                <w:sz w:val="1"/>
                <w:szCs w:val="1"/>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2,728</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10,330</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10,557</w:t>
            </w:r>
          </w:p>
        </w:tc>
        <w:tc>
          <w:tcPr>
            <w:tcW w:w="0" w:type="dxa"/>
            <w:vAlign w:val="bottom"/>
          </w:tcPr>
          <w:p>
            <w:pPr>
              <w:spacing w:after="0"/>
              <w:rPr>
                <w:sz w:val="1"/>
                <w:szCs w:val="1"/>
                <w:color w:val="auto"/>
              </w:rPr>
            </w:pPr>
          </w:p>
        </w:tc>
      </w:tr>
      <w:tr>
        <w:trPr>
          <w:trHeight w:val="144"/>
        </w:trPr>
        <w:tc>
          <w:tcPr>
            <w:tcW w:w="3740" w:type="dxa"/>
            <w:vAlign w:val="bottom"/>
          </w:tcPr>
          <w:p>
            <w:pPr>
              <w:ind w:left="640"/>
              <w:spacing w:after="0" w:line="144" w:lineRule="exact"/>
              <w:rPr>
                <w:sz w:val="20"/>
                <w:szCs w:val="20"/>
                <w:color w:val="auto"/>
              </w:rPr>
            </w:pPr>
            <w:r>
              <w:rPr>
                <w:rFonts w:ascii="Arial" w:cs="Arial" w:eastAsia="Arial" w:hAnsi="Arial"/>
                <w:sz w:val="16"/>
                <w:szCs w:val="16"/>
                <w:color w:val="auto"/>
              </w:rPr>
              <w:t>Total Canadian cost of sales and</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65,345</w:t>
            </w:r>
          </w:p>
        </w:tc>
        <w:tc>
          <w:tcPr>
            <w:tcW w:w="18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70,483</w:t>
            </w:r>
          </w:p>
        </w:tc>
        <w:tc>
          <w:tcPr>
            <w:tcW w:w="1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277,067</w:t>
            </w:r>
          </w:p>
        </w:tc>
        <w:tc>
          <w:tcPr>
            <w:tcW w:w="20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293,576</w:t>
            </w:r>
          </w:p>
        </w:tc>
        <w:tc>
          <w:tcPr>
            <w:tcW w:w="0" w:type="dxa"/>
            <w:vAlign w:val="bottom"/>
          </w:tcPr>
          <w:p>
            <w:pPr>
              <w:spacing w:after="0"/>
              <w:rPr>
                <w:sz w:val="1"/>
                <w:szCs w:val="1"/>
                <w:color w:val="auto"/>
              </w:rPr>
            </w:pPr>
          </w:p>
        </w:tc>
      </w:tr>
      <w:tr>
        <w:trPr>
          <w:trHeight w:val="215"/>
        </w:trPr>
        <w:tc>
          <w:tcPr>
            <w:tcW w:w="3740" w:type="dxa"/>
            <w:vAlign w:val="bottom"/>
          </w:tcPr>
          <w:p>
            <w:pPr>
              <w:ind w:left="64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74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617,325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621,991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2,710,784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2,759,521</w:t>
            </w:r>
          </w:p>
        </w:tc>
        <w:tc>
          <w:tcPr>
            <w:tcW w:w="0" w:type="dxa"/>
            <w:vAlign w:val="bottom"/>
          </w:tcPr>
          <w:p>
            <w:pPr>
              <w:spacing w:after="0"/>
              <w:rPr>
                <w:sz w:val="1"/>
                <w:szCs w:val="1"/>
                <w:color w:val="auto"/>
              </w:rPr>
            </w:pP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0.734</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0.736</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0.741</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0.769</w:t>
            </w:r>
          </w:p>
        </w:tc>
        <w:tc>
          <w:tcPr>
            <w:tcW w:w="0" w:type="dxa"/>
            <w:vAlign w:val="bottom"/>
          </w:tcPr>
          <w:p>
            <w:pPr>
              <w:spacing w:after="0"/>
              <w:rPr>
                <w:sz w:val="1"/>
                <w:szCs w:val="1"/>
                <w:color w:val="auto"/>
              </w:rPr>
            </w:pPr>
          </w:p>
        </w:tc>
      </w:tr>
      <w:tr>
        <w:trPr>
          <w:trHeight w:val="434"/>
        </w:trPr>
        <w:tc>
          <w:tcPr>
            <w:tcW w:w="3740" w:type="dxa"/>
            <w:vAlign w:val="bottom"/>
          </w:tcPr>
          <w:p>
            <w:pPr>
              <w:spacing w:after="0"/>
              <w:rPr>
                <w:sz w:val="20"/>
                <w:szCs w:val="20"/>
                <w:color w:val="auto"/>
              </w:rPr>
            </w:pPr>
            <w:r>
              <w:rPr>
                <w:rFonts w:ascii="Arial" w:cs="Arial" w:eastAsia="Arial" w:hAnsi="Arial"/>
                <w:sz w:val="16"/>
                <w:szCs w:val="16"/>
                <w:color w:val="auto"/>
              </w:rPr>
              <w:t>Supplemental Operating Data - Australian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6"/>
                <w:szCs w:val="16"/>
                <w:color w:val="auto"/>
              </w:rPr>
              <w:t>Segment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46,881</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37,747</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177,834</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152,714</w:t>
            </w:r>
          </w:p>
        </w:tc>
        <w:tc>
          <w:tcPr>
            <w:tcW w:w="0" w:type="dxa"/>
            <w:vAlign w:val="bottom"/>
          </w:tcPr>
          <w:p>
            <w:pPr>
              <w:spacing w:after="0"/>
              <w:rPr>
                <w:sz w:val="1"/>
                <w:szCs w:val="1"/>
                <w:color w:val="auto"/>
              </w:rPr>
            </w:pPr>
          </w:p>
        </w:tc>
      </w:tr>
      <w:tr>
        <w:trPr>
          <w:trHeight w:val="271"/>
        </w:trPr>
        <w:tc>
          <w:tcPr>
            <w:tcW w:w="374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42,464</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35,351</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158,929</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125,538</w:t>
            </w:r>
          </w:p>
        </w:tc>
        <w:tc>
          <w:tcPr>
            <w:tcW w:w="0" w:type="dxa"/>
            <w:vAlign w:val="bottom"/>
          </w:tcPr>
          <w:p>
            <w:pPr>
              <w:spacing w:after="0"/>
              <w:rPr>
                <w:sz w:val="1"/>
                <w:szCs w:val="1"/>
                <w:color w:val="auto"/>
              </w:rPr>
            </w:pPr>
          </w:p>
        </w:tc>
      </w:tr>
      <w:tr>
        <w:trPr>
          <w:trHeight w:val="249"/>
        </w:trPr>
        <w:tc>
          <w:tcPr>
            <w:tcW w:w="374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89,345</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73,098</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336,763</w:t>
            </w:r>
          </w:p>
        </w:tc>
        <w:tc>
          <w:tcPr>
            <w:tcW w:w="2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278,252</w:t>
            </w:r>
          </w:p>
        </w:tc>
        <w:tc>
          <w:tcPr>
            <w:tcW w:w="0" w:type="dxa"/>
            <w:vAlign w:val="bottom"/>
          </w:tcPr>
          <w:p>
            <w:pPr>
              <w:spacing w:after="0"/>
              <w:rPr>
                <w:sz w:val="1"/>
                <w:szCs w:val="1"/>
                <w:color w:val="auto"/>
              </w:rPr>
            </w:pPr>
          </w:p>
        </w:tc>
      </w:tr>
      <w:tr>
        <w:trPr>
          <w:trHeight w:val="378"/>
        </w:trPr>
        <w:tc>
          <w:tcPr>
            <w:tcW w:w="374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21,791</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18,260</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85,461</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73,325</w:t>
            </w:r>
          </w:p>
        </w:tc>
        <w:tc>
          <w:tcPr>
            <w:tcW w:w="0" w:type="dxa"/>
            <w:vAlign w:val="bottom"/>
          </w:tcPr>
          <w:p>
            <w:pPr>
              <w:spacing w:after="0"/>
              <w:rPr>
                <w:sz w:val="1"/>
                <w:szCs w:val="1"/>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38,467</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35,121</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148,599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119,957</w:t>
            </w:r>
          </w:p>
        </w:tc>
        <w:tc>
          <w:tcPr>
            <w:tcW w:w="0" w:type="dxa"/>
            <w:vAlign w:val="bottom"/>
          </w:tcPr>
          <w:p>
            <w:pPr>
              <w:spacing w:after="0"/>
              <w:rPr>
                <w:sz w:val="1"/>
                <w:szCs w:val="1"/>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2,305</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8,951</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7,662</w:t>
            </w:r>
          </w:p>
        </w:tc>
        <w:tc>
          <w:tcPr>
            <w:tcW w:w="0" w:type="dxa"/>
            <w:vAlign w:val="bottom"/>
          </w:tcPr>
          <w:p>
            <w:pPr>
              <w:spacing w:after="0"/>
              <w:rPr>
                <w:sz w:val="1"/>
                <w:szCs w:val="1"/>
                <w:color w:val="auto"/>
              </w:rPr>
            </w:pPr>
          </w:p>
        </w:tc>
      </w:tr>
      <w:tr>
        <w:trPr>
          <w:trHeight w:val="144"/>
        </w:trPr>
        <w:tc>
          <w:tcPr>
            <w:tcW w:w="3740" w:type="dxa"/>
            <w:vAlign w:val="bottom"/>
          </w:tcPr>
          <w:p>
            <w:pPr>
              <w:ind w:left="640"/>
              <w:spacing w:after="0" w:line="144" w:lineRule="exact"/>
              <w:rPr>
                <w:sz w:val="20"/>
                <w:szCs w:val="20"/>
                <w:color w:val="auto"/>
              </w:rPr>
            </w:pPr>
            <w:r>
              <w:rPr>
                <w:rFonts w:ascii="Arial" w:cs="Arial" w:eastAsia="Arial" w:hAnsi="Arial"/>
                <w:sz w:val="16"/>
                <w:szCs w:val="16"/>
                <w:color w:val="auto"/>
              </w:rPr>
              <w:t>Total Australian cost of sales and</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62,563</w:t>
            </w:r>
          </w:p>
        </w:tc>
        <w:tc>
          <w:tcPr>
            <w:tcW w:w="18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55,405</w:t>
            </w:r>
          </w:p>
        </w:tc>
        <w:tc>
          <w:tcPr>
            <w:tcW w:w="1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243,011</w:t>
            </w:r>
          </w:p>
        </w:tc>
        <w:tc>
          <w:tcPr>
            <w:tcW w:w="20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200,944</w:t>
            </w:r>
          </w:p>
        </w:tc>
        <w:tc>
          <w:tcPr>
            <w:tcW w:w="0" w:type="dxa"/>
            <w:vAlign w:val="bottom"/>
          </w:tcPr>
          <w:p>
            <w:pPr>
              <w:spacing w:after="0"/>
              <w:rPr>
                <w:sz w:val="1"/>
                <w:szCs w:val="1"/>
                <w:color w:val="auto"/>
              </w:rPr>
            </w:pPr>
          </w:p>
        </w:tc>
      </w:tr>
      <w:tr>
        <w:trPr>
          <w:trHeight w:val="215"/>
        </w:trPr>
        <w:tc>
          <w:tcPr>
            <w:tcW w:w="3740" w:type="dxa"/>
            <w:vAlign w:val="bottom"/>
          </w:tcPr>
          <w:p>
            <w:pPr>
              <w:ind w:left="64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74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637,759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518,925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2,371,763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2,024,068</w:t>
            </w:r>
          </w:p>
        </w:tc>
        <w:tc>
          <w:tcPr>
            <w:tcW w:w="0" w:type="dxa"/>
            <w:vAlign w:val="bottom"/>
          </w:tcPr>
          <w:p>
            <w:pPr>
              <w:spacing w:after="0"/>
              <w:rPr>
                <w:sz w:val="1"/>
                <w:szCs w:val="1"/>
                <w:color w:val="auto"/>
              </w:rPr>
            </w:pP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0.651</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0.657</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0.665</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0.695</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30" w:lineRule="exact"/>
        <w:rPr>
          <w:rFonts w:ascii="Arial" w:cs="Arial" w:eastAsia="Arial" w:hAnsi="Arial"/>
          <w:sz w:val="16"/>
          <w:szCs w:val="16"/>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revenues related to mobile camps for the periods presented.</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Billed rooms represents total billed days for Civeo owned Canadian lodges and Australian villages for the periods presented.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ectPr>
          <w:pgSz w:w="11900" w:h="16838" w:orient="portrait"/>
          <w:cols w:equalWidth="0" w:num="1">
            <w:col w:w="11060"/>
          </w:cols>
          <w:pgMar w:left="320" w:top="1138" w:right="51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Civeo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8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decimal"/>
      <w:start w:val="2"/>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2024-02-29T08:13:23Z</dcterms:created>
  <dcterms:modified xsi:type="dcterms:W3CDTF">2024-02-29T08:13:23Z</dcterms:modified>
</cp:coreProperties>
</file>