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May 10,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189230</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Civeo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272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British Columbia, Canada</w:t>
            </w:r>
          </w:p>
        </w:tc>
        <w:tc>
          <w:tcPr>
            <w:tcW w:w="47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1-36246</w:t>
            </w:r>
          </w:p>
        </w:tc>
        <w:tc>
          <w:tcPr>
            <w:tcW w:w="1860" w:type="dxa"/>
            <w:vAlign w:val="bottom"/>
          </w:tcPr>
          <w:p>
            <w:pPr>
              <w:jc w:val="center"/>
              <w:ind w:left="450"/>
              <w:spacing w:after="0"/>
              <w:rPr>
                <w:sz w:val="20"/>
                <w:szCs w:val="20"/>
                <w:color w:val="auto"/>
              </w:rPr>
            </w:pPr>
            <w:r>
              <w:rPr>
                <w:rFonts w:ascii="Arial" w:cs="Arial" w:eastAsia="Arial" w:hAnsi="Arial"/>
                <w:sz w:val="18"/>
                <w:szCs w:val="18"/>
                <w:b w:val="1"/>
                <w:bCs w:val="1"/>
                <w:color w:val="auto"/>
                <w:w w:val="91"/>
              </w:rPr>
              <w:t>98-1253716</w:t>
            </w:r>
          </w:p>
        </w:tc>
      </w:tr>
      <w:tr>
        <w:trPr>
          <w:trHeight w:val="216"/>
        </w:trPr>
        <w:tc>
          <w:tcPr>
            <w:tcW w:w="2720" w:type="dxa"/>
            <w:vAlign w:val="bottom"/>
          </w:tcPr>
          <w:p>
            <w:pPr>
              <w:jc w:val="center"/>
              <w:ind w:right="250"/>
              <w:spacing w:after="0"/>
              <w:rPr>
                <w:sz w:val="20"/>
                <w:szCs w:val="20"/>
                <w:color w:val="auto"/>
              </w:rPr>
            </w:pPr>
            <w:r>
              <w:rPr>
                <w:rFonts w:ascii="Arial" w:cs="Arial" w:eastAsia="Arial" w:hAnsi="Arial"/>
                <w:sz w:val="18"/>
                <w:szCs w:val="18"/>
                <w:color w:val="auto"/>
                <w:w w:val="92"/>
              </w:rPr>
              <w:t>(State or other jurisdiction</w:t>
            </w:r>
          </w:p>
        </w:tc>
        <w:tc>
          <w:tcPr>
            <w:tcW w:w="4700" w:type="dxa"/>
            <w:vAlign w:val="bottom"/>
          </w:tcPr>
          <w:p>
            <w:pPr>
              <w:jc w:val="center"/>
              <w:ind w:right="70"/>
              <w:spacing w:after="0"/>
              <w:rPr>
                <w:sz w:val="20"/>
                <w:szCs w:val="20"/>
                <w:color w:val="auto"/>
              </w:rPr>
            </w:pPr>
            <w:r>
              <w:rPr>
                <w:rFonts w:ascii="Arial" w:cs="Arial" w:eastAsia="Arial" w:hAnsi="Arial"/>
                <w:sz w:val="18"/>
                <w:szCs w:val="18"/>
                <w:color w:val="auto"/>
                <w:w w:val="93"/>
              </w:rPr>
              <w:t>(Commission File</w:t>
            </w:r>
          </w:p>
        </w:tc>
        <w:tc>
          <w:tcPr>
            <w:tcW w:w="1860" w:type="dxa"/>
            <w:vAlign w:val="bottom"/>
          </w:tcPr>
          <w:p>
            <w:pPr>
              <w:jc w:val="center"/>
              <w:ind w:left="450"/>
              <w:spacing w:after="0"/>
              <w:rPr>
                <w:sz w:val="20"/>
                <w:szCs w:val="20"/>
                <w:color w:val="auto"/>
              </w:rPr>
            </w:pPr>
            <w:r>
              <w:rPr>
                <w:rFonts w:ascii="Arial" w:cs="Arial" w:eastAsia="Arial" w:hAnsi="Arial"/>
                <w:sz w:val="18"/>
                <w:szCs w:val="18"/>
                <w:color w:val="auto"/>
                <w:w w:val="93"/>
              </w:rPr>
              <w:t>(I.R.S. Employer</w:t>
            </w:r>
          </w:p>
        </w:tc>
      </w:tr>
      <w:tr>
        <w:trPr>
          <w:trHeight w:val="230"/>
        </w:trPr>
        <w:tc>
          <w:tcPr>
            <w:tcW w:w="2720" w:type="dxa"/>
            <w:vAlign w:val="bottom"/>
          </w:tcPr>
          <w:p>
            <w:pPr>
              <w:jc w:val="center"/>
              <w:ind w:right="270"/>
              <w:spacing w:after="0"/>
              <w:rPr>
                <w:sz w:val="20"/>
                <w:szCs w:val="20"/>
                <w:color w:val="auto"/>
              </w:rPr>
            </w:pPr>
            <w:r>
              <w:rPr>
                <w:rFonts w:ascii="Arial" w:cs="Arial" w:eastAsia="Arial" w:hAnsi="Arial"/>
                <w:sz w:val="18"/>
                <w:szCs w:val="18"/>
                <w:color w:val="auto"/>
                <w:w w:val="92"/>
              </w:rPr>
              <w:t>of incorporation or organization)</w:t>
            </w:r>
          </w:p>
        </w:tc>
        <w:tc>
          <w:tcPr>
            <w:tcW w:w="4700" w:type="dxa"/>
            <w:vAlign w:val="bottom"/>
          </w:tcPr>
          <w:p>
            <w:pPr>
              <w:jc w:val="center"/>
              <w:ind w:right="70"/>
              <w:spacing w:after="0"/>
              <w:rPr>
                <w:sz w:val="20"/>
                <w:szCs w:val="20"/>
                <w:color w:val="auto"/>
              </w:rPr>
            </w:pPr>
            <w:r>
              <w:rPr>
                <w:rFonts w:ascii="Arial" w:cs="Arial" w:eastAsia="Arial" w:hAnsi="Arial"/>
                <w:sz w:val="18"/>
                <w:szCs w:val="18"/>
                <w:color w:val="auto"/>
                <w:w w:val="94"/>
              </w:rPr>
              <w:t>Number)</w:t>
            </w:r>
          </w:p>
        </w:tc>
        <w:tc>
          <w:tcPr>
            <w:tcW w:w="1860" w:type="dxa"/>
            <w:vAlign w:val="bottom"/>
          </w:tcPr>
          <w:p>
            <w:pPr>
              <w:jc w:val="center"/>
              <w:ind w:left="4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720" w:type="dxa"/>
            <w:vAlign w:val="bottom"/>
          </w:tcPr>
          <w:p>
            <w:pPr>
              <w:spacing w:after="0"/>
              <w:rPr>
                <w:sz w:val="24"/>
                <w:szCs w:val="24"/>
                <w:color w:val="auto"/>
              </w:rPr>
            </w:pPr>
          </w:p>
        </w:tc>
        <w:tc>
          <w:tcPr>
            <w:tcW w:w="470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Three Allen Center</w:t>
            </w:r>
          </w:p>
        </w:tc>
        <w:tc>
          <w:tcPr>
            <w:tcW w:w="1860" w:type="dxa"/>
            <w:vAlign w:val="bottom"/>
          </w:tcPr>
          <w:p>
            <w:pPr>
              <w:spacing w:after="0"/>
              <w:rPr>
                <w:sz w:val="24"/>
                <w:szCs w:val="24"/>
                <w:color w:val="auto"/>
              </w:rPr>
            </w:pPr>
          </w:p>
        </w:tc>
      </w:tr>
      <w:tr>
        <w:trPr>
          <w:trHeight w:val="216"/>
        </w:trPr>
        <w:tc>
          <w:tcPr>
            <w:tcW w:w="2720" w:type="dxa"/>
            <w:vAlign w:val="bottom"/>
          </w:tcPr>
          <w:p>
            <w:pPr>
              <w:spacing w:after="0"/>
              <w:rPr>
                <w:sz w:val="18"/>
                <w:szCs w:val="18"/>
                <w:color w:val="auto"/>
              </w:rPr>
            </w:pPr>
          </w:p>
        </w:tc>
        <w:tc>
          <w:tcPr>
            <w:tcW w:w="470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333 Clay Street, Suite 4980</w:t>
            </w:r>
          </w:p>
        </w:tc>
        <w:tc>
          <w:tcPr>
            <w:tcW w:w="1860" w:type="dxa"/>
            <w:vAlign w:val="bottom"/>
          </w:tcPr>
          <w:p>
            <w:pPr>
              <w:spacing w:after="0"/>
              <w:rPr>
                <w:sz w:val="18"/>
                <w:szCs w:val="18"/>
                <w:color w:val="auto"/>
              </w:rPr>
            </w:pPr>
          </w:p>
        </w:tc>
      </w:tr>
      <w:tr>
        <w:trPr>
          <w:trHeight w:val="220"/>
        </w:trPr>
        <w:tc>
          <w:tcPr>
            <w:tcW w:w="2720" w:type="dxa"/>
            <w:vAlign w:val="bottom"/>
          </w:tcPr>
          <w:p>
            <w:pPr>
              <w:spacing w:after="0"/>
              <w:rPr>
                <w:sz w:val="19"/>
                <w:szCs w:val="19"/>
                <w:color w:val="auto"/>
              </w:rPr>
            </w:pPr>
          </w:p>
        </w:tc>
        <w:tc>
          <w:tcPr>
            <w:tcW w:w="470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Houston, Texas 77002</w:t>
            </w:r>
          </w:p>
        </w:tc>
        <w:tc>
          <w:tcPr>
            <w:tcW w:w="1860" w:type="dxa"/>
            <w:vAlign w:val="bottom"/>
          </w:tcPr>
          <w:p>
            <w:pPr>
              <w:spacing w:after="0"/>
              <w:rPr>
                <w:sz w:val="19"/>
                <w:szCs w:val="19"/>
                <w:color w:val="auto"/>
              </w:rPr>
            </w:pPr>
          </w:p>
        </w:tc>
      </w:tr>
      <w:tr>
        <w:trPr>
          <w:trHeight w:val="230"/>
        </w:trPr>
        <w:tc>
          <w:tcPr>
            <w:tcW w:w="2720" w:type="dxa"/>
            <w:vAlign w:val="bottom"/>
          </w:tcPr>
          <w:p>
            <w:pPr>
              <w:spacing w:after="0"/>
              <w:rPr>
                <w:sz w:val="20"/>
                <w:szCs w:val="20"/>
                <w:color w:val="auto"/>
              </w:rPr>
            </w:pPr>
          </w:p>
        </w:tc>
        <w:tc>
          <w:tcPr>
            <w:tcW w:w="4700" w:type="dxa"/>
            <w:vAlign w:val="bottom"/>
          </w:tcPr>
          <w:p>
            <w:pPr>
              <w:jc w:val="center"/>
              <w:ind w:right="110"/>
              <w:spacing w:after="0"/>
              <w:rPr>
                <w:sz w:val="20"/>
                <w:szCs w:val="20"/>
                <w:color w:val="auto"/>
              </w:rPr>
            </w:pPr>
            <w:r>
              <w:rPr>
                <w:rFonts w:ascii="Arial" w:cs="Arial" w:eastAsia="Arial" w:hAnsi="Arial"/>
                <w:sz w:val="18"/>
                <w:szCs w:val="18"/>
                <w:color w:val="auto"/>
                <w:w w:val="91"/>
              </w:rPr>
              <w:t>(Address and zip code of principal executive offices)</w:t>
            </w:r>
          </w:p>
        </w:tc>
        <w:tc>
          <w:tcPr>
            <w:tcW w:w="1860" w:type="dxa"/>
            <w:vAlign w:val="bottom"/>
          </w:tcPr>
          <w:p>
            <w:pPr>
              <w:spacing w:after="0"/>
              <w:rPr>
                <w:sz w:val="20"/>
                <w:szCs w:val="20"/>
                <w:color w:val="auto"/>
              </w:rPr>
            </w:pPr>
          </w:p>
        </w:tc>
      </w:tr>
    </w:tbl>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510-2400</w:t>
      </w:r>
    </w:p>
    <w:p>
      <w:pPr>
        <w:spacing w:after="0" w:line="200" w:lineRule="exact"/>
        <w:rPr>
          <w:sz w:val="24"/>
          <w:szCs w:val="24"/>
          <w:color w:val="auto"/>
        </w:rPr>
      </w:pPr>
    </w:p>
    <w:p>
      <w:pPr>
        <w:spacing w:after="0" w:line="24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[_]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Pre-commencement communications pursuant to Rule 13e-4(c) under the Exchange Act (17 CFR 240.13e-4(c))</w:t>
      </w:r>
    </w:p>
    <w:p>
      <w:pPr>
        <w:spacing w:after="0" w:line="225"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220"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At the 2018 Annual General Meeting of Shareholders held on May 10, 2018, the shareholders of Civeo Corporation (“Civeo”): (1) elected three Class I nominees to Civeo’s Board of Directors (the “Board”); (2) ratified the appointment of Ernst &amp; Young LLP as Civeo’s independent registered public accounting firm for the year ending December 31, 2018 and until the next annual general meeting of shareholders and authorized the directors of Civeo, acting through the Audit Committee, to determine the remuneration to be paid to Ernst &amp; Young LLP for 2018; (3) voted, on an advisory basis, in favor of the compensation of the persons listed as named executive officers in Civeo’s proxy statement filed with the Securities and Exchange Commission on April 3, 2018, as supplemented on April 26, 2018 (the “Proxy Statement”); and (4) approved an amendment to the 2014 Equity Participation Plan (the “Plan”) to increase the number of shares available for issuance thereunder by 4,700,000 shares. The proposals related to each matter are described in detail in the Proxy Statement. The voting results for each proposal are as follows: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Proposal 1 - To elect the three Class I nominees to the Board:</w:t>
      </w:r>
    </w:p>
    <w:p>
      <w:pPr>
        <w:spacing w:after="0" w:line="221" w:lineRule="exact"/>
        <w:rPr>
          <w:sz w:val="20"/>
          <w:szCs w:val="20"/>
          <w:color w:val="auto"/>
        </w:rPr>
      </w:pPr>
    </w:p>
    <w:tbl>
      <w:tblPr>
        <w:tblLayout w:type="fixed"/>
        <w:tblInd w:w="74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200" w:type="dxa"/>
            <w:vAlign w:val="bottom"/>
          </w:tcPr>
          <w:p>
            <w:pPr>
              <w:spacing w:after="0"/>
              <w:rPr>
                <w:sz w:val="20"/>
                <w:szCs w:val="20"/>
                <w:color w:val="auto"/>
              </w:rPr>
            </w:pPr>
          </w:p>
        </w:tc>
        <w:tc>
          <w:tcPr>
            <w:tcW w:w="218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Withheld</w:t>
            </w:r>
          </w:p>
        </w:tc>
        <w:tc>
          <w:tcPr>
            <w:tcW w:w="200" w:type="dxa"/>
            <w:vAlign w:val="bottom"/>
          </w:tcPr>
          <w:p>
            <w:pPr>
              <w:spacing w:after="0"/>
              <w:rPr>
                <w:sz w:val="20"/>
                <w:szCs w:val="20"/>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10"/>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 Ronald Blankenship</w:t>
            </w: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97,823,969</w:t>
            </w:r>
          </w:p>
        </w:tc>
        <w:tc>
          <w:tcPr>
            <w:tcW w:w="23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2,036,100</w:t>
            </w:r>
          </w:p>
        </w:tc>
        <w:tc>
          <w:tcPr>
            <w:tcW w:w="238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8"/>
              </w:rPr>
              <w:t>22,647,656</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Ronald J. Gilbertson</w:t>
            </w:r>
          </w:p>
        </w:tc>
        <w:tc>
          <w:tcPr>
            <w:tcW w:w="2200" w:type="dxa"/>
            <w:vAlign w:val="bottom"/>
          </w:tcPr>
          <w:p>
            <w:pPr>
              <w:jc w:val="center"/>
              <w:spacing w:after="0"/>
              <w:rPr>
                <w:sz w:val="20"/>
                <w:szCs w:val="20"/>
                <w:color w:val="auto"/>
              </w:rPr>
            </w:pPr>
            <w:r>
              <w:rPr>
                <w:rFonts w:ascii="Arial" w:cs="Arial" w:eastAsia="Arial" w:hAnsi="Arial"/>
                <w:sz w:val="18"/>
                <w:szCs w:val="18"/>
                <w:color w:val="auto"/>
                <w:w w:val="88"/>
              </w:rPr>
              <w:t>97,706,292</w:t>
            </w:r>
          </w:p>
        </w:tc>
        <w:tc>
          <w:tcPr>
            <w:tcW w:w="2380" w:type="dxa"/>
            <w:vAlign w:val="bottom"/>
            <w:gridSpan w:val="2"/>
          </w:tcPr>
          <w:p>
            <w:pPr>
              <w:ind w:left="920"/>
              <w:spacing w:after="0"/>
              <w:rPr>
                <w:sz w:val="20"/>
                <w:szCs w:val="20"/>
                <w:color w:val="auto"/>
              </w:rPr>
            </w:pPr>
            <w:r>
              <w:rPr>
                <w:rFonts w:ascii="Arial" w:cs="Arial" w:eastAsia="Arial" w:hAnsi="Arial"/>
                <w:sz w:val="18"/>
                <w:szCs w:val="18"/>
                <w:color w:val="auto"/>
              </w:rPr>
              <w:t>2,153,777</w:t>
            </w:r>
          </w:p>
        </w:tc>
        <w:tc>
          <w:tcPr>
            <w:tcW w:w="2380" w:type="dxa"/>
            <w:vAlign w:val="bottom"/>
            <w:gridSpan w:val="2"/>
          </w:tcPr>
          <w:p>
            <w:pPr>
              <w:jc w:val="center"/>
              <w:ind w:left="90"/>
              <w:spacing w:after="0"/>
              <w:rPr>
                <w:sz w:val="20"/>
                <w:szCs w:val="20"/>
                <w:color w:val="auto"/>
              </w:rPr>
            </w:pPr>
            <w:r>
              <w:rPr>
                <w:rFonts w:ascii="Arial" w:cs="Arial" w:eastAsia="Arial" w:hAnsi="Arial"/>
                <w:sz w:val="18"/>
                <w:szCs w:val="18"/>
                <w:color w:val="auto"/>
                <w:w w:val="88"/>
              </w:rPr>
              <w:t>22,647,656</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Charles Szalkowski</w:t>
            </w: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98,424,781</w:t>
            </w:r>
          </w:p>
        </w:tc>
        <w:tc>
          <w:tcPr>
            <w:tcW w:w="23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1,435,288</w:t>
            </w:r>
          </w:p>
        </w:tc>
        <w:tc>
          <w:tcPr>
            <w:tcW w:w="238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8"/>
              </w:rPr>
              <w:t>22,647,656</w:t>
            </w:r>
          </w:p>
        </w:tc>
      </w:tr>
    </w:tbl>
    <w:p>
      <w:pPr>
        <w:spacing w:after="0" w:line="20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Proposal 2 - To ratify the appointment of Ernst &amp; Young LLP as Civeo’s independent registered public accounting firm for the year ending December 31, 2018 and until the next annual general meeting of shareholders and to authorize the directors of Civeo, acting through the Audit Committee, to determine the remuneration to be paid to Ernst &amp; Young LLP for 2018:</w:t>
      </w:r>
    </w:p>
    <w:p>
      <w:pPr>
        <w:spacing w:after="0" w:line="177" w:lineRule="exact"/>
        <w:rPr>
          <w:sz w:val="20"/>
          <w:szCs w:val="20"/>
          <w:color w:val="auto"/>
        </w:rPr>
      </w:pPr>
    </w:p>
    <w:tbl>
      <w:tblPr>
        <w:tblLayout w:type="fixed"/>
        <w:tblInd w:w="2160" w:type="dxa"/>
        <w:tblCellMar>
          <w:top w:w="0" w:type="dxa"/>
          <w:left w:w="0" w:type="dxa"/>
          <w:bottom w:w="0" w:type="dxa"/>
          <w:right w:w="0" w:type="dxa"/>
        </w:tblCellMar>
      </w:tblPr>
      <w:tr>
        <w:trPr>
          <w:trHeight w:val="234"/>
        </w:trPr>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24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Withheld</w:t>
            </w:r>
          </w:p>
        </w:tc>
        <w:tc>
          <w:tcPr>
            <w:tcW w:w="34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10"/>
        </w:trPr>
        <w:tc>
          <w:tcPr>
            <w:tcW w:w="20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122,402,873</w:t>
            </w:r>
          </w:p>
        </w:tc>
        <w:tc>
          <w:tcPr>
            <w:tcW w:w="252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104,852</w:t>
            </w:r>
          </w:p>
        </w:tc>
        <w:tc>
          <w:tcPr>
            <w:tcW w:w="2580" w:type="dxa"/>
            <w:vAlign w:val="bottom"/>
            <w:gridSpan w:val="2"/>
            <w:shd w:val="clear" w:color="auto" w:fill="CCEEFF"/>
          </w:tcPr>
          <w:p>
            <w:pPr>
              <w:jc w:val="right"/>
              <w:ind w:right="1010"/>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Proposal 3 - To approve, on an advisory basis, the compensation of the named executive officers:</w:t>
      </w:r>
    </w:p>
    <w:p>
      <w:pPr>
        <w:spacing w:after="0" w:line="221"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360" w:type="dxa"/>
            <w:vAlign w:val="bottom"/>
          </w:tcPr>
          <w:p>
            <w:pPr>
              <w:spacing w:after="0"/>
              <w:rPr>
                <w:sz w:val="20"/>
                <w:szCs w:val="20"/>
                <w:color w:val="auto"/>
              </w:rPr>
            </w:pPr>
          </w:p>
        </w:tc>
        <w:tc>
          <w:tcPr>
            <w:tcW w:w="2640" w:type="dxa"/>
            <w:vAlign w:val="bottom"/>
            <w:tcBorders>
              <w:bottom w:val="single" w:sz="8" w:color="auto"/>
            </w:tcBorders>
          </w:tcPr>
          <w:p>
            <w:pPr>
              <w:ind w:left="1000"/>
              <w:spacing w:after="0"/>
              <w:rPr>
                <w:sz w:val="20"/>
                <w:szCs w:val="20"/>
                <w:color w:val="auto"/>
              </w:rPr>
            </w:pPr>
            <w:r>
              <w:rPr>
                <w:rFonts w:ascii="Arial" w:cs="Arial" w:eastAsia="Arial" w:hAnsi="Arial"/>
                <w:sz w:val="18"/>
                <w:szCs w:val="18"/>
                <w:b w:val="1"/>
                <w:bCs w:val="1"/>
                <w:color w:val="auto"/>
              </w:rPr>
              <w:t>Against</w:t>
            </w:r>
          </w:p>
        </w:tc>
        <w:tc>
          <w:tcPr>
            <w:tcW w:w="440" w:type="dxa"/>
            <w:vAlign w:val="bottom"/>
          </w:tcPr>
          <w:p>
            <w:pPr>
              <w:spacing w:after="0"/>
              <w:rPr>
                <w:sz w:val="20"/>
                <w:szCs w:val="20"/>
                <w:color w:val="auto"/>
              </w:rPr>
            </w:pPr>
          </w:p>
        </w:tc>
        <w:tc>
          <w:tcPr>
            <w:tcW w:w="22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0"/>
              </w:rPr>
              <w:t>Abstain</w:t>
            </w:r>
          </w:p>
        </w:tc>
        <w:tc>
          <w:tcPr>
            <w:tcW w:w="294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0"/>
              </w:rPr>
              <w:t>Broker Non-Votes</w:t>
            </w:r>
          </w:p>
        </w:tc>
      </w:tr>
      <w:tr>
        <w:trPr>
          <w:trHeight w:val="210"/>
        </w:trPr>
        <w:tc>
          <w:tcPr>
            <w:tcW w:w="20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96,315,032</w:t>
            </w:r>
          </w:p>
        </w:tc>
        <w:tc>
          <w:tcPr>
            <w:tcW w:w="300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537,155</w:t>
            </w:r>
          </w:p>
        </w:tc>
        <w:tc>
          <w:tcPr>
            <w:tcW w:w="264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3,007,881</w:t>
            </w:r>
          </w:p>
        </w:tc>
        <w:tc>
          <w:tcPr>
            <w:tcW w:w="294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22,647,656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Proposal 4 - To approve an amendment to the Plan to increase the number of shares available for issuance thereunder by 4,700,000 shares: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360" w:type="dxa"/>
            <w:vAlign w:val="bottom"/>
          </w:tcPr>
          <w:p>
            <w:pPr>
              <w:spacing w:after="0"/>
              <w:rPr>
                <w:sz w:val="20"/>
                <w:szCs w:val="20"/>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Against</w:t>
            </w:r>
          </w:p>
        </w:tc>
        <w:tc>
          <w:tcPr>
            <w:tcW w:w="440" w:type="dxa"/>
            <w:vAlign w:val="bottom"/>
          </w:tcPr>
          <w:p>
            <w:pPr>
              <w:spacing w:after="0"/>
              <w:rPr>
                <w:sz w:val="20"/>
                <w:szCs w:val="20"/>
                <w:color w:val="auto"/>
              </w:rPr>
            </w:pPr>
          </w:p>
        </w:tc>
        <w:tc>
          <w:tcPr>
            <w:tcW w:w="21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Abstain</w:t>
            </w:r>
          </w:p>
        </w:tc>
        <w:tc>
          <w:tcPr>
            <w:tcW w:w="29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0"/>
              </w:rPr>
              <w:t>Broker Non-Votes</w:t>
            </w:r>
          </w:p>
        </w:tc>
        <w:tc>
          <w:tcPr>
            <w:tcW w:w="400" w:type="dxa"/>
            <w:vAlign w:val="bottom"/>
          </w:tcPr>
          <w:p>
            <w:pPr>
              <w:spacing w:after="0"/>
              <w:rPr>
                <w:sz w:val="20"/>
                <w:szCs w:val="20"/>
                <w:color w:val="auto"/>
              </w:rPr>
            </w:pPr>
          </w:p>
        </w:tc>
      </w:tr>
      <w:tr>
        <w:trPr>
          <w:trHeight w:val="210"/>
        </w:trPr>
        <w:tc>
          <w:tcPr>
            <w:tcW w:w="420" w:type="dxa"/>
            <w:vAlign w:val="bottom"/>
          </w:tcPr>
          <w:p>
            <w:pPr>
              <w:spacing w:after="0"/>
              <w:rPr>
                <w:sz w:val="18"/>
                <w:szCs w:val="18"/>
                <w:color w:val="auto"/>
              </w:rPr>
            </w:pPr>
          </w:p>
        </w:tc>
        <w:tc>
          <w:tcPr>
            <w:tcW w:w="20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98,313,611</w:t>
            </w:r>
          </w:p>
        </w:tc>
        <w:tc>
          <w:tcPr>
            <w:tcW w:w="300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1,509,442</w:t>
            </w:r>
          </w:p>
        </w:tc>
        <w:tc>
          <w:tcPr>
            <w:tcW w:w="262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37,017</w:t>
            </w:r>
          </w:p>
        </w:tc>
        <w:tc>
          <w:tcPr>
            <w:tcW w:w="29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22,647,656</w:t>
            </w:r>
          </w:p>
        </w:tc>
        <w:tc>
          <w:tcPr>
            <w:tcW w:w="400" w:type="dxa"/>
            <w:vAlign w:val="bottom"/>
          </w:tcPr>
          <w:p>
            <w:pPr>
              <w:spacing w:after="0"/>
              <w:rPr>
                <w:sz w:val="18"/>
                <w:szCs w:val="18"/>
                <w:color w:val="auto"/>
              </w:rPr>
            </w:pPr>
          </w:p>
        </w:tc>
      </w:tr>
      <w:tr>
        <w:trPr>
          <w:trHeight w:val="574"/>
        </w:trPr>
        <w:tc>
          <w:tcPr>
            <w:tcW w:w="4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Dated: May 16, 2018</w:t>
      </w:r>
    </w:p>
    <w:p>
      <w:pPr>
        <w:spacing w:after="0" w:line="221"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CIVEO CORPORATION</w:t>
      </w:r>
    </w:p>
    <w:p>
      <w:pPr>
        <w:spacing w:after="0" w:line="200" w:lineRule="exact"/>
        <w:rPr>
          <w:sz w:val="20"/>
          <w:szCs w:val="20"/>
          <w:color w:val="auto"/>
        </w:rPr>
      </w:pPr>
    </w:p>
    <w:p>
      <w:pPr>
        <w:spacing w:after="0" w:line="245" w:lineRule="exact"/>
        <w:rPr>
          <w:sz w:val="20"/>
          <w:szCs w:val="20"/>
          <w:color w:val="auto"/>
        </w:rPr>
      </w:pPr>
    </w:p>
    <w:p>
      <w:pPr>
        <w:ind w:left="5700"/>
        <w:spacing w:after="0"/>
        <w:tabs>
          <w:tab w:leader="none" w:pos="6180" w:val="left"/>
        </w:tabs>
        <w:rPr>
          <w:sz w:val="20"/>
          <w:szCs w:val="20"/>
          <w:color w:val="auto"/>
        </w:rPr>
      </w:pPr>
      <w:r>
        <w:rPr>
          <w:rFonts w:ascii="Arial" w:cs="Arial" w:eastAsia="Arial" w:hAnsi="Arial"/>
          <w:sz w:val="18"/>
          <w:szCs w:val="18"/>
          <w:color w:val="auto"/>
        </w:rPr>
        <w:t>By:</w:t>
        <w:tab/>
        <w:t>/s/ Frank C. Steininger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25298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Executive Vice President, Chief Financial</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Officer and Treasurer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2019-12-08T08:49:15Z</dcterms:created>
  <dcterms:modified xsi:type="dcterms:W3CDTF">2019-12-08T08:49:15Z</dcterms:modified>
</cp:coreProperties>
</file>