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(Amendment No. 1)</w:t>
      </w:r>
    </w:p>
    <w:p>
      <w:pPr>
        <w:spacing w:after="0" w:line="290"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right"/>
        <w:ind w:right="71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RULES 13d-1(b), (c) AND (d) AND AMENDMENTS THERETO FILED</w:t>
      </w:r>
    </w:p>
    <w:p>
      <w:pPr>
        <w:jc w:val="center"/>
        <w:ind w:right="-1100"/>
        <w:spacing w:after="0"/>
        <w:rPr>
          <w:sz w:val="20"/>
          <w:szCs w:val="20"/>
          <w:color w:val="auto"/>
        </w:rPr>
      </w:pPr>
      <w:r>
        <w:rPr>
          <w:rFonts w:ascii="Arial" w:cs="Arial" w:eastAsia="Arial" w:hAnsi="Arial"/>
          <w:sz w:val="22"/>
          <w:szCs w:val="22"/>
          <w:b w:val="1"/>
          <w:bCs w:val="1"/>
          <w:color w:val="auto"/>
        </w:rPr>
        <w:t>PURSUANT TO RULE 13d-2(b)</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(Name of Issuer)</w:t>
      </w: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Common Shares, no par value per share</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(Title of Class of Securities)</w:t>
      </w: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17878Y207</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(CUSIP Number)</w:t>
      </w: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December 31, 2021</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9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9"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2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22"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Prescott Group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364"/>
        <w:spacing w:after="0"/>
        <w:tabs>
          <w:tab w:leader="none" w:pos="1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9" w:lineRule="exact"/>
        <w:rPr>
          <w:sz w:val="20"/>
          <w:szCs w:val="20"/>
          <w:color w:val="auto"/>
        </w:rPr>
      </w:pPr>
    </w:p>
    <w:p>
      <w:pPr>
        <w:ind w:left="1480"/>
        <w:spacing w:after="0" w:line="253" w:lineRule="exact"/>
        <w:tabs>
          <w:tab w:leader="none" w:pos="242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 xml:space="preserve">(b)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0"/>
          <w:szCs w:val="20"/>
          <w:color w:val="auto"/>
        </w:rPr>
      </w:pPr>
    </w:p>
    <w:p>
      <w:pPr>
        <w:ind w:left="1480" w:hanging="1364"/>
        <w:spacing w:after="0"/>
        <w:tabs>
          <w:tab w:leader="none" w:pos="1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State of Oklahoma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Arial" w:cs="Arial" w:eastAsia="Arial" w:hAnsi="Arial"/>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325"/>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Arial" w:cs="Arial" w:eastAsia="Arial" w:hAnsi="Arial"/>
                <w:sz w:val="22"/>
                <w:szCs w:val="22"/>
                <w:color w:val="auto"/>
                <w:w w:val="95"/>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0"/>
              </w:rPr>
              <w:t>SHARES</w:t>
            </w:r>
          </w:p>
        </w:tc>
        <w:tc>
          <w:tcPr>
            <w:tcW w:w="780" w:type="dxa"/>
            <w:vAlign w:val="bottom"/>
            <w:tcBorders>
              <w:bottom w:val="single" w:sz="8" w:color="auto"/>
            </w:tcBorders>
          </w:tcPr>
          <w:p>
            <w:pPr>
              <w:spacing w:after="0"/>
              <w:rPr>
                <w:sz w:val="9"/>
                <w:szCs w:val="9"/>
                <w:color w:val="auto"/>
              </w:rPr>
            </w:pPr>
          </w:p>
        </w:tc>
        <w:tc>
          <w:tcPr>
            <w:tcW w:w="8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22"/>
                <w:szCs w:val="22"/>
                <w:color w:val="auto"/>
              </w:rPr>
              <w:t>6</w:t>
            </w: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3"/>
                <w:szCs w:val="13"/>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9"/>
              </w:rPr>
              <w:t>BENEFICIALLY</w:t>
            </w:r>
          </w:p>
        </w:tc>
        <w:tc>
          <w:tcPr>
            <w:tcW w:w="780" w:type="dxa"/>
            <w:vAlign w:val="bottom"/>
            <w:vMerge w:val="continue"/>
          </w:tcPr>
          <w:p>
            <w:pPr>
              <w:spacing w:after="0"/>
              <w:rPr>
                <w:sz w:val="13"/>
                <w:szCs w:val="13"/>
                <w:color w:val="auto"/>
              </w:rPr>
            </w:pPr>
          </w:p>
        </w:tc>
        <w:tc>
          <w:tcPr>
            <w:tcW w:w="8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8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Arial" w:cs="Arial" w:eastAsia="Arial" w:hAnsi="Arial"/>
                <w:sz w:val="22"/>
                <w:szCs w:val="22"/>
                <w:color w:val="auto"/>
                <w:w w:val="96"/>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4"/>
              </w:rPr>
              <w:t>EACH</w:t>
            </w:r>
          </w:p>
        </w:tc>
        <w:tc>
          <w:tcPr>
            <w:tcW w:w="780" w:type="dxa"/>
            <w:vAlign w:val="bottom"/>
            <w:tcBorders>
              <w:bottom w:val="single" w:sz="8" w:color="auto"/>
            </w:tcBorders>
          </w:tcPr>
          <w:p>
            <w:pPr>
              <w:spacing w:after="0"/>
              <w:rPr>
                <w:sz w:val="11"/>
                <w:szCs w:val="11"/>
                <w:color w:val="auto"/>
              </w:rPr>
            </w:pPr>
          </w:p>
        </w:tc>
        <w:tc>
          <w:tcPr>
            <w:tcW w:w="8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22"/>
                <w:szCs w:val="22"/>
                <w:color w:val="auto"/>
              </w:rPr>
              <w:t>7</w:t>
            </w: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2020" w:type="dxa"/>
            <w:vAlign w:val="bottom"/>
            <w:vMerge w:val="restart"/>
          </w:tcPr>
          <w:p>
            <w:pPr>
              <w:jc w:val="center"/>
              <w:ind w:right="152"/>
              <w:spacing w:after="0" w:line="243" w:lineRule="exact"/>
              <w:rPr>
                <w:sz w:val="20"/>
                <w:szCs w:val="20"/>
                <w:color w:val="auto"/>
              </w:rPr>
            </w:pPr>
            <w:r>
              <w:rPr>
                <w:rFonts w:ascii="Arial" w:cs="Arial" w:eastAsia="Arial" w:hAnsi="Arial"/>
                <w:sz w:val="22"/>
                <w:szCs w:val="22"/>
                <w:color w:val="auto"/>
                <w:w w:val="91"/>
              </w:rPr>
              <w:t>REPORTING</w:t>
            </w: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6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88"/>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2020" w:type="dxa"/>
            <w:vAlign w:val="bottom"/>
            <w:vMerge w:val="restart"/>
          </w:tcPr>
          <w:p>
            <w:pPr>
              <w:jc w:val="center"/>
              <w:ind w:right="132"/>
              <w:spacing w:after="0"/>
              <w:rPr>
                <w:sz w:val="20"/>
                <w:szCs w:val="20"/>
                <w:color w:val="auto"/>
              </w:rPr>
            </w:pPr>
            <w:r>
              <w:rPr>
                <w:rFonts w:ascii="Arial" w:cs="Arial" w:eastAsia="Arial" w:hAnsi="Arial"/>
                <w:sz w:val="22"/>
                <w:szCs w:val="22"/>
                <w:color w:val="auto"/>
              </w:rPr>
              <w:t>WITH</w:t>
            </w:r>
          </w:p>
        </w:tc>
        <w:tc>
          <w:tcPr>
            <w:tcW w:w="780" w:type="dxa"/>
            <w:vAlign w:val="bottom"/>
            <w:tcBorders>
              <w:bottom w:val="single" w:sz="8" w:color="auto"/>
            </w:tcBorders>
          </w:tcPr>
          <w:p>
            <w:pPr>
              <w:spacing w:after="0"/>
              <w:rPr>
                <w:sz w:val="11"/>
                <w:szCs w:val="11"/>
                <w:color w:val="auto"/>
              </w:rPr>
            </w:pPr>
          </w:p>
        </w:tc>
        <w:tc>
          <w:tcPr>
            <w:tcW w:w="8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22"/>
                <w:szCs w:val="22"/>
                <w:color w:val="auto"/>
              </w:rPr>
              <w:t>8</w:t>
            </w: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2"/>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9</w:t>
            </w:r>
          </w:p>
        </w:tc>
        <w:tc>
          <w:tcPr>
            <w:tcW w:w="10980" w:type="dxa"/>
            <w:vAlign w:val="bottom"/>
            <w:gridSpan w:val="3"/>
          </w:tcPr>
          <w:p>
            <w:pPr>
              <w:ind w:left="122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787,481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472"/>
        <w:spacing w:after="0"/>
        <w:tabs>
          <w:tab w:leader="none" w:pos="1480" w:val="left"/>
        </w:tabs>
        <w:numPr>
          <w:ilvl w:val="0"/>
          <w:numId w:val="7"/>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202" w:lineRule="exact"/>
        <w:rPr>
          <w:rFonts w:ascii="Arial" w:cs="Arial" w:eastAsia="Arial" w:hAnsi="Arial"/>
          <w:sz w:val="22"/>
          <w:szCs w:val="22"/>
          <w:color w:val="auto"/>
        </w:rPr>
      </w:pPr>
    </w:p>
    <w:p>
      <w:pPr>
        <w:ind w:left="1480"/>
        <w:spacing w:after="0" w:line="221" w:lineRule="exact"/>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107" w:lineRule="exact"/>
        <w:rPr>
          <w:rFonts w:ascii="Arial" w:cs="Arial" w:eastAsia="Arial" w:hAnsi="Arial"/>
          <w:sz w:val="22"/>
          <w:szCs w:val="22"/>
          <w:color w:val="auto"/>
        </w:rPr>
      </w:pPr>
    </w:p>
    <w:p>
      <w:pPr>
        <w:ind w:left="1480" w:right="3840" w:hanging="1472"/>
        <w:spacing w:after="0" w:line="352" w:lineRule="auto"/>
        <w:tabs>
          <w:tab w:leader="none" w:pos="148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5.5% (1)**</w:t>
      </w:r>
    </w:p>
    <w:p>
      <w:pPr>
        <w:ind w:left="1480" w:right="6640" w:hanging="1472"/>
        <w:spacing w:after="0" w:line="471" w:lineRule="auto"/>
        <w:tabs>
          <w:tab w:leader="none" w:pos="14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 w:hanging="412"/>
        <w:spacing w:after="0"/>
        <w:tabs>
          <w:tab w:leader="none" w:pos="42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numbers and percentage above reflect the beneficial ownership of the reporting person as of December 31, 2021.</w:t>
      </w:r>
    </w:p>
    <w:p>
      <w:pPr>
        <w:spacing w:after="0" w:line="42" w:lineRule="exact"/>
        <w:rPr>
          <w:rFonts w:ascii="Arial" w:cs="Arial" w:eastAsia="Arial" w:hAnsi="Arial"/>
          <w:sz w:val="19"/>
          <w:szCs w:val="19"/>
          <w:color w:val="auto"/>
        </w:rPr>
      </w:pPr>
    </w:p>
    <w:p>
      <w:pPr>
        <w:ind w:right="6500"/>
        <w:spacing w:after="0" w:line="236" w:lineRule="auto"/>
        <w:rPr>
          <w:rFonts w:ascii="Arial" w:cs="Arial" w:eastAsia="Arial" w:hAnsi="Arial"/>
          <w:sz w:val="19"/>
          <w:szCs w:val="19"/>
          <w:color w:val="auto"/>
        </w:rPr>
      </w:pPr>
      <w:r>
        <w:rPr>
          <w:rFonts w:ascii="Arial" w:cs="Arial" w:eastAsia="Arial" w:hAnsi="Arial"/>
          <w:sz w:val="22"/>
          <w:szCs w:val="22"/>
          <w:color w:val="auto"/>
        </w:rPr>
        <w:t>* 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9"/>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Prescott Group Aggressive Small Cap,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364"/>
        <w:spacing w:after="0"/>
        <w:tabs>
          <w:tab w:leader="none" w:pos="14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9" w:lineRule="exact"/>
        <w:rPr>
          <w:sz w:val="20"/>
          <w:szCs w:val="20"/>
          <w:color w:val="auto"/>
        </w:rPr>
      </w:pPr>
    </w:p>
    <w:p>
      <w:pPr>
        <w:ind w:left="1480"/>
        <w:spacing w:after="0" w:line="253" w:lineRule="exact"/>
        <w:tabs>
          <w:tab w:leader="none" w:pos="242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 xml:space="preserve">(b)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0"/>
          <w:szCs w:val="20"/>
          <w:color w:val="auto"/>
        </w:rPr>
      </w:pPr>
    </w:p>
    <w:p>
      <w:pPr>
        <w:ind w:left="1480" w:hanging="1364"/>
        <w:spacing w:after="0"/>
        <w:tabs>
          <w:tab w:leader="none" w:pos="14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State of Oklahoma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172"/>
              <w:spacing w:after="0"/>
              <w:rPr>
                <w:sz w:val="20"/>
                <w:szCs w:val="20"/>
                <w:color w:val="auto"/>
              </w:rPr>
            </w:pPr>
            <w:r>
              <w:rPr>
                <w:rFonts w:ascii="Arial" w:cs="Arial" w:eastAsia="Arial" w:hAnsi="Arial"/>
                <w:sz w:val="22"/>
                <w:szCs w:val="22"/>
                <w:color w:val="auto"/>
              </w:rPr>
              <w:t>5</w:t>
            </w:r>
          </w:p>
        </w:tc>
        <w:tc>
          <w:tcPr>
            <w:tcW w:w="8000" w:type="dxa"/>
            <w:vAlign w:val="bottom"/>
            <w:tcBorders>
              <w:top w:val="single" w:sz="8" w:color="auto"/>
            </w:tcBorders>
          </w:tcPr>
          <w:p>
            <w:pPr>
              <w:ind w:left="26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325"/>
        </w:trPr>
        <w:tc>
          <w:tcPr>
            <w:tcW w:w="240" w:type="dxa"/>
            <w:vAlign w:val="bottom"/>
          </w:tcPr>
          <w:p>
            <w:pPr>
              <w:spacing w:after="0"/>
              <w:rPr>
                <w:sz w:val="24"/>
                <w:szCs w:val="24"/>
                <w:color w:val="auto"/>
              </w:rPr>
            </w:pPr>
          </w:p>
        </w:tc>
        <w:tc>
          <w:tcPr>
            <w:tcW w:w="1960" w:type="dxa"/>
            <w:vAlign w:val="bottom"/>
          </w:tcPr>
          <w:p>
            <w:pPr>
              <w:jc w:val="center"/>
              <w:ind w:right="112"/>
              <w:spacing w:after="0"/>
              <w:rPr>
                <w:sz w:val="20"/>
                <w:szCs w:val="20"/>
                <w:color w:val="auto"/>
              </w:rPr>
            </w:pPr>
            <w:r>
              <w:rPr>
                <w:rFonts w:ascii="Arial" w:cs="Arial" w:eastAsia="Arial" w:hAnsi="Arial"/>
                <w:sz w:val="22"/>
                <w:szCs w:val="22"/>
                <w:color w:val="auto"/>
                <w:w w:val="95"/>
              </w:rPr>
              <w:t>NUMBER OF</w:t>
            </w:r>
          </w:p>
        </w:tc>
        <w:tc>
          <w:tcPr>
            <w:tcW w:w="1040" w:type="dxa"/>
            <w:vAlign w:val="bottom"/>
          </w:tcPr>
          <w:p>
            <w:pPr>
              <w:spacing w:after="0"/>
              <w:rPr>
                <w:sz w:val="24"/>
                <w:szCs w:val="24"/>
                <w:color w:val="auto"/>
              </w:rPr>
            </w:pPr>
          </w:p>
        </w:tc>
        <w:tc>
          <w:tcPr>
            <w:tcW w:w="8000" w:type="dxa"/>
            <w:vAlign w:val="bottom"/>
            <w:vMerge w:val="restart"/>
          </w:tcPr>
          <w:p>
            <w:pPr>
              <w:ind w:left="2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9"/>
        </w:trPr>
        <w:tc>
          <w:tcPr>
            <w:tcW w:w="240" w:type="dxa"/>
            <w:vAlign w:val="bottom"/>
          </w:tcPr>
          <w:p>
            <w:pPr>
              <w:spacing w:after="0"/>
              <w:rPr>
                <w:sz w:val="9"/>
                <w:szCs w:val="9"/>
                <w:color w:val="auto"/>
              </w:rPr>
            </w:pPr>
          </w:p>
        </w:tc>
        <w:tc>
          <w:tcPr>
            <w:tcW w:w="1960" w:type="dxa"/>
            <w:vAlign w:val="bottom"/>
            <w:vMerge w:val="restart"/>
          </w:tcPr>
          <w:p>
            <w:pPr>
              <w:jc w:val="center"/>
              <w:ind w:right="112"/>
              <w:spacing w:after="0" w:line="243" w:lineRule="exact"/>
              <w:rPr>
                <w:sz w:val="20"/>
                <w:szCs w:val="20"/>
                <w:color w:val="auto"/>
              </w:rPr>
            </w:pPr>
            <w:r>
              <w:rPr>
                <w:rFonts w:ascii="Arial" w:cs="Arial" w:eastAsia="Arial" w:hAnsi="Arial"/>
                <w:sz w:val="22"/>
                <w:szCs w:val="22"/>
                <w:color w:val="auto"/>
                <w:w w:val="90"/>
              </w:rPr>
              <w:t>SHARES</w:t>
            </w:r>
          </w:p>
        </w:tc>
        <w:tc>
          <w:tcPr>
            <w:tcW w:w="1040" w:type="dxa"/>
            <w:vAlign w:val="bottom"/>
            <w:tcBorders>
              <w:bottom w:val="single" w:sz="8" w:color="auto"/>
            </w:tcBorders>
          </w:tcPr>
          <w:p>
            <w:pPr>
              <w:spacing w:after="0"/>
              <w:rPr>
                <w:sz w:val="9"/>
                <w:szCs w:val="9"/>
                <w:color w:val="auto"/>
              </w:rPr>
            </w:pPr>
          </w:p>
        </w:tc>
        <w:tc>
          <w:tcPr>
            <w:tcW w:w="80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1040" w:type="dxa"/>
            <w:vAlign w:val="bottom"/>
            <w:vMerge w:val="restart"/>
          </w:tcPr>
          <w:p>
            <w:pPr>
              <w:jc w:val="right"/>
              <w:ind w:right="172"/>
              <w:spacing w:after="0"/>
              <w:rPr>
                <w:sz w:val="20"/>
                <w:szCs w:val="20"/>
                <w:color w:val="auto"/>
              </w:rPr>
            </w:pPr>
            <w:r>
              <w:rPr>
                <w:rFonts w:ascii="Arial" w:cs="Arial" w:eastAsia="Arial" w:hAnsi="Arial"/>
                <w:sz w:val="22"/>
                <w:szCs w:val="22"/>
                <w:color w:val="auto"/>
              </w:rPr>
              <w:t>6</w:t>
            </w:r>
          </w:p>
        </w:tc>
        <w:tc>
          <w:tcPr>
            <w:tcW w:w="8000" w:type="dxa"/>
            <w:vAlign w:val="bottom"/>
            <w:vMerge w:val="restart"/>
          </w:tcPr>
          <w:p>
            <w:pPr>
              <w:ind w:left="26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61"/>
        </w:trPr>
        <w:tc>
          <w:tcPr>
            <w:tcW w:w="240" w:type="dxa"/>
            <w:vAlign w:val="bottom"/>
          </w:tcPr>
          <w:p>
            <w:pPr>
              <w:spacing w:after="0"/>
              <w:rPr>
                <w:sz w:val="13"/>
                <w:szCs w:val="13"/>
                <w:color w:val="auto"/>
              </w:rPr>
            </w:pPr>
          </w:p>
        </w:tc>
        <w:tc>
          <w:tcPr>
            <w:tcW w:w="1960" w:type="dxa"/>
            <w:vAlign w:val="bottom"/>
            <w:vMerge w:val="restart"/>
          </w:tcPr>
          <w:p>
            <w:pPr>
              <w:jc w:val="center"/>
              <w:ind w:right="112"/>
              <w:spacing w:after="0" w:line="243" w:lineRule="exact"/>
              <w:rPr>
                <w:sz w:val="20"/>
                <w:szCs w:val="20"/>
                <w:color w:val="auto"/>
              </w:rPr>
            </w:pPr>
            <w:r>
              <w:rPr>
                <w:rFonts w:ascii="Arial" w:cs="Arial" w:eastAsia="Arial" w:hAnsi="Arial"/>
                <w:sz w:val="22"/>
                <w:szCs w:val="22"/>
                <w:color w:val="auto"/>
                <w:w w:val="99"/>
              </w:rPr>
              <w:t>BENEFICIALLY</w:t>
            </w:r>
          </w:p>
        </w:tc>
        <w:tc>
          <w:tcPr>
            <w:tcW w:w="1040" w:type="dxa"/>
            <w:vAlign w:val="bottom"/>
            <w:vMerge w:val="continue"/>
          </w:tcPr>
          <w:p>
            <w:pPr>
              <w:spacing w:after="0"/>
              <w:rPr>
                <w:sz w:val="13"/>
                <w:szCs w:val="13"/>
                <w:color w:val="auto"/>
              </w:rPr>
            </w:pPr>
          </w:p>
        </w:tc>
        <w:tc>
          <w:tcPr>
            <w:tcW w:w="8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8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96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6"/>
              </w:rPr>
              <w:t>OWNED BY</w:t>
            </w:r>
          </w:p>
        </w:tc>
        <w:tc>
          <w:tcPr>
            <w:tcW w:w="1040" w:type="dxa"/>
            <w:vAlign w:val="bottom"/>
          </w:tcPr>
          <w:p>
            <w:pPr>
              <w:spacing w:after="0"/>
              <w:rPr>
                <w:sz w:val="21"/>
                <w:szCs w:val="21"/>
                <w:color w:val="auto"/>
              </w:rPr>
            </w:pPr>
          </w:p>
        </w:tc>
        <w:tc>
          <w:tcPr>
            <w:tcW w:w="8000" w:type="dxa"/>
            <w:vAlign w:val="bottom"/>
            <w:vMerge w:val="restart"/>
          </w:tcPr>
          <w:p>
            <w:pPr>
              <w:ind w:left="26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960" w:type="dxa"/>
            <w:vAlign w:val="bottom"/>
            <w:vMerge w:val="restart"/>
          </w:tcPr>
          <w:p>
            <w:pPr>
              <w:jc w:val="center"/>
              <w:ind w:right="112"/>
              <w:spacing w:after="0" w:line="243" w:lineRule="exact"/>
              <w:rPr>
                <w:sz w:val="20"/>
                <w:szCs w:val="20"/>
                <w:color w:val="auto"/>
              </w:rPr>
            </w:pPr>
            <w:r>
              <w:rPr>
                <w:rFonts w:ascii="Arial" w:cs="Arial" w:eastAsia="Arial" w:hAnsi="Arial"/>
                <w:sz w:val="22"/>
                <w:szCs w:val="22"/>
                <w:color w:val="auto"/>
                <w:w w:val="94"/>
              </w:rPr>
              <w:t>EACH</w:t>
            </w:r>
          </w:p>
        </w:tc>
        <w:tc>
          <w:tcPr>
            <w:tcW w:w="1040" w:type="dxa"/>
            <w:vAlign w:val="bottom"/>
            <w:tcBorders>
              <w:bottom w:val="single" w:sz="8" w:color="auto"/>
            </w:tcBorders>
          </w:tcPr>
          <w:p>
            <w:pPr>
              <w:spacing w:after="0"/>
              <w:rPr>
                <w:sz w:val="11"/>
                <w:szCs w:val="11"/>
                <w:color w:val="auto"/>
              </w:rPr>
            </w:pPr>
          </w:p>
        </w:tc>
        <w:tc>
          <w:tcPr>
            <w:tcW w:w="8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040" w:type="dxa"/>
            <w:vAlign w:val="bottom"/>
            <w:vMerge w:val="restart"/>
          </w:tcPr>
          <w:p>
            <w:pPr>
              <w:jc w:val="right"/>
              <w:ind w:right="172"/>
              <w:spacing w:after="0"/>
              <w:rPr>
                <w:sz w:val="20"/>
                <w:szCs w:val="20"/>
                <w:color w:val="auto"/>
              </w:rPr>
            </w:pPr>
            <w:r>
              <w:rPr>
                <w:rFonts w:ascii="Arial" w:cs="Arial" w:eastAsia="Arial" w:hAnsi="Arial"/>
                <w:sz w:val="22"/>
                <w:szCs w:val="22"/>
                <w:color w:val="auto"/>
              </w:rPr>
              <w:t>7</w:t>
            </w:r>
          </w:p>
        </w:tc>
        <w:tc>
          <w:tcPr>
            <w:tcW w:w="8000" w:type="dxa"/>
            <w:vAlign w:val="bottom"/>
            <w:vMerge w:val="restart"/>
          </w:tcPr>
          <w:p>
            <w:pPr>
              <w:ind w:left="26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196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1"/>
              </w:rPr>
              <w:t>REPORTING</w:t>
            </w:r>
          </w:p>
        </w:tc>
        <w:tc>
          <w:tcPr>
            <w:tcW w:w="1040" w:type="dxa"/>
            <w:vAlign w:val="bottom"/>
            <w:vMerge w:val="continue"/>
          </w:tcPr>
          <w:p>
            <w:pPr>
              <w:spacing w:after="0"/>
              <w:rPr>
                <w:sz w:val="16"/>
                <w:szCs w:val="16"/>
                <w:color w:val="auto"/>
              </w:rPr>
            </w:pPr>
          </w:p>
        </w:tc>
        <w:tc>
          <w:tcPr>
            <w:tcW w:w="8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8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960" w:type="dxa"/>
            <w:vAlign w:val="bottom"/>
          </w:tcPr>
          <w:p>
            <w:pPr>
              <w:jc w:val="center"/>
              <w:ind w:right="112"/>
              <w:spacing w:after="0" w:line="243" w:lineRule="exact"/>
              <w:rPr>
                <w:sz w:val="20"/>
                <w:szCs w:val="20"/>
                <w:color w:val="auto"/>
              </w:rPr>
            </w:pPr>
            <w:r>
              <w:rPr>
                <w:rFonts w:ascii="Arial" w:cs="Arial" w:eastAsia="Arial" w:hAnsi="Arial"/>
                <w:sz w:val="22"/>
                <w:szCs w:val="22"/>
                <w:color w:val="auto"/>
                <w:w w:val="88"/>
              </w:rPr>
              <w:t>PERSON</w:t>
            </w:r>
          </w:p>
        </w:tc>
        <w:tc>
          <w:tcPr>
            <w:tcW w:w="1040" w:type="dxa"/>
            <w:vAlign w:val="bottom"/>
          </w:tcPr>
          <w:p>
            <w:pPr>
              <w:spacing w:after="0"/>
              <w:rPr>
                <w:sz w:val="21"/>
                <w:szCs w:val="21"/>
                <w:color w:val="auto"/>
              </w:rPr>
            </w:pPr>
          </w:p>
        </w:tc>
        <w:tc>
          <w:tcPr>
            <w:tcW w:w="8000" w:type="dxa"/>
            <w:vAlign w:val="bottom"/>
            <w:vMerge w:val="restart"/>
          </w:tcPr>
          <w:p>
            <w:pPr>
              <w:ind w:left="2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1960" w:type="dxa"/>
            <w:vAlign w:val="bottom"/>
            <w:vMerge w:val="restart"/>
          </w:tcPr>
          <w:p>
            <w:pPr>
              <w:jc w:val="center"/>
              <w:ind w:right="112"/>
              <w:spacing w:after="0"/>
              <w:rPr>
                <w:sz w:val="20"/>
                <w:szCs w:val="20"/>
                <w:color w:val="auto"/>
              </w:rPr>
            </w:pPr>
            <w:r>
              <w:rPr>
                <w:rFonts w:ascii="Arial" w:cs="Arial" w:eastAsia="Arial" w:hAnsi="Arial"/>
                <w:sz w:val="22"/>
                <w:szCs w:val="22"/>
                <w:color w:val="auto"/>
              </w:rPr>
              <w:t>WITH</w:t>
            </w:r>
          </w:p>
        </w:tc>
        <w:tc>
          <w:tcPr>
            <w:tcW w:w="1040" w:type="dxa"/>
            <w:vAlign w:val="bottom"/>
            <w:tcBorders>
              <w:bottom w:val="single" w:sz="8" w:color="auto"/>
            </w:tcBorders>
          </w:tcPr>
          <w:p>
            <w:pPr>
              <w:spacing w:after="0"/>
              <w:rPr>
                <w:sz w:val="11"/>
                <w:szCs w:val="11"/>
                <w:color w:val="auto"/>
              </w:rPr>
            </w:pPr>
          </w:p>
        </w:tc>
        <w:tc>
          <w:tcPr>
            <w:tcW w:w="8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040" w:type="dxa"/>
            <w:vAlign w:val="bottom"/>
            <w:vMerge w:val="restart"/>
          </w:tcPr>
          <w:p>
            <w:pPr>
              <w:jc w:val="right"/>
              <w:ind w:right="172"/>
              <w:spacing w:after="0"/>
              <w:rPr>
                <w:sz w:val="20"/>
                <w:szCs w:val="20"/>
                <w:color w:val="auto"/>
              </w:rPr>
            </w:pPr>
            <w:r>
              <w:rPr>
                <w:rFonts w:ascii="Arial" w:cs="Arial" w:eastAsia="Arial" w:hAnsi="Arial"/>
                <w:sz w:val="22"/>
                <w:szCs w:val="22"/>
                <w:color w:val="auto"/>
              </w:rPr>
              <w:t>8</w:t>
            </w:r>
          </w:p>
        </w:tc>
        <w:tc>
          <w:tcPr>
            <w:tcW w:w="8000" w:type="dxa"/>
            <w:vAlign w:val="bottom"/>
            <w:vMerge w:val="restart"/>
          </w:tcPr>
          <w:p>
            <w:pPr>
              <w:ind w:left="26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2"/>
        </w:trPr>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274"/>
        </w:trPr>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9</w:t>
            </w:r>
          </w:p>
        </w:tc>
        <w:tc>
          <w:tcPr>
            <w:tcW w:w="11000" w:type="dxa"/>
            <w:vAlign w:val="bottom"/>
            <w:gridSpan w:val="3"/>
          </w:tcPr>
          <w:p>
            <w:pPr>
              <w:ind w:left="124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787,481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472"/>
        <w:spacing w:after="0"/>
        <w:tabs>
          <w:tab w:leader="none" w:pos="14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202" w:lineRule="exact"/>
        <w:rPr>
          <w:rFonts w:ascii="Arial" w:cs="Arial" w:eastAsia="Arial" w:hAnsi="Arial"/>
          <w:sz w:val="22"/>
          <w:szCs w:val="22"/>
          <w:color w:val="auto"/>
        </w:rPr>
      </w:pPr>
    </w:p>
    <w:p>
      <w:pPr>
        <w:ind w:left="1480"/>
        <w:spacing w:after="0" w:line="221" w:lineRule="exact"/>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107" w:lineRule="exact"/>
        <w:rPr>
          <w:rFonts w:ascii="Arial" w:cs="Arial" w:eastAsia="Arial" w:hAnsi="Arial"/>
          <w:sz w:val="22"/>
          <w:szCs w:val="22"/>
          <w:color w:val="auto"/>
        </w:rPr>
      </w:pPr>
    </w:p>
    <w:p>
      <w:pPr>
        <w:ind w:left="1480" w:right="3840" w:hanging="1472"/>
        <w:spacing w:after="0" w:line="352" w:lineRule="auto"/>
        <w:tabs>
          <w:tab w:leader="none" w:pos="14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REPRESENTED BY AMOUNT IN ROW 9 5.5% (1)**</w:t>
      </w:r>
    </w:p>
    <w:p>
      <w:pPr>
        <w:ind w:left="1480" w:right="6640" w:hanging="1472"/>
        <w:spacing w:after="0" w:line="471" w:lineRule="auto"/>
        <w:tabs>
          <w:tab w:leader="none" w:pos="14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 w:hanging="412"/>
        <w:spacing w:after="0"/>
        <w:tabs>
          <w:tab w:leader="none" w:pos="4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numbers and percentage above reflect the beneficial ownership of the reporting person as of December 31, 2021.</w:t>
      </w:r>
    </w:p>
    <w:p>
      <w:pPr>
        <w:spacing w:after="0" w:line="42" w:lineRule="exact"/>
        <w:rPr>
          <w:rFonts w:ascii="Arial" w:cs="Arial" w:eastAsia="Arial" w:hAnsi="Arial"/>
          <w:sz w:val="19"/>
          <w:szCs w:val="19"/>
          <w:color w:val="auto"/>
        </w:rPr>
      </w:pPr>
    </w:p>
    <w:p>
      <w:pPr>
        <w:ind w:right="6500"/>
        <w:spacing w:after="0" w:line="236" w:lineRule="auto"/>
        <w:rPr>
          <w:rFonts w:ascii="Arial" w:cs="Arial" w:eastAsia="Arial" w:hAnsi="Arial"/>
          <w:sz w:val="19"/>
          <w:szCs w:val="19"/>
          <w:color w:val="auto"/>
        </w:rPr>
      </w:pPr>
      <w:r>
        <w:rPr>
          <w:rFonts w:ascii="Arial" w:cs="Arial" w:eastAsia="Arial" w:hAnsi="Arial"/>
          <w:sz w:val="22"/>
          <w:szCs w:val="22"/>
          <w:color w:val="auto"/>
        </w:rPr>
        <w:t>* 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Prescott Group Aggressive Small Cap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364"/>
        <w:spacing w:after="0"/>
        <w:tabs>
          <w:tab w:leader="none" w:pos="14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9" w:lineRule="exact"/>
        <w:rPr>
          <w:sz w:val="20"/>
          <w:szCs w:val="20"/>
          <w:color w:val="auto"/>
        </w:rPr>
      </w:pPr>
    </w:p>
    <w:p>
      <w:pPr>
        <w:ind w:left="1480"/>
        <w:spacing w:after="0" w:line="253" w:lineRule="exact"/>
        <w:tabs>
          <w:tab w:leader="none" w:pos="242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 xml:space="preserve">(b)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0"/>
          <w:szCs w:val="20"/>
          <w:color w:val="auto"/>
        </w:rPr>
      </w:pPr>
    </w:p>
    <w:p>
      <w:pPr>
        <w:ind w:left="1480" w:hanging="1364"/>
        <w:spacing w:after="0"/>
        <w:tabs>
          <w:tab w:leader="none" w:pos="14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State of Oklahoma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Arial" w:cs="Arial" w:eastAsia="Arial" w:hAnsi="Arial"/>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325"/>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Arial" w:cs="Arial" w:eastAsia="Arial" w:hAnsi="Arial"/>
                <w:sz w:val="22"/>
                <w:szCs w:val="22"/>
                <w:color w:val="auto"/>
                <w:w w:val="95"/>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0"/>
              </w:rPr>
              <w:t>SHARES</w:t>
            </w:r>
          </w:p>
        </w:tc>
        <w:tc>
          <w:tcPr>
            <w:tcW w:w="780" w:type="dxa"/>
            <w:vAlign w:val="bottom"/>
            <w:tcBorders>
              <w:bottom w:val="single" w:sz="8" w:color="auto"/>
            </w:tcBorders>
          </w:tcPr>
          <w:p>
            <w:pPr>
              <w:spacing w:after="0"/>
              <w:rPr>
                <w:sz w:val="9"/>
                <w:szCs w:val="9"/>
                <w:color w:val="auto"/>
              </w:rPr>
            </w:pPr>
          </w:p>
        </w:tc>
        <w:tc>
          <w:tcPr>
            <w:tcW w:w="8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22"/>
                <w:szCs w:val="22"/>
                <w:color w:val="auto"/>
              </w:rPr>
              <w:t>6</w:t>
            </w: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3"/>
                <w:szCs w:val="13"/>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9"/>
              </w:rPr>
              <w:t>BENEFICIALLY</w:t>
            </w:r>
          </w:p>
        </w:tc>
        <w:tc>
          <w:tcPr>
            <w:tcW w:w="780" w:type="dxa"/>
            <w:vAlign w:val="bottom"/>
            <w:vMerge w:val="continue"/>
          </w:tcPr>
          <w:p>
            <w:pPr>
              <w:spacing w:after="0"/>
              <w:rPr>
                <w:sz w:val="13"/>
                <w:szCs w:val="13"/>
                <w:color w:val="auto"/>
              </w:rPr>
            </w:pPr>
          </w:p>
        </w:tc>
        <w:tc>
          <w:tcPr>
            <w:tcW w:w="8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8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Arial" w:cs="Arial" w:eastAsia="Arial" w:hAnsi="Arial"/>
                <w:sz w:val="22"/>
                <w:szCs w:val="22"/>
                <w:color w:val="auto"/>
                <w:w w:val="96"/>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4"/>
              </w:rPr>
              <w:t>EACH</w:t>
            </w:r>
          </w:p>
        </w:tc>
        <w:tc>
          <w:tcPr>
            <w:tcW w:w="780" w:type="dxa"/>
            <w:vAlign w:val="bottom"/>
            <w:tcBorders>
              <w:bottom w:val="single" w:sz="8" w:color="auto"/>
            </w:tcBorders>
          </w:tcPr>
          <w:p>
            <w:pPr>
              <w:spacing w:after="0"/>
              <w:rPr>
                <w:sz w:val="11"/>
                <w:szCs w:val="11"/>
                <w:color w:val="auto"/>
              </w:rPr>
            </w:pPr>
          </w:p>
        </w:tc>
        <w:tc>
          <w:tcPr>
            <w:tcW w:w="8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22"/>
                <w:szCs w:val="22"/>
                <w:color w:val="auto"/>
              </w:rPr>
              <w:t>7</w:t>
            </w: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2020" w:type="dxa"/>
            <w:vAlign w:val="bottom"/>
            <w:vMerge w:val="restart"/>
          </w:tcPr>
          <w:p>
            <w:pPr>
              <w:jc w:val="center"/>
              <w:ind w:right="152"/>
              <w:spacing w:after="0" w:line="243" w:lineRule="exact"/>
              <w:rPr>
                <w:sz w:val="20"/>
                <w:szCs w:val="20"/>
                <w:color w:val="auto"/>
              </w:rPr>
            </w:pPr>
            <w:r>
              <w:rPr>
                <w:rFonts w:ascii="Arial" w:cs="Arial" w:eastAsia="Arial" w:hAnsi="Arial"/>
                <w:sz w:val="22"/>
                <w:szCs w:val="22"/>
                <w:color w:val="auto"/>
                <w:w w:val="91"/>
              </w:rPr>
              <w:t>REPORTING</w:t>
            </w: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6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88"/>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2020" w:type="dxa"/>
            <w:vAlign w:val="bottom"/>
            <w:vMerge w:val="restart"/>
          </w:tcPr>
          <w:p>
            <w:pPr>
              <w:jc w:val="center"/>
              <w:ind w:right="132"/>
              <w:spacing w:after="0"/>
              <w:rPr>
                <w:sz w:val="20"/>
                <w:szCs w:val="20"/>
                <w:color w:val="auto"/>
              </w:rPr>
            </w:pPr>
            <w:r>
              <w:rPr>
                <w:rFonts w:ascii="Arial" w:cs="Arial" w:eastAsia="Arial" w:hAnsi="Arial"/>
                <w:sz w:val="22"/>
                <w:szCs w:val="22"/>
                <w:color w:val="auto"/>
              </w:rPr>
              <w:t>WITH</w:t>
            </w:r>
          </w:p>
        </w:tc>
        <w:tc>
          <w:tcPr>
            <w:tcW w:w="780" w:type="dxa"/>
            <w:vAlign w:val="bottom"/>
            <w:tcBorders>
              <w:bottom w:val="single" w:sz="8" w:color="auto"/>
            </w:tcBorders>
          </w:tcPr>
          <w:p>
            <w:pPr>
              <w:spacing w:after="0"/>
              <w:rPr>
                <w:sz w:val="11"/>
                <w:szCs w:val="11"/>
                <w:color w:val="auto"/>
              </w:rPr>
            </w:pPr>
          </w:p>
        </w:tc>
        <w:tc>
          <w:tcPr>
            <w:tcW w:w="8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22"/>
                <w:szCs w:val="22"/>
                <w:color w:val="auto"/>
              </w:rPr>
              <w:t>8</w:t>
            </w: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2"/>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274"/>
        </w:trPr>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9</w:t>
            </w:r>
          </w:p>
        </w:tc>
        <w:tc>
          <w:tcPr>
            <w:tcW w:w="10980" w:type="dxa"/>
            <w:vAlign w:val="bottom"/>
            <w:gridSpan w:val="3"/>
          </w:tcPr>
          <w:p>
            <w:pPr>
              <w:ind w:left="122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787,481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472"/>
        <w:spacing w:after="0"/>
        <w:tabs>
          <w:tab w:leader="none" w:pos="14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202" w:lineRule="exact"/>
        <w:rPr>
          <w:rFonts w:ascii="Arial" w:cs="Arial" w:eastAsia="Arial" w:hAnsi="Arial"/>
          <w:sz w:val="22"/>
          <w:szCs w:val="22"/>
          <w:color w:val="auto"/>
        </w:rPr>
      </w:pPr>
    </w:p>
    <w:p>
      <w:pPr>
        <w:ind w:left="1480"/>
        <w:spacing w:after="0" w:line="221" w:lineRule="exact"/>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107" w:lineRule="exact"/>
        <w:rPr>
          <w:rFonts w:ascii="Arial" w:cs="Arial" w:eastAsia="Arial" w:hAnsi="Arial"/>
          <w:sz w:val="22"/>
          <w:szCs w:val="22"/>
          <w:color w:val="auto"/>
        </w:rPr>
      </w:pPr>
    </w:p>
    <w:p>
      <w:pPr>
        <w:ind w:left="1480" w:right="3840" w:hanging="1472"/>
        <w:spacing w:after="0" w:line="352" w:lineRule="auto"/>
        <w:tabs>
          <w:tab w:leader="none" w:pos="14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PERCENT OF CLASS REPRESENTED BY AMOUNT IN ROW 9 5.5% (1)**</w:t>
      </w:r>
    </w:p>
    <w:p>
      <w:pPr>
        <w:ind w:left="1480" w:right="6640" w:hanging="1472"/>
        <w:spacing w:after="0" w:line="471" w:lineRule="auto"/>
        <w:tabs>
          <w:tab w:leader="none" w:pos="14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 w:hanging="412"/>
        <w:spacing w:after="0"/>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numbers and percentage above reflect the beneficial ownership of the reporting person as of December 31, 2021.</w:t>
      </w:r>
    </w:p>
    <w:p>
      <w:pPr>
        <w:spacing w:after="0" w:line="42" w:lineRule="exact"/>
        <w:rPr>
          <w:rFonts w:ascii="Arial" w:cs="Arial" w:eastAsia="Arial" w:hAnsi="Arial"/>
          <w:sz w:val="19"/>
          <w:szCs w:val="19"/>
          <w:color w:val="auto"/>
        </w:rPr>
      </w:pPr>
    </w:p>
    <w:p>
      <w:pPr>
        <w:ind w:right="6500"/>
        <w:spacing w:after="0" w:line="236" w:lineRule="auto"/>
        <w:rPr>
          <w:rFonts w:ascii="Arial" w:cs="Arial" w:eastAsia="Arial" w:hAnsi="Arial"/>
          <w:sz w:val="19"/>
          <w:szCs w:val="19"/>
          <w:color w:val="auto"/>
        </w:rPr>
      </w:pPr>
      <w:r>
        <w:rPr>
          <w:rFonts w:ascii="Arial" w:cs="Arial" w:eastAsia="Arial" w:hAnsi="Arial"/>
          <w:sz w:val="22"/>
          <w:szCs w:val="22"/>
          <w:color w:val="auto"/>
        </w:rPr>
        <w:t>* 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Prescott Group Aggressive Small Cap Master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364"/>
        <w:spacing w:after="0"/>
        <w:tabs>
          <w:tab w:leader="none" w:pos="14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9" w:lineRule="exact"/>
        <w:rPr>
          <w:sz w:val="20"/>
          <w:szCs w:val="20"/>
          <w:color w:val="auto"/>
        </w:rPr>
      </w:pPr>
    </w:p>
    <w:p>
      <w:pPr>
        <w:ind w:left="1480"/>
        <w:spacing w:after="0" w:line="253" w:lineRule="exact"/>
        <w:tabs>
          <w:tab w:leader="none" w:pos="242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 xml:space="preserve">(b)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0"/>
          <w:szCs w:val="20"/>
          <w:color w:val="auto"/>
        </w:rPr>
      </w:pPr>
    </w:p>
    <w:p>
      <w:pPr>
        <w:ind w:left="1480" w:hanging="1364"/>
        <w:spacing w:after="0"/>
        <w:tabs>
          <w:tab w:leader="none" w:pos="14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State of Oklahoma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612"/>
              <w:spacing w:after="0"/>
              <w:rPr>
                <w:sz w:val="20"/>
                <w:szCs w:val="20"/>
                <w:color w:val="auto"/>
              </w:rPr>
            </w:pPr>
            <w:r>
              <w:rPr>
                <w:rFonts w:ascii="Arial" w:cs="Arial" w:eastAsia="Arial" w:hAnsi="Arial"/>
                <w:sz w:val="22"/>
                <w:szCs w:val="22"/>
                <w:color w:val="auto"/>
              </w:rPr>
              <w:t>5</w:t>
            </w:r>
          </w:p>
        </w:tc>
        <w:tc>
          <w:tcPr>
            <w:tcW w:w="7600" w:type="dxa"/>
            <w:vAlign w:val="bottom"/>
            <w:tcBorders>
              <w:top w:val="single" w:sz="8" w:color="auto"/>
            </w:tcBorders>
          </w:tcPr>
          <w:p>
            <w:pPr>
              <w:ind w:left="72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325"/>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Arial" w:cs="Arial" w:eastAsia="Arial" w:hAnsi="Arial"/>
                <w:sz w:val="22"/>
                <w:szCs w:val="22"/>
                <w:color w:val="auto"/>
                <w:w w:val="95"/>
              </w:rPr>
              <w:t>NUMBER OF</w:t>
            </w:r>
          </w:p>
        </w:tc>
        <w:tc>
          <w:tcPr>
            <w:tcW w:w="1360" w:type="dxa"/>
            <w:vAlign w:val="bottom"/>
          </w:tcPr>
          <w:p>
            <w:pPr>
              <w:spacing w:after="0"/>
              <w:rPr>
                <w:sz w:val="24"/>
                <w:szCs w:val="24"/>
                <w:color w:val="auto"/>
              </w:rPr>
            </w:pPr>
          </w:p>
        </w:tc>
        <w:tc>
          <w:tcPr>
            <w:tcW w:w="760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0"/>
              </w:rPr>
              <w:t>SHARES</w:t>
            </w:r>
          </w:p>
        </w:tc>
        <w:tc>
          <w:tcPr>
            <w:tcW w:w="136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360" w:type="dxa"/>
            <w:vAlign w:val="bottom"/>
            <w:vMerge w:val="restart"/>
          </w:tcPr>
          <w:p>
            <w:pPr>
              <w:jc w:val="right"/>
              <w:ind w:right="612"/>
              <w:spacing w:after="0"/>
              <w:rPr>
                <w:sz w:val="20"/>
                <w:szCs w:val="20"/>
                <w:color w:val="auto"/>
              </w:rPr>
            </w:pPr>
            <w:r>
              <w:rPr>
                <w:rFonts w:ascii="Arial" w:cs="Arial" w:eastAsia="Arial" w:hAnsi="Arial"/>
                <w:sz w:val="22"/>
                <w:szCs w:val="22"/>
                <w:color w:val="auto"/>
              </w:rPr>
              <w:t>6</w:t>
            </w:r>
          </w:p>
        </w:tc>
        <w:tc>
          <w:tcPr>
            <w:tcW w:w="7600" w:type="dxa"/>
            <w:vAlign w:val="bottom"/>
            <w:vMerge w:val="restart"/>
          </w:tcPr>
          <w:p>
            <w:pPr>
              <w:ind w:left="72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3"/>
                <w:szCs w:val="13"/>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9"/>
              </w:rPr>
              <w:t>BENEFICIALLY</w:t>
            </w:r>
          </w:p>
        </w:tc>
        <w:tc>
          <w:tcPr>
            <w:tcW w:w="1360" w:type="dxa"/>
            <w:vAlign w:val="bottom"/>
            <w:vMerge w:val="continue"/>
          </w:tcPr>
          <w:p>
            <w:pPr>
              <w:spacing w:after="0"/>
              <w:rPr>
                <w:sz w:val="13"/>
                <w:szCs w:val="13"/>
                <w:color w:val="auto"/>
              </w:rPr>
            </w:pPr>
          </w:p>
        </w:tc>
        <w:tc>
          <w:tcPr>
            <w:tcW w:w="7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7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Arial" w:cs="Arial" w:eastAsia="Arial" w:hAnsi="Arial"/>
                <w:sz w:val="22"/>
                <w:szCs w:val="22"/>
                <w:color w:val="auto"/>
                <w:w w:val="96"/>
              </w:rPr>
              <w:t>OWNED BY</w:t>
            </w:r>
          </w:p>
        </w:tc>
        <w:tc>
          <w:tcPr>
            <w:tcW w:w="1360" w:type="dxa"/>
            <w:vAlign w:val="bottom"/>
          </w:tcPr>
          <w:p>
            <w:pPr>
              <w:spacing w:after="0"/>
              <w:rPr>
                <w:sz w:val="21"/>
                <w:szCs w:val="21"/>
                <w:color w:val="auto"/>
              </w:rPr>
            </w:pPr>
          </w:p>
        </w:tc>
        <w:tc>
          <w:tcPr>
            <w:tcW w:w="7600" w:type="dxa"/>
            <w:vAlign w:val="bottom"/>
            <w:vMerge w:val="restart"/>
          </w:tcPr>
          <w:p>
            <w:pPr>
              <w:ind w:left="72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4"/>
              </w:rPr>
              <w:t>EACH</w:t>
            </w:r>
          </w:p>
        </w:tc>
        <w:tc>
          <w:tcPr>
            <w:tcW w:w="1360" w:type="dxa"/>
            <w:vAlign w:val="bottom"/>
            <w:tcBorders>
              <w:bottom w:val="single" w:sz="8" w:color="auto"/>
            </w:tcBorders>
          </w:tcPr>
          <w:p>
            <w:pPr>
              <w:spacing w:after="0"/>
              <w:rPr>
                <w:sz w:val="11"/>
                <w:szCs w:val="11"/>
                <w:color w:val="auto"/>
              </w:rPr>
            </w:pPr>
          </w:p>
        </w:tc>
        <w:tc>
          <w:tcPr>
            <w:tcW w:w="7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360" w:type="dxa"/>
            <w:vAlign w:val="bottom"/>
            <w:vMerge w:val="restart"/>
          </w:tcPr>
          <w:p>
            <w:pPr>
              <w:jc w:val="right"/>
              <w:ind w:right="612"/>
              <w:spacing w:after="0"/>
              <w:rPr>
                <w:sz w:val="20"/>
                <w:szCs w:val="20"/>
                <w:color w:val="auto"/>
              </w:rPr>
            </w:pPr>
            <w:r>
              <w:rPr>
                <w:rFonts w:ascii="Arial" w:cs="Arial" w:eastAsia="Arial" w:hAnsi="Arial"/>
                <w:sz w:val="22"/>
                <w:szCs w:val="22"/>
                <w:color w:val="auto"/>
              </w:rPr>
              <w:t>7</w:t>
            </w:r>
          </w:p>
        </w:tc>
        <w:tc>
          <w:tcPr>
            <w:tcW w:w="7600" w:type="dxa"/>
            <w:vAlign w:val="bottom"/>
            <w:vMerge w:val="restart"/>
          </w:tcPr>
          <w:p>
            <w:pPr>
              <w:ind w:left="72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2020" w:type="dxa"/>
            <w:vAlign w:val="bottom"/>
            <w:vMerge w:val="restart"/>
          </w:tcPr>
          <w:p>
            <w:pPr>
              <w:jc w:val="center"/>
              <w:ind w:right="152"/>
              <w:spacing w:after="0" w:line="243" w:lineRule="exact"/>
              <w:rPr>
                <w:sz w:val="20"/>
                <w:szCs w:val="20"/>
                <w:color w:val="auto"/>
              </w:rPr>
            </w:pPr>
            <w:r>
              <w:rPr>
                <w:rFonts w:ascii="Arial" w:cs="Arial" w:eastAsia="Arial" w:hAnsi="Arial"/>
                <w:sz w:val="22"/>
                <w:szCs w:val="22"/>
                <w:color w:val="auto"/>
                <w:w w:val="91"/>
              </w:rPr>
              <w:t>REPORTING</w:t>
            </w:r>
          </w:p>
        </w:tc>
        <w:tc>
          <w:tcPr>
            <w:tcW w:w="1360" w:type="dxa"/>
            <w:vAlign w:val="bottom"/>
            <w:vMerge w:val="continue"/>
          </w:tcPr>
          <w:p>
            <w:pPr>
              <w:spacing w:after="0"/>
              <w:rPr>
                <w:sz w:val="16"/>
                <w:szCs w:val="16"/>
                <w:color w:val="auto"/>
              </w:rPr>
            </w:pPr>
          </w:p>
        </w:tc>
        <w:tc>
          <w:tcPr>
            <w:tcW w:w="7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6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7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88"/>
              </w:rPr>
              <w:t>PERSON</w:t>
            </w:r>
          </w:p>
        </w:tc>
        <w:tc>
          <w:tcPr>
            <w:tcW w:w="1360" w:type="dxa"/>
            <w:vAlign w:val="bottom"/>
          </w:tcPr>
          <w:p>
            <w:pPr>
              <w:spacing w:after="0"/>
              <w:rPr>
                <w:sz w:val="21"/>
                <w:szCs w:val="21"/>
                <w:color w:val="auto"/>
              </w:rPr>
            </w:pPr>
          </w:p>
        </w:tc>
        <w:tc>
          <w:tcPr>
            <w:tcW w:w="760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2020" w:type="dxa"/>
            <w:vAlign w:val="bottom"/>
            <w:vMerge w:val="restart"/>
          </w:tcPr>
          <w:p>
            <w:pPr>
              <w:jc w:val="center"/>
              <w:ind w:right="132"/>
              <w:spacing w:after="0"/>
              <w:rPr>
                <w:sz w:val="20"/>
                <w:szCs w:val="20"/>
                <w:color w:val="auto"/>
              </w:rPr>
            </w:pPr>
            <w:r>
              <w:rPr>
                <w:rFonts w:ascii="Arial" w:cs="Arial" w:eastAsia="Arial" w:hAnsi="Arial"/>
                <w:sz w:val="22"/>
                <w:szCs w:val="22"/>
                <w:color w:val="auto"/>
              </w:rPr>
              <w:t>WITH</w:t>
            </w:r>
          </w:p>
        </w:tc>
        <w:tc>
          <w:tcPr>
            <w:tcW w:w="1360" w:type="dxa"/>
            <w:vAlign w:val="bottom"/>
            <w:tcBorders>
              <w:bottom w:val="single" w:sz="8" w:color="auto"/>
            </w:tcBorders>
          </w:tcPr>
          <w:p>
            <w:pPr>
              <w:spacing w:after="0"/>
              <w:rPr>
                <w:sz w:val="11"/>
                <w:szCs w:val="11"/>
                <w:color w:val="auto"/>
              </w:rPr>
            </w:pPr>
          </w:p>
        </w:tc>
        <w:tc>
          <w:tcPr>
            <w:tcW w:w="7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360" w:type="dxa"/>
            <w:vAlign w:val="bottom"/>
            <w:vMerge w:val="restart"/>
          </w:tcPr>
          <w:p>
            <w:pPr>
              <w:jc w:val="right"/>
              <w:ind w:right="612"/>
              <w:spacing w:after="0"/>
              <w:rPr>
                <w:sz w:val="20"/>
                <w:szCs w:val="20"/>
                <w:color w:val="auto"/>
              </w:rPr>
            </w:pPr>
            <w:r>
              <w:rPr>
                <w:rFonts w:ascii="Arial" w:cs="Arial" w:eastAsia="Arial" w:hAnsi="Arial"/>
                <w:sz w:val="22"/>
                <w:szCs w:val="22"/>
                <w:color w:val="auto"/>
              </w:rPr>
              <w:t>8</w:t>
            </w:r>
          </w:p>
        </w:tc>
        <w:tc>
          <w:tcPr>
            <w:tcW w:w="7600" w:type="dxa"/>
            <w:vAlign w:val="bottom"/>
            <w:vMerge w:val="restart"/>
          </w:tcPr>
          <w:p>
            <w:pPr>
              <w:ind w:left="72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7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2"/>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72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274"/>
        </w:trPr>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9</w:t>
            </w:r>
          </w:p>
        </w:tc>
        <w:tc>
          <w:tcPr>
            <w:tcW w:w="10980" w:type="dxa"/>
            <w:vAlign w:val="bottom"/>
            <w:gridSpan w:val="3"/>
          </w:tcPr>
          <w:p>
            <w:pPr>
              <w:ind w:left="122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787,481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472"/>
        <w:spacing w:after="0"/>
        <w:tabs>
          <w:tab w:leader="none" w:pos="14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202" w:lineRule="exact"/>
        <w:rPr>
          <w:rFonts w:ascii="Arial" w:cs="Arial" w:eastAsia="Arial" w:hAnsi="Arial"/>
          <w:sz w:val="22"/>
          <w:szCs w:val="22"/>
          <w:color w:val="auto"/>
        </w:rPr>
      </w:pPr>
    </w:p>
    <w:p>
      <w:pPr>
        <w:ind w:left="1480"/>
        <w:spacing w:after="0" w:line="221" w:lineRule="exact"/>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107" w:lineRule="exact"/>
        <w:rPr>
          <w:rFonts w:ascii="Arial" w:cs="Arial" w:eastAsia="Arial" w:hAnsi="Arial"/>
          <w:sz w:val="22"/>
          <w:szCs w:val="22"/>
          <w:color w:val="auto"/>
        </w:rPr>
      </w:pPr>
    </w:p>
    <w:p>
      <w:pPr>
        <w:ind w:left="1480" w:right="3840" w:hanging="1472"/>
        <w:spacing w:after="0" w:line="352" w:lineRule="auto"/>
        <w:tabs>
          <w:tab w:leader="none" w:pos="14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PERCENT OF CLASS REPRESENTED BY AMOUNT IN ROW 9 5.5% (1)**</w:t>
      </w:r>
    </w:p>
    <w:p>
      <w:pPr>
        <w:ind w:left="1480" w:right="6640" w:hanging="1472"/>
        <w:spacing w:after="0" w:line="471" w:lineRule="auto"/>
        <w:tabs>
          <w:tab w:leader="none" w:pos="14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 w:hanging="412"/>
        <w:spacing w:after="0"/>
        <w:tabs>
          <w:tab w:leader="none" w:pos="4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numbers and percentage above reflect the beneficial ownership of the reporting person as of December 31, 2021.</w:t>
      </w:r>
    </w:p>
    <w:p>
      <w:pPr>
        <w:spacing w:after="0" w:line="42" w:lineRule="exact"/>
        <w:rPr>
          <w:rFonts w:ascii="Arial" w:cs="Arial" w:eastAsia="Arial" w:hAnsi="Arial"/>
          <w:sz w:val="19"/>
          <w:szCs w:val="19"/>
          <w:color w:val="auto"/>
        </w:rPr>
      </w:pPr>
    </w:p>
    <w:p>
      <w:pPr>
        <w:ind w:right="6500"/>
        <w:spacing w:after="0" w:line="236" w:lineRule="auto"/>
        <w:rPr>
          <w:rFonts w:ascii="Arial" w:cs="Arial" w:eastAsia="Arial" w:hAnsi="Arial"/>
          <w:sz w:val="19"/>
          <w:szCs w:val="19"/>
          <w:color w:val="auto"/>
        </w:rPr>
      </w:pPr>
      <w:r>
        <w:rPr>
          <w:rFonts w:ascii="Arial" w:cs="Arial" w:eastAsia="Arial" w:hAnsi="Arial"/>
          <w:sz w:val="22"/>
          <w:szCs w:val="22"/>
          <w:color w:val="auto"/>
        </w:rPr>
        <w:t>* 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364"/>
        <w:spacing w:after="0"/>
        <w:tabs>
          <w:tab w:leader="none" w:pos="14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9" w:lineRule="exact"/>
        <w:rPr>
          <w:sz w:val="20"/>
          <w:szCs w:val="20"/>
          <w:color w:val="auto"/>
        </w:rPr>
      </w:pPr>
    </w:p>
    <w:p>
      <w:pPr>
        <w:ind w:left="1480"/>
        <w:spacing w:after="0" w:line="253" w:lineRule="exact"/>
        <w:tabs>
          <w:tab w:leader="none" w:pos="242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 xml:space="preserve">(b)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0"/>
          <w:szCs w:val="20"/>
          <w:color w:val="auto"/>
        </w:rPr>
      </w:pPr>
    </w:p>
    <w:p>
      <w:pPr>
        <w:ind w:left="1480" w:hanging="1364"/>
        <w:spacing w:after="0"/>
        <w:tabs>
          <w:tab w:leader="none" w:pos="14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U.S. Citizen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Arial" w:cs="Arial" w:eastAsia="Arial" w:hAnsi="Arial"/>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325"/>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Arial" w:cs="Arial" w:eastAsia="Arial" w:hAnsi="Arial"/>
                <w:sz w:val="22"/>
                <w:szCs w:val="22"/>
                <w:color w:val="auto"/>
                <w:w w:val="95"/>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0"/>
              </w:rPr>
              <w:t>SHARES</w:t>
            </w:r>
          </w:p>
        </w:tc>
        <w:tc>
          <w:tcPr>
            <w:tcW w:w="780" w:type="dxa"/>
            <w:vAlign w:val="bottom"/>
            <w:tcBorders>
              <w:bottom w:val="single" w:sz="8" w:color="auto"/>
            </w:tcBorders>
          </w:tcPr>
          <w:p>
            <w:pPr>
              <w:spacing w:after="0"/>
              <w:rPr>
                <w:sz w:val="9"/>
                <w:szCs w:val="9"/>
                <w:color w:val="auto"/>
              </w:rPr>
            </w:pPr>
          </w:p>
        </w:tc>
        <w:tc>
          <w:tcPr>
            <w:tcW w:w="8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22"/>
                <w:szCs w:val="22"/>
                <w:color w:val="auto"/>
              </w:rPr>
              <w:t>6</w:t>
            </w: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3"/>
                <w:szCs w:val="13"/>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9"/>
              </w:rPr>
              <w:t>BENEFICIALLY</w:t>
            </w:r>
          </w:p>
        </w:tc>
        <w:tc>
          <w:tcPr>
            <w:tcW w:w="780" w:type="dxa"/>
            <w:vAlign w:val="bottom"/>
            <w:vMerge w:val="continue"/>
          </w:tcPr>
          <w:p>
            <w:pPr>
              <w:spacing w:after="0"/>
              <w:rPr>
                <w:sz w:val="13"/>
                <w:szCs w:val="13"/>
                <w:color w:val="auto"/>
              </w:rPr>
            </w:pPr>
          </w:p>
        </w:tc>
        <w:tc>
          <w:tcPr>
            <w:tcW w:w="8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8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Arial" w:cs="Arial" w:eastAsia="Arial" w:hAnsi="Arial"/>
                <w:sz w:val="22"/>
                <w:szCs w:val="22"/>
                <w:color w:val="auto"/>
                <w:w w:val="96"/>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2020" w:type="dxa"/>
            <w:vAlign w:val="bottom"/>
            <w:vMerge w:val="restart"/>
          </w:tcPr>
          <w:p>
            <w:pPr>
              <w:jc w:val="center"/>
              <w:ind w:right="132"/>
              <w:spacing w:after="0" w:line="243" w:lineRule="exact"/>
              <w:rPr>
                <w:sz w:val="20"/>
                <w:szCs w:val="20"/>
                <w:color w:val="auto"/>
              </w:rPr>
            </w:pPr>
            <w:r>
              <w:rPr>
                <w:rFonts w:ascii="Arial" w:cs="Arial" w:eastAsia="Arial" w:hAnsi="Arial"/>
                <w:sz w:val="22"/>
                <w:szCs w:val="22"/>
                <w:color w:val="auto"/>
                <w:w w:val="94"/>
              </w:rPr>
              <w:t>EACH</w:t>
            </w:r>
          </w:p>
        </w:tc>
        <w:tc>
          <w:tcPr>
            <w:tcW w:w="780" w:type="dxa"/>
            <w:vAlign w:val="bottom"/>
            <w:tcBorders>
              <w:bottom w:val="single" w:sz="8" w:color="auto"/>
            </w:tcBorders>
          </w:tcPr>
          <w:p>
            <w:pPr>
              <w:spacing w:after="0"/>
              <w:rPr>
                <w:sz w:val="11"/>
                <w:szCs w:val="11"/>
                <w:color w:val="auto"/>
              </w:rPr>
            </w:pPr>
          </w:p>
        </w:tc>
        <w:tc>
          <w:tcPr>
            <w:tcW w:w="8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22"/>
                <w:szCs w:val="22"/>
                <w:color w:val="auto"/>
              </w:rPr>
              <w:t>7</w:t>
            </w: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2020" w:type="dxa"/>
            <w:vAlign w:val="bottom"/>
            <w:vMerge w:val="restart"/>
          </w:tcPr>
          <w:p>
            <w:pPr>
              <w:jc w:val="center"/>
              <w:ind w:right="152"/>
              <w:spacing w:after="0" w:line="243" w:lineRule="exact"/>
              <w:rPr>
                <w:sz w:val="20"/>
                <w:szCs w:val="20"/>
                <w:color w:val="auto"/>
              </w:rPr>
            </w:pPr>
            <w:r>
              <w:rPr>
                <w:rFonts w:ascii="Arial" w:cs="Arial" w:eastAsia="Arial" w:hAnsi="Arial"/>
                <w:sz w:val="22"/>
                <w:szCs w:val="22"/>
                <w:color w:val="auto"/>
                <w:w w:val="91"/>
              </w:rPr>
              <w:t>REPORTING</w:t>
            </w: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6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88"/>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787,481 (1)</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2020" w:type="dxa"/>
            <w:vAlign w:val="bottom"/>
            <w:vMerge w:val="restart"/>
          </w:tcPr>
          <w:p>
            <w:pPr>
              <w:jc w:val="center"/>
              <w:ind w:right="132"/>
              <w:spacing w:after="0"/>
              <w:rPr>
                <w:sz w:val="20"/>
                <w:szCs w:val="20"/>
                <w:color w:val="auto"/>
              </w:rPr>
            </w:pPr>
            <w:r>
              <w:rPr>
                <w:rFonts w:ascii="Arial" w:cs="Arial" w:eastAsia="Arial" w:hAnsi="Arial"/>
                <w:sz w:val="22"/>
                <w:szCs w:val="22"/>
                <w:color w:val="auto"/>
              </w:rPr>
              <w:t>WITH</w:t>
            </w:r>
          </w:p>
        </w:tc>
        <w:tc>
          <w:tcPr>
            <w:tcW w:w="780" w:type="dxa"/>
            <w:vAlign w:val="bottom"/>
            <w:tcBorders>
              <w:bottom w:val="single" w:sz="8" w:color="auto"/>
            </w:tcBorders>
          </w:tcPr>
          <w:p>
            <w:pPr>
              <w:spacing w:after="0"/>
              <w:rPr>
                <w:sz w:val="11"/>
                <w:szCs w:val="11"/>
                <w:color w:val="auto"/>
              </w:rPr>
            </w:pPr>
          </w:p>
        </w:tc>
        <w:tc>
          <w:tcPr>
            <w:tcW w:w="8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22"/>
                <w:szCs w:val="22"/>
                <w:color w:val="auto"/>
              </w:rPr>
              <w:t>8</w:t>
            </w:r>
          </w:p>
        </w:tc>
        <w:tc>
          <w:tcPr>
            <w:tcW w:w="8180" w:type="dxa"/>
            <w:vAlign w:val="bottom"/>
            <w:vMerge w:val="restart"/>
          </w:tcPr>
          <w:p>
            <w:pPr>
              <w:ind w:left="40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2"/>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9</w:t>
            </w:r>
          </w:p>
        </w:tc>
        <w:tc>
          <w:tcPr>
            <w:tcW w:w="10980" w:type="dxa"/>
            <w:vAlign w:val="bottom"/>
            <w:gridSpan w:val="3"/>
          </w:tcPr>
          <w:p>
            <w:pPr>
              <w:ind w:left="122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787,481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ind w:left="1480" w:hanging="1472"/>
        <w:spacing w:after="0"/>
        <w:tabs>
          <w:tab w:leader="none" w:pos="14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202" w:lineRule="exact"/>
        <w:rPr>
          <w:rFonts w:ascii="Arial" w:cs="Arial" w:eastAsia="Arial" w:hAnsi="Arial"/>
          <w:sz w:val="22"/>
          <w:szCs w:val="22"/>
          <w:color w:val="auto"/>
        </w:rPr>
      </w:pPr>
    </w:p>
    <w:p>
      <w:pPr>
        <w:ind w:left="1480"/>
        <w:spacing w:after="0" w:line="221" w:lineRule="exact"/>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107" w:lineRule="exact"/>
        <w:rPr>
          <w:rFonts w:ascii="Arial" w:cs="Arial" w:eastAsia="Arial" w:hAnsi="Arial"/>
          <w:sz w:val="22"/>
          <w:szCs w:val="22"/>
          <w:color w:val="auto"/>
        </w:rPr>
      </w:pPr>
    </w:p>
    <w:p>
      <w:pPr>
        <w:ind w:left="1480" w:right="3840" w:hanging="1472"/>
        <w:spacing w:after="0" w:line="352" w:lineRule="auto"/>
        <w:tabs>
          <w:tab w:leader="none" w:pos="14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PERCENT OF CLASS REPRESENTED BY AMOUNT IN ROW 9 5.5% (1)**</w:t>
      </w:r>
    </w:p>
    <w:p>
      <w:pPr>
        <w:ind w:left="1480" w:right="6640" w:hanging="1472"/>
        <w:spacing w:after="0" w:line="471" w:lineRule="auto"/>
        <w:tabs>
          <w:tab w:leader="none" w:pos="14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 w:hanging="412"/>
        <w:spacing w:after="0"/>
        <w:tabs>
          <w:tab w:leader="none" w:pos="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numbers and percentage above reflect the beneficial ownership of the reporting person as of December 31, 2021.</w:t>
      </w:r>
    </w:p>
    <w:p>
      <w:pPr>
        <w:spacing w:after="0" w:line="42" w:lineRule="exact"/>
        <w:rPr>
          <w:rFonts w:ascii="Arial" w:cs="Arial" w:eastAsia="Arial" w:hAnsi="Arial"/>
          <w:sz w:val="19"/>
          <w:szCs w:val="19"/>
          <w:color w:val="auto"/>
        </w:rPr>
      </w:pPr>
    </w:p>
    <w:p>
      <w:pPr>
        <w:ind w:right="6500"/>
        <w:spacing w:after="0" w:line="236" w:lineRule="auto"/>
        <w:rPr>
          <w:rFonts w:ascii="Arial" w:cs="Arial" w:eastAsia="Arial" w:hAnsi="Arial"/>
          <w:sz w:val="19"/>
          <w:szCs w:val="19"/>
          <w:color w:val="auto"/>
        </w:rPr>
      </w:pPr>
      <w:r>
        <w:rPr>
          <w:rFonts w:ascii="Arial" w:cs="Arial" w:eastAsia="Arial" w:hAnsi="Arial"/>
          <w:sz w:val="22"/>
          <w:szCs w:val="22"/>
          <w:color w:val="auto"/>
        </w:rPr>
        <w:t>* 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22"/>
          <w:szCs w:val="22"/>
          <w:b w:val="1"/>
          <w:bCs w:val="1"/>
          <w:u w:val="single" w:color="auto"/>
          <w:color w:val="auto"/>
        </w:rPr>
        <w:t>AMENDMENT NO. 1 TO SCHEDULE 13G</w:t>
      </w: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Amendment No. 1 (the “Amendment”) to the Schedule 13G (the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Prescott Group Aggressive Small Cap Master Fund, G.P., an Oklahoma general partnership (“Master Fund”) and Mr. Phil Frohlich, the principal of Prescott Capital, relating to the Common Shares, no par value per share (the “Common Shares”), of Civeo Corporation, a corporation organized under the laws of British Columbia, Canada (the “Issuer”).</w:t>
      </w:r>
    </w:p>
    <w:p>
      <w:pPr>
        <w:spacing w:after="0" w:line="152"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This Amendment relates to Common Shares of the Issuer held in the account of the Master Fund, of which the Small Cap Funds are general partners. Prescott Capital serves as the general partner and investment manager of the Small Cap Funds and may direct the Small Cap Funds, the general partners of the Master Fund, to direct the vote and disposition of the 787,481 Common Shares held by the Master Fund as of December 31, 2021. As the principal of Prescott Capital, Mr. Frohlich may direct the vote and disposition of the 787,481 Common Shares held by the Master Fund as of December 31, 2021.</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amends and restates the Schedule 13G as follows.</w:t>
      </w:r>
    </w:p>
    <w:p>
      <w:pPr>
        <w:spacing w:after="0" w:line="227"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Civeo Corporation (the “Issuer”)</w:t>
      </w:r>
    </w:p>
    <w:p>
      <w:pPr>
        <w:spacing w:after="0" w:line="227"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Three Allen Center</w:t>
      </w:r>
    </w:p>
    <w:p>
      <w:pPr>
        <w:spacing w:after="0" w:line="238" w:lineRule="auto"/>
        <w:rPr>
          <w:sz w:val="20"/>
          <w:szCs w:val="20"/>
          <w:color w:val="auto"/>
        </w:rPr>
      </w:pPr>
      <w:r>
        <w:rPr>
          <w:rFonts w:ascii="Arial" w:cs="Arial" w:eastAsia="Arial" w:hAnsi="Arial"/>
          <w:sz w:val="22"/>
          <w:szCs w:val="22"/>
          <w:color w:val="auto"/>
        </w:rPr>
        <w:t>333 Clay Street, Suite 4980</w:t>
      </w:r>
    </w:p>
    <w:p>
      <w:pPr>
        <w:spacing w:after="0"/>
        <w:rPr>
          <w:sz w:val="20"/>
          <w:szCs w:val="20"/>
          <w:color w:val="auto"/>
        </w:rPr>
      </w:pPr>
      <w:r>
        <w:rPr>
          <w:rFonts w:ascii="Arial" w:cs="Arial" w:eastAsia="Arial" w:hAnsi="Arial"/>
          <w:sz w:val="22"/>
          <w:szCs w:val="22"/>
          <w:color w:val="auto"/>
        </w:rPr>
        <w:t>Houston, Texas 77002</w:t>
      </w:r>
    </w:p>
    <w:p>
      <w:pPr>
        <w:spacing w:after="0" w:line="209"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104"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Prescott Group Capital Management, L.L.C. (“Prescott Capital”), Prescott Group Aggressive Small Cap, L.P. (“Prescott Small Cap”), Prescott Group Aggressive Small Cap II, L.P. (“Prescott Small Cap II” and, together with Prescott Small Cap, the “Small Cap Funds”), Prescott Group Aggressive Small Cap Master Fund, G.P. (“Master Fund”) and Mr. Phil Frohlich.</w:t>
      </w:r>
    </w:p>
    <w:p>
      <w:pPr>
        <w:spacing w:after="0" w:line="263"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1924 South Utica, Suite 1120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Tulsa, Oklahoma 74104</w:t>
      </w:r>
    </w:p>
    <w:p>
      <w:pPr>
        <w:spacing w:after="0" w:line="20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b w:val="1"/>
          <w:bCs w:val="1"/>
          <w:color w:val="auto"/>
        </w:rPr>
        <w:t>Citizenship or Place of Organization.</w:t>
      </w:r>
    </w:p>
    <w:p>
      <w:pPr>
        <w:spacing w:after="0" w:line="239"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Prescott Capital is an Oklahoma limited liability company. The Small Cap Funds are Oklahoma limited partnerships. The Master Fund is an Oklahoma general partnership. Mr. Phil Frohlich is the principal of Prescott Capital and is a U.S. citizen.</w:t>
      </w:r>
    </w:p>
    <w:p>
      <w:pPr>
        <w:spacing w:after="0" w:line="126"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Common Shares, no par value per share (the “Common Shares”).</w:t>
      </w:r>
    </w:p>
    <w:p>
      <w:pPr>
        <w:spacing w:after="0" w:line="33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7" w:name="page8"/>
    <w:bookmarkEnd w:id="7"/>
    <w:p>
      <w:pPr>
        <w:spacing w:after="0"/>
        <w:tabs>
          <w:tab w:leader="none" w:pos="9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Reporting Person.</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this statement is filed pursuant to Rule 13d-1(b), or 13d-2(b), check whether the person filing is a:</w:t>
      </w:r>
    </w:p>
    <w:p>
      <w:pPr>
        <w:spacing w:after="0" w:line="200" w:lineRule="exact"/>
        <w:rPr>
          <w:sz w:val="20"/>
          <w:szCs w:val="20"/>
          <w:color w:val="auto"/>
        </w:rPr>
      </w:pPr>
    </w:p>
    <w:p>
      <w:pPr>
        <w:spacing w:after="0" w:line="256" w:lineRule="exact"/>
        <w:rPr>
          <w:sz w:val="20"/>
          <w:szCs w:val="20"/>
          <w:color w:val="auto"/>
        </w:rPr>
      </w:pPr>
    </w:p>
    <w:p>
      <w:pPr>
        <w:ind w:left="1080" w:hanging="330"/>
        <w:spacing w:after="0" w:line="253" w:lineRule="exact"/>
        <w:tabs>
          <w:tab w:leader="none" w:pos="1080"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Broker or dealer registered under section 15 of the Act (15 U.S.C. 78o).</w:t>
      </w:r>
    </w:p>
    <w:p>
      <w:pPr>
        <w:spacing w:after="0" w:line="246" w:lineRule="exact"/>
        <w:rPr>
          <w:rFonts w:ascii="Arial" w:cs="Arial" w:eastAsia="Arial" w:hAnsi="Arial"/>
          <w:sz w:val="22"/>
          <w:szCs w:val="22"/>
          <w:color w:val="auto"/>
        </w:rPr>
      </w:pPr>
    </w:p>
    <w:p>
      <w:pPr>
        <w:ind w:left="1080" w:hanging="330"/>
        <w:spacing w:after="0" w:line="253" w:lineRule="exact"/>
        <w:tabs>
          <w:tab w:leader="none" w:pos="1080"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Bank as defined in section 3(a)(6) of the Act (15 U.S.C. 78c).</w:t>
      </w:r>
    </w:p>
    <w:p>
      <w:pPr>
        <w:spacing w:after="0" w:line="246" w:lineRule="exact"/>
        <w:rPr>
          <w:rFonts w:ascii="Arial" w:cs="Arial" w:eastAsia="Arial" w:hAnsi="Arial"/>
          <w:sz w:val="22"/>
          <w:szCs w:val="22"/>
          <w:color w:val="auto"/>
        </w:rPr>
      </w:pPr>
    </w:p>
    <w:p>
      <w:pPr>
        <w:ind w:left="1080" w:hanging="330"/>
        <w:spacing w:after="0" w:line="253" w:lineRule="exact"/>
        <w:tabs>
          <w:tab w:leader="none" w:pos="1080"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Insurance company as defined in section 3(a)(19) of the Act (15 U.S.C. 78c).</w:t>
      </w:r>
    </w:p>
    <w:p>
      <w:pPr>
        <w:spacing w:after="0" w:line="246" w:lineRule="exact"/>
        <w:rPr>
          <w:rFonts w:ascii="Arial" w:cs="Arial" w:eastAsia="Arial" w:hAnsi="Arial"/>
          <w:sz w:val="22"/>
          <w:szCs w:val="22"/>
          <w:color w:val="auto"/>
        </w:rPr>
      </w:pPr>
    </w:p>
    <w:p>
      <w:pPr>
        <w:ind w:left="1380" w:right="1240" w:hanging="630"/>
        <w:spacing w:after="0" w:line="272" w:lineRule="exact"/>
        <w:tabs>
          <w:tab w:leader="none" w:pos="1069"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Investment company registered under section 8 of the Investment Company Act of 1940 (15 U.S.C. 80a-8).</w:t>
      </w:r>
    </w:p>
    <w:p>
      <w:pPr>
        <w:spacing w:after="0" w:line="185" w:lineRule="exact"/>
        <w:rPr>
          <w:rFonts w:ascii="Arial" w:cs="Arial" w:eastAsia="Arial" w:hAnsi="Arial"/>
          <w:sz w:val="22"/>
          <w:szCs w:val="22"/>
          <w:color w:val="auto"/>
        </w:rPr>
      </w:pPr>
    </w:p>
    <w:p>
      <w:pPr>
        <w:ind w:left="1080" w:hanging="330"/>
        <w:spacing w:after="0" w:line="253" w:lineRule="exact"/>
        <w:tabs>
          <w:tab w:leader="none" w:pos="1080"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An investment advisor in accordance with §240.13d-1(b)(1)(ii)(E).</w:t>
      </w:r>
    </w:p>
    <w:p>
      <w:pPr>
        <w:spacing w:after="0" w:line="246" w:lineRule="exact"/>
        <w:rPr>
          <w:rFonts w:ascii="Arial" w:cs="Arial" w:eastAsia="Arial" w:hAnsi="Arial"/>
          <w:sz w:val="22"/>
          <w:szCs w:val="22"/>
          <w:color w:val="auto"/>
        </w:rPr>
      </w:pPr>
    </w:p>
    <w:p>
      <w:pPr>
        <w:ind w:left="1080" w:hanging="330"/>
        <w:spacing w:after="0" w:line="253" w:lineRule="exact"/>
        <w:tabs>
          <w:tab w:leader="none" w:pos="1080"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An employee benefit plan or endowment fund in accordance with §240.13d-1(b)(1)(ii)(F).</w:t>
      </w:r>
    </w:p>
    <w:p>
      <w:pPr>
        <w:spacing w:after="0" w:line="246" w:lineRule="exact"/>
        <w:rPr>
          <w:rFonts w:ascii="Arial" w:cs="Arial" w:eastAsia="Arial" w:hAnsi="Arial"/>
          <w:sz w:val="22"/>
          <w:szCs w:val="22"/>
          <w:color w:val="auto"/>
        </w:rPr>
      </w:pPr>
    </w:p>
    <w:p>
      <w:pPr>
        <w:ind w:left="1080" w:hanging="330"/>
        <w:spacing w:after="0" w:line="253" w:lineRule="exact"/>
        <w:tabs>
          <w:tab w:leader="none" w:pos="1080"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parent holding company or control person in accordance with §240.13d-1(b)(1)(ii)(G).</w:t>
      </w:r>
    </w:p>
    <w:p>
      <w:pPr>
        <w:spacing w:after="0" w:line="246" w:lineRule="exact"/>
        <w:rPr>
          <w:rFonts w:ascii="Arial" w:cs="Arial" w:eastAsia="Arial" w:hAnsi="Arial"/>
          <w:sz w:val="22"/>
          <w:szCs w:val="22"/>
          <w:color w:val="auto"/>
        </w:rPr>
      </w:pPr>
    </w:p>
    <w:p>
      <w:pPr>
        <w:ind w:left="1380" w:right="1500" w:hanging="630"/>
        <w:spacing w:after="0" w:line="272" w:lineRule="exact"/>
        <w:tabs>
          <w:tab w:leader="none" w:pos="1069"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savings association as defined in Section 3(b) of the Federal Deposit Insurance Act (12 U.S.C. 1813).</w:t>
      </w:r>
    </w:p>
    <w:p>
      <w:pPr>
        <w:spacing w:after="0" w:line="185" w:lineRule="exact"/>
        <w:rPr>
          <w:rFonts w:ascii="Arial" w:cs="Arial" w:eastAsia="Arial" w:hAnsi="Arial"/>
          <w:sz w:val="22"/>
          <w:szCs w:val="22"/>
          <w:color w:val="auto"/>
        </w:rPr>
      </w:pPr>
    </w:p>
    <w:p>
      <w:pPr>
        <w:ind w:left="1380" w:right="1180" w:hanging="630"/>
        <w:spacing w:after="0" w:line="272" w:lineRule="exact"/>
        <w:tabs>
          <w:tab w:leader="none" w:pos="1069"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church plan that is excluded from the definition of an investment company under Section 3(c)(14) of the Investment Company Act of 1940 (15 U.S.C. 80a-3).</w:t>
      </w:r>
    </w:p>
    <w:p>
      <w:pPr>
        <w:spacing w:after="0" w:line="185" w:lineRule="exact"/>
        <w:rPr>
          <w:rFonts w:ascii="Arial" w:cs="Arial" w:eastAsia="Arial" w:hAnsi="Arial"/>
          <w:sz w:val="22"/>
          <w:szCs w:val="22"/>
          <w:color w:val="auto"/>
        </w:rPr>
      </w:pPr>
    </w:p>
    <w:p>
      <w:pPr>
        <w:ind w:left="1080" w:hanging="330"/>
        <w:spacing w:after="0" w:line="253" w:lineRule="exact"/>
        <w:tabs>
          <w:tab w:leader="none" w:pos="1080"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non-U.S. institution in accordance with §240.13d-1(b)(1)(ii)(J).</w:t>
      </w:r>
    </w:p>
    <w:p>
      <w:pPr>
        <w:spacing w:after="0" w:line="246" w:lineRule="exact"/>
        <w:rPr>
          <w:rFonts w:ascii="Arial" w:cs="Arial" w:eastAsia="Arial" w:hAnsi="Arial"/>
          <w:sz w:val="22"/>
          <w:szCs w:val="22"/>
          <w:color w:val="auto"/>
        </w:rPr>
      </w:pPr>
    </w:p>
    <w:p>
      <w:pPr>
        <w:ind w:left="1380" w:right="1280" w:hanging="630"/>
        <w:spacing w:after="0" w:line="272" w:lineRule="exact"/>
        <w:tabs>
          <w:tab w:leader="none" w:pos="1069" w:val="left"/>
        </w:tabs>
        <w:numPr>
          <w:ilvl w:val="0"/>
          <w:numId w:val="3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Group, in accordance with §240.13d-1(b)(1)(ii)(K). If filing as a non-U.S. institution in accordance with §240.13d-1(b)(1)(ii)(J), please specify the type of institution: ____.</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9" w:lineRule="exact"/>
        <w:rPr>
          <w:sz w:val="20"/>
          <w:szCs w:val="20"/>
          <w:color w:val="auto"/>
        </w:rPr>
      </w:pPr>
    </w:p>
    <w:p>
      <w:pPr>
        <w:ind w:left="960" w:right="380" w:hanging="345"/>
        <w:spacing w:after="0" w:line="250" w:lineRule="auto"/>
        <w:tabs>
          <w:tab w:leader="none" w:pos="9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Each of Prescott Capital, the Small Cap Funds, the Master Fund and Mr. Phil Frohlich are the beneficial owners of 787,481 Common Shares as of December 31, 2021.</w:t>
      </w:r>
    </w:p>
    <w:p>
      <w:pPr>
        <w:spacing w:after="0" w:line="201" w:lineRule="exact"/>
        <w:rPr>
          <w:rFonts w:ascii="Arial" w:cs="Arial" w:eastAsia="Arial" w:hAnsi="Arial"/>
          <w:sz w:val="22"/>
          <w:szCs w:val="22"/>
          <w:color w:val="auto"/>
        </w:rPr>
      </w:pPr>
    </w:p>
    <w:p>
      <w:pPr>
        <w:ind w:left="960" w:hanging="345"/>
        <w:spacing w:after="0"/>
        <w:tabs>
          <w:tab w:leader="none" w:pos="9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Each of Prescott Capital, the Small Cap Funds, the Master Fund and Mr. Phil Frohlich are the beneficial owners of</w:t>
      </w:r>
    </w:p>
    <w:p>
      <w:pPr>
        <w:spacing w:after="0" w:line="42" w:lineRule="exact"/>
        <w:rPr>
          <w:rFonts w:ascii="Arial" w:cs="Arial" w:eastAsia="Arial" w:hAnsi="Arial"/>
          <w:sz w:val="19"/>
          <w:szCs w:val="19"/>
          <w:color w:val="auto"/>
        </w:rPr>
      </w:pPr>
    </w:p>
    <w:p>
      <w:pPr>
        <w:ind w:left="960" w:right="120"/>
        <w:spacing w:after="0" w:line="234" w:lineRule="auto"/>
        <w:rPr>
          <w:rFonts w:ascii="Arial" w:cs="Arial" w:eastAsia="Arial" w:hAnsi="Arial"/>
          <w:sz w:val="19"/>
          <w:szCs w:val="19"/>
          <w:color w:val="auto"/>
        </w:rPr>
      </w:pPr>
      <w:r>
        <w:rPr>
          <w:rFonts w:ascii="Arial" w:cs="Arial" w:eastAsia="Arial" w:hAnsi="Arial"/>
          <w:sz w:val="22"/>
          <w:szCs w:val="22"/>
          <w:color w:val="auto"/>
        </w:rPr>
        <w:t>5.5% of the outstanding shares of Common Stock. This percentage is determined by dividing 787,481 by 14,250,180, the number of Common Shares outstanding as of October 25, 2021, as reported in the Issuer’s Form 10-Q filed with the Securities and Exchange Commission on October 28, 2021.</w:t>
      </w:r>
    </w:p>
    <w:p>
      <w:pPr>
        <w:spacing w:after="0" w:line="214" w:lineRule="exact"/>
        <w:rPr>
          <w:rFonts w:ascii="Arial" w:cs="Arial" w:eastAsia="Arial" w:hAnsi="Arial"/>
          <w:sz w:val="19"/>
          <w:szCs w:val="19"/>
          <w:color w:val="auto"/>
        </w:rPr>
      </w:pPr>
    </w:p>
    <w:p>
      <w:pPr>
        <w:ind w:left="960" w:hanging="345"/>
        <w:spacing w:after="0" w:line="287" w:lineRule="auto"/>
        <w:tabs>
          <w:tab w:leader="none" w:pos="9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Prescott Capital, as the general partner and investment manager of the Small Cap Funds, the general partners of the Master Fund, may direct the Small Cap Funds to direct the voting and disposition of the 787,481 Common Shares held by the Master Fund as of December 31, 2021. As the principal of Prescott Capital, Mr. Phil Frohlich may direct the voting and disposition of the 787,481 Common Shares held by the Master Fund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 w:name="page9"/>
    <w:bookmarkEnd w:id="8"/>
    <w:p>
      <w:pPr>
        <w:spacing w:after="0"/>
        <w:tabs>
          <w:tab w:leader="none" w:pos="9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227" w:lineRule="exact"/>
        <w:rPr>
          <w:sz w:val="20"/>
          <w:szCs w:val="20"/>
          <w:color w:val="auto"/>
        </w:rPr>
      </w:pPr>
    </w:p>
    <w:p>
      <w:pPr>
        <w:ind w:left="660" w:right="540" w:hanging="660"/>
        <w:spacing w:after="0" w:line="256" w:lineRule="auto"/>
        <w:tabs>
          <w:tab w:leader="none" w:pos="64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2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9" w:name="page10"/>
    <w:bookmarkEnd w:id="9"/>
    <w:p>
      <w:pPr>
        <w:jc w:val="center"/>
        <w:ind w:right="-339"/>
        <w:spacing w:after="0"/>
        <w:rPr>
          <w:sz w:val="20"/>
          <w:szCs w:val="20"/>
          <w:color w:val="auto"/>
        </w:rPr>
      </w:pPr>
      <w:r>
        <w:rPr>
          <w:rFonts w:ascii="Arial" w:cs="Arial" w:eastAsia="Arial" w:hAnsi="Arial"/>
          <w:sz w:val="22"/>
          <w:szCs w:val="22"/>
          <w:b w:val="1"/>
          <w:bCs w:val="1"/>
          <w:u w:val="single" w:color="auto"/>
          <w:color w:val="auto"/>
        </w:rPr>
        <w:t>SIGNATURE</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9,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Prescott Group Capital Management, L.L.C.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1"/>
                <w:szCs w:val="21"/>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1"/>
              </w:rPr>
              <w:t>/s/ Phil Frohlich</w:t>
            </w:r>
          </w:p>
        </w:tc>
        <w:tc>
          <w:tcPr>
            <w:tcW w:w="2560" w:type="dxa"/>
            <w:vAlign w:val="bottom"/>
          </w:tcPr>
          <w:p>
            <w:pPr>
              <w:spacing w:after="0"/>
              <w:rPr>
                <w:sz w:val="21"/>
                <w:szCs w:val="21"/>
                <w:color w:val="auto"/>
              </w:rPr>
            </w:pPr>
          </w:p>
        </w:tc>
      </w:tr>
      <w:tr>
        <w:trPr>
          <w:trHeight w:val="273"/>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rPr>
              <w:t>PHIL FROHLICH, Managing Member</w:t>
            </w:r>
          </w:p>
        </w:tc>
      </w:tr>
      <w:tr>
        <w:trPr>
          <w:trHeight w:val="729"/>
        </w:trPr>
        <w:tc>
          <w:tcPr>
            <w:tcW w:w="4940" w:type="dxa"/>
            <w:vAlign w:val="bottom"/>
            <w:gridSpan w:val="5"/>
          </w:tcPr>
          <w:p>
            <w:pPr>
              <w:spacing w:after="0"/>
              <w:rPr>
                <w:sz w:val="20"/>
                <w:szCs w:val="20"/>
                <w:color w:val="auto"/>
              </w:rPr>
            </w:pPr>
            <w:r>
              <w:rPr>
                <w:rFonts w:ascii="Arial" w:cs="Arial" w:eastAsia="Arial" w:hAnsi="Arial"/>
                <w:sz w:val="22"/>
                <w:szCs w:val="22"/>
                <w:color w:val="auto"/>
              </w:rPr>
              <w:t>Prescott Group Aggressive Small Cap, L.P.</w:t>
            </w:r>
          </w:p>
        </w:tc>
      </w:tr>
      <w:tr>
        <w:trPr>
          <w:trHeight w:val="45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w w:val="90"/>
              </w:rPr>
              <w:t>Prescott Group Capital Management, L.L.C.,</w:t>
            </w:r>
          </w:p>
        </w:tc>
      </w:tr>
      <w:tr>
        <w:trPr>
          <w:trHeight w:val="274"/>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rPr>
              <w:t>its general partner</w:t>
            </w:r>
          </w:p>
        </w:tc>
      </w:tr>
      <w:tr>
        <w:trPr>
          <w:trHeight w:val="43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1"/>
              </w:rPr>
              <w:t>/s/ Phil Frohlich</w:t>
            </w:r>
          </w:p>
        </w:tc>
        <w:tc>
          <w:tcPr>
            <w:tcW w:w="2560" w:type="dxa"/>
            <w:vAlign w:val="bottom"/>
          </w:tcPr>
          <w:p>
            <w:pPr>
              <w:spacing w:after="0"/>
              <w:rPr>
                <w:sz w:val="24"/>
                <w:szCs w:val="24"/>
                <w:color w:val="auto"/>
              </w:rPr>
            </w:pPr>
          </w:p>
        </w:tc>
      </w:tr>
      <w:tr>
        <w:trPr>
          <w:trHeight w:val="274"/>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rPr>
              <w:t>PHIL FROHLICH, Managing Member</w:t>
            </w:r>
          </w:p>
        </w:tc>
      </w:tr>
      <w:tr>
        <w:trPr>
          <w:trHeight w:val="729"/>
        </w:trPr>
        <w:tc>
          <w:tcPr>
            <w:tcW w:w="4940" w:type="dxa"/>
            <w:vAlign w:val="bottom"/>
            <w:gridSpan w:val="5"/>
          </w:tcPr>
          <w:p>
            <w:pPr>
              <w:spacing w:after="0"/>
              <w:rPr>
                <w:sz w:val="20"/>
                <w:szCs w:val="20"/>
                <w:color w:val="auto"/>
              </w:rPr>
            </w:pPr>
            <w:r>
              <w:rPr>
                <w:rFonts w:ascii="Arial" w:cs="Arial" w:eastAsia="Arial" w:hAnsi="Arial"/>
                <w:sz w:val="22"/>
                <w:szCs w:val="22"/>
                <w:color w:val="auto"/>
              </w:rPr>
              <w:t>Prescott Group Aggressive Small Cap II, L.P.</w:t>
            </w:r>
          </w:p>
        </w:tc>
      </w:tr>
      <w:tr>
        <w:trPr>
          <w:trHeight w:val="45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w w:val="90"/>
              </w:rPr>
              <w:t>Prescott Group Capital Management, L.L.C.,</w:t>
            </w:r>
          </w:p>
        </w:tc>
      </w:tr>
      <w:tr>
        <w:trPr>
          <w:trHeight w:val="274"/>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rPr>
              <w:t>its general partner</w:t>
            </w:r>
          </w:p>
        </w:tc>
      </w:tr>
      <w:tr>
        <w:trPr>
          <w:trHeight w:val="43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1"/>
              </w:rPr>
              <w:t>/s/ Phil Frohlich</w:t>
            </w:r>
          </w:p>
        </w:tc>
        <w:tc>
          <w:tcPr>
            <w:tcW w:w="2560" w:type="dxa"/>
            <w:vAlign w:val="bottom"/>
          </w:tcPr>
          <w:p>
            <w:pPr>
              <w:spacing w:after="0"/>
              <w:rPr>
                <w:sz w:val="24"/>
                <w:szCs w:val="24"/>
                <w:color w:val="auto"/>
              </w:rPr>
            </w:pPr>
          </w:p>
        </w:tc>
      </w:tr>
      <w:tr>
        <w:trPr>
          <w:trHeight w:val="274"/>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rPr>
              <w:t>PHIL FROHLICH, Managing Member</w:t>
            </w:r>
          </w:p>
        </w:tc>
      </w:tr>
      <w:tr>
        <w:trPr>
          <w:trHeight w:val="729"/>
        </w:trPr>
        <w:tc>
          <w:tcPr>
            <w:tcW w:w="4940" w:type="dxa"/>
            <w:vAlign w:val="bottom"/>
            <w:gridSpan w:val="5"/>
          </w:tcPr>
          <w:p>
            <w:pPr>
              <w:spacing w:after="0"/>
              <w:rPr>
                <w:sz w:val="20"/>
                <w:szCs w:val="20"/>
                <w:color w:val="auto"/>
              </w:rPr>
            </w:pPr>
            <w:r>
              <w:rPr>
                <w:rFonts w:ascii="Arial" w:cs="Arial" w:eastAsia="Arial" w:hAnsi="Arial"/>
                <w:sz w:val="22"/>
                <w:szCs w:val="22"/>
                <w:color w:val="auto"/>
                <w:w w:val="88"/>
              </w:rPr>
              <w:t>Prescott Group Aggressive Small Cap Master Fund, G.P.</w:t>
            </w:r>
          </w:p>
        </w:tc>
      </w:tr>
      <w:tr>
        <w:trPr>
          <w:trHeight w:val="45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980" w:type="dxa"/>
            <w:vAlign w:val="bottom"/>
            <w:gridSpan w:val="4"/>
          </w:tcPr>
          <w:p>
            <w:pPr>
              <w:spacing w:after="0"/>
              <w:rPr>
                <w:sz w:val="20"/>
                <w:szCs w:val="20"/>
                <w:color w:val="auto"/>
              </w:rPr>
            </w:pPr>
            <w:r>
              <w:rPr>
                <w:rFonts w:ascii="Arial" w:cs="Arial" w:eastAsia="Arial" w:hAnsi="Arial"/>
                <w:sz w:val="22"/>
                <w:szCs w:val="22"/>
                <w:color w:val="auto"/>
                <w:w w:val="92"/>
              </w:rPr>
              <w:t>Prescott Group Aggressive Small Cap, L.P.,</w:t>
            </w:r>
          </w:p>
        </w:tc>
      </w:tr>
      <w:tr>
        <w:trPr>
          <w:trHeight w:val="274"/>
        </w:trPr>
        <w:tc>
          <w:tcPr>
            <w:tcW w:w="960" w:type="dxa"/>
            <w:vAlign w:val="bottom"/>
          </w:tcPr>
          <w:p>
            <w:pPr>
              <w:spacing w:after="0"/>
              <w:rPr>
                <w:sz w:val="23"/>
                <w:szCs w:val="23"/>
                <w:color w:val="auto"/>
              </w:rPr>
            </w:pPr>
          </w:p>
        </w:tc>
        <w:tc>
          <w:tcPr>
            <w:tcW w:w="3980" w:type="dxa"/>
            <w:vAlign w:val="bottom"/>
            <w:gridSpan w:val="4"/>
          </w:tcPr>
          <w:p>
            <w:pPr>
              <w:spacing w:after="0"/>
              <w:rPr>
                <w:sz w:val="20"/>
                <w:szCs w:val="20"/>
                <w:color w:val="auto"/>
              </w:rPr>
            </w:pPr>
            <w:r>
              <w:rPr>
                <w:rFonts w:ascii="Arial" w:cs="Arial" w:eastAsia="Arial" w:hAnsi="Arial"/>
                <w:sz w:val="22"/>
                <w:szCs w:val="22"/>
                <w:color w:val="auto"/>
              </w:rPr>
              <w:t>general partner</w:t>
            </w:r>
          </w:p>
        </w:tc>
      </w:tr>
      <w:tr>
        <w:trPr>
          <w:trHeight w:val="45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980" w:type="dxa"/>
            <w:vAlign w:val="bottom"/>
            <w:gridSpan w:val="4"/>
          </w:tcPr>
          <w:p>
            <w:pPr>
              <w:spacing w:after="0"/>
              <w:rPr>
                <w:sz w:val="20"/>
                <w:szCs w:val="20"/>
                <w:color w:val="auto"/>
              </w:rPr>
            </w:pPr>
            <w:r>
              <w:rPr>
                <w:rFonts w:ascii="Arial" w:cs="Arial" w:eastAsia="Arial" w:hAnsi="Arial"/>
                <w:sz w:val="22"/>
                <w:szCs w:val="22"/>
                <w:color w:val="auto"/>
                <w:w w:val="88"/>
              </w:rPr>
              <w:t>Prescott Group Aggressive Small Cap II, L.P.,</w:t>
            </w:r>
          </w:p>
        </w:tc>
      </w:tr>
      <w:tr>
        <w:trPr>
          <w:trHeight w:val="274"/>
        </w:trPr>
        <w:tc>
          <w:tcPr>
            <w:tcW w:w="960" w:type="dxa"/>
            <w:vAlign w:val="bottom"/>
          </w:tcPr>
          <w:p>
            <w:pPr>
              <w:spacing w:after="0"/>
              <w:rPr>
                <w:sz w:val="23"/>
                <w:szCs w:val="23"/>
                <w:color w:val="auto"/>
              </w:rPr>
            </w:pPr>
          </w:p>
        </w:tc>
        <w:tc>
          <w:tcPr>
            <w:tcW w:w="3980" w:type="dxa"/>
            <w:vAlign w:val="bottom"/>
            <w:gridSpan w:val="4"/>
          </w:tcPr>
          <w:p>
            <w:pPr>
              <w:spacing w:after="0"/>
              <w:rPr>
                <w:sz w:val="20"/>
                <w:szCs w:val="20"/>
                <w:color w:val="auto"/>
              </w:rPr>
            </w:pPr>
            <w:r>
              <w:rPr>
                <w:rFonts w:ascii="Arial" w:cs="Arial" w:eastAsia="Arial" w:hAnsi="Arial"/>
                <w:sz w:val="22"/>
                <w:szCs w:val="22"/>
                <w:color w:val="auto"/>
              </w:rPr>
              <w:t>general partner</w:t>
            </w:r>
          </w:p>
        </w:tc>
      </w:tr>
      <w:tr>
        <w:trPr>
          <w:trHeight w:val="45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980" w:type="dxa"/>
            <w:vAlign w:val="bottom"/>
            <w:gridSpan w:val="4"/>
          </w:tcPr>
          <w:p>
            <w:pPr>
              <w:spacing w:after="0"/>
              <w:rPr>
                <w:sz w:val="20"/>
                <w:szCs w:val="20"/>
                <w:color w:val="auto"/>
              </w:rPr>
            </w:pPr>
            <w:r>
              <w:rPr>
                <w:rFonts w:ascii="Arial" w:cs="Arial" w:eastAsia="Arial" w:hAnsi="Arial"/>
                <w:sz w:val="22"/>
                <w:szCs w:val="22"/>
                <w:color w:val="auto"/>
                <w:w w:val="91"/>
              </w:rPr>
              <w:t>Prescott Group Capital Management, L.L.C.,</w:t>
            </w:r>
          </w:p>
        </w:tc>
      </w:tr>
      <w:tr>
        <w:trPr>
          <w:trHeight w:val="274"/>
        </w:trPr>
        <w:tc>
          <w:tcPr>
            <w:tcW w:w="960" w:type="dxa"/>
            <w:vAlign w:val="bottom"/>
          </w:tcPr>
          <w:p>
            <w:pPr>
              <w:spacing w:after="0"/>
              <w:rPr>
                <w:sz w:val="23"/>
                <w:szCs w:val="23"/>
                <w:color w:val="auto"/>
              </w:rPr>
            </w:pPr>
          </w:p>
        </w:tc>
        <w:tc>
          <w:tcPr>
            <w:tcW w:w="3980" w:type="dxa"/>
            <w:vAlign w:val="bottom"/>
            <w:gridSpan w:val="4"/>
          </w:tcPr>
          <w:p>
            <w:pPr>
              <w:spacing w:after="0"/>
              <w:rPr>
                <w:sz w:val="20"/>
                <w:szCs w:val="20"/>
                <w:color w:val="auto"/>
              </w:rPr>
            </w:pPr>
            <w:r>
              <w:rPr>
                <w:rFonts w:ascii="Arial" w:cs="Arial" w:eastAsia="Arial" w:hAnsi="Arial"/>
                <w:sz w:val="22"/>
                <w:szCs w:val="22"/>
                <w:color w:val="auto"/>
              </w:rPr>
              <w:t>general partner</w:t>
            </w:r>
          </w:p>
        </w:tc>
      </w:tr>
      <w:tr>
        <w:trPr>
          <w:trHeight w:val="43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980" w:type="dxa"/>
            <w:vAlign w:val="bottom"/>
            <w:gridSpan w:val="4"/>
          </w:tcPr>
          <w:p>
            <w:pPr>
              <w:spacing w:after="0"/>
              <w:rPr>
                <w:sz w:val="20"/>
                <w:szCs w:val="20"/>
                <w:color w:val="auto"/>
              </w:rPr>
            </w:pPr>
            <w:r>
              <w:rPr>
                <w:rFonts w:ascii="Arial" w:cs="Arial" w:eastAsia="Arial" w:hAnsi="Arial"/>
                <w:sz w:val="22"/>
                <w:szCs w:val="22"/>
                <w:color w:val="auto"/>
              </w:rPr>
              <w:t>/s/ Phil Frohlich</w:t>
            </w:r>
          </w:p>
        </w:tc>
      </w:tr>
      <w:tr>
        <w:trPr>
          <w:trHeight w:val="20"/>
        </w:trPr>
        <w:tc>
          <w:tcPr>
            <w:tcW w:w="96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274"/>
        </w:trPr>
        <w:tc>
          <w:tcPr>
            <w:tcW w:w="960" w:type="dxa"/>
            <w:vAlign w:val="bottom"/>
          </w:tcPr>
          <w:p>
            <w:pPr>
              <w:spacing w:after="0"/>
              <w:rPr>
                <w:sz w:val="23"/>
                <w:szCs w:val="23"/>
                <w:color w:val="auto"/>
              </w:rPr>
            </w:pPr>
          </w:p>
        </w:tc>
        <w:tc>
          <w:tcPr>
            <w:tcW w:w="3980" w:type="dxa"/>
            <w:vAlign w:val="bottom"/>
            <w:gridSpan w:val="4"/>
          </w:tcPr>
          <w:p>
            <w:pPr>
              <w:spacing w:after="0"/>
              <w:rPr>
                <w:sz w:val="20"/>
                <w:szCs w:val="20"/>
                <w:color w:val="auto"/>
              </w:rPr>
            </w:pPr>
            <w:r>
              <w:rPr>
                <w:rFonts w:ascii="Arial" w:cs="Arial" w:eastAsia="Arial" w:hAnsi="Arial"/>
                <w:sz w:val="22"/>
                <w:szCs w:val="22"/>
                <w:color w:val="auto"/>
              </w:rPr>
              <w:t>PHIL FROHLICH, Managing Member</w:t>
            </w:r>
          </w:p>
        </w:tc>
      </w:tr>
    </w:tbl>
    <w:p>
      <w:pPr>
        <w:spacing w:after="0" w:line="212" w:lineRule="exact"/>
        <w:rPr>
          <w:sz w:val="20"/>
          <w:szCs w:val="20"/>
          <w:color w:val="auto"/>
        </w:rPr>
      </w:pPr>
    </w:p>
    <w:p>
      <w:pPr>
        <w:ind w:left="960"/>
        <w:spacing w:after="0"/>
        <w:rPr>
          <w:sz w:val="20"/>
          <w:szCs w:val="20"/>
          <w:color w:val="auto"/>
        </w:rPr>
      </w:pPr>
      <w:r>
        <w:rPr>
          <w:rFonts w:ascii="Arial" w:cs="Arial" w:eastAsia="Arial" w:hAnsi="Arial"/>
          <w:sz w:val="22"/>
          <w:szCs w:val="22"/>
          <w:u w:val="single" w:color="auto"/>
          <w:color w:val="auto"/>
        </w:rPr>
        <w:t>/s/ Phil Frohlich</w:t>
      </w:r>
    </w:p>
    <w:p>
      <w:pPr>
        <w:spacing w:after="0" w:line="8" w:lineRule="exact"/>
        <w:rPr>
          <w:sz w:val="20"/>
          <w:szCs w:val="20"/>
          <w:color w:val="auto"/>
        </w:rPr>
      </w:pPr>
    </w:p>
    <w:p>
      <w:pPr>
        <w:ind w:left="960"/>
        <w:spacing w:after="0"/>
        <w:rPr>
          <w:sz w:val="20"/>
          <w:szCs w:val="20"/>
          <w:color w:val="auto"/>
        </w:rPr>
      </w:pPr>
      <w:r>
        <w:rPr>
          <w:rFonts w:ascii="Arial" w:cs="Arial" w:eastAsia="Arial" w:hAnsi="Arial"/>
          <w:sz w:val="22"/>
          <w:szCs w:val="22"/>
          <w:color w:val="auto"/>
        </w:rPr>
        <w:t>Phil Frohlich</w:t>
      </w:r>
    </w:p>
    <w:sectPr>
      <w:pgSz w:w="11900" w:h="16838" w:orient="portrait"/>
      <w:cols w:equalWidth="0" w:num="1">
        <w:col w:w="10900"/>
      </w:cols>
      <w:pgMar w:left="320" w:top="11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bullet"/>
      <w:start w:val="1"/>
    </w:lvl>
  </w:abstractNum>
  <w:abstractNum w:abstractNumId="3">
    <w:nsid w:val="7C83E458"/>
    <w:multiLevelType w:val="hybridMultilevel"/>
    <w:lvl w:ilvl="0">
      <w:lvlJc w:val="left"/>
      <w:lvlText w:val="2"/>
      <w:numFmt w:val="bullet"/>
      <w:start w:val="1"/>
    </w:lvl>
  </w:abstractNum>
  <w:abstractNum w:abstractNumId="4">
    <w:nsid w:val="257130A3"/>
    <w:multiLevelType w:val="hybridMultilevel"/>
    <w:lvl w:ilvl="0">
      <w:lvlJc w:val="left"/>
      <w:lvlText w:val="3"/>
      <w:numFmt w:val="bullet"/>
      <w:start w:val="1"/>
    </w:lvl>
  </w:abstractNum>
  <w:abstractNum w:abstractNumId="5">
    <w:nsid w:val="62BBD95A"/>
    <w:multiLevelType w:val="hybridMultilevel"/>
    <w:lvl w:ilvl="0">
      <w:lvlJc w:val="left"/>
      <w:lvlText w:val="4"/>
      <w:numFmt w:val="bullet"/>
      <w:start w:val="1"/>
    </w:lvl>
  </w:abstractNum>
  <w:abstractNum w:abstractNumId="6">
    <w:nsid w:val="436C6125"/>
    <w:multiLevelType w:val="hybridMultilevel"/>
    <w:lvl w:ilvl="0">
      <w:lvlJc w:val="left"/>
      <w:lvlText w:val="%1"/>
      <w:numFmt w:val="decimal"/>
      <w:start w:val="10"/>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2"/>
      <w:numFmt w:val="bullet"/>
      <w:start w:val="1"/>
    </w:lvl>
  </w:abstractNum>
  <w:abstractNum w:abstractNumId="10">
    <w:nsid w:val="2443A858"/>
    <w:multiLevelType w:val="hybridMultilevel"/>
    <w:lvl w:ilvl="0">
      <w:lvlJc w:val="left"/>
      <w:lvlText w:val="3"/>
      <w:numFmt w:val="bullet"/>
      <w:start w:val="1"/>
    </w:lvl>
  </w:abstractNum>
  <w:abstractNum w:abstractNumId="11">
    <w:nsid w:val="2D1D5AE9"/>
    <w:multiLevelType w:val="hybridMultilevel"/>
    <w:lvl w:ilvl="0">
      <w:lvlJc w:val="left"/>
      <w:lvlText w:val="4"/>
      <w:numFmt w:val="bullet"/>
      <w:start w:val="1"/>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bullet"/>
      <w:start w:val="1"/>
    </w:lvl>
  </w:abstractNum>
  <w:abstractNum w:abstractNumId="15">
    <w:nsid w:val="79838CB2"/>
    <w:multiLevelType w:val="hybridMultilevel"/>
    <w:lvl w:ilvl="0">
      <w:lvlJc w:val="left"/>
      <w:lvlText w:val="2"/>
      <w:numFmt w:val="bullet"/>
      <w:start w:val="1"/>
    </w:lvl>
  </w:abstractNum>
  <w:abstractNum w:abstractNumId="16">
    <w:nsid w:val="4353D0CD"/>
    <w:multiLevelType w:val="hybridMultilevel"/>
    <w:lvl w:ilvl="0">
      <w:lvlJc w:val="left"/>
      <w:lvlText w:val="3"/>
      <w:numFmt w:val="bullet"/>
      <w:start w:val="1"/>
    </w:lvl>
  </w:abstractNum>
  <w:abstractNum w:abstractNumId="17">
    <w:nsid w:val="B03E0C6"/>
    <w:multiLevelType w:val="hybridMultilevel"/>
    <w:lvl w:ilvl="0">
      <w:lvlJc w:val="left"/>
      <w:lvlText w:val="4"/>
      <w:numFmt w:val="bullet"/>
      <w:start w:val="1"/>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2"/>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1"/>
      <w:numFmt w:val="decimal"/>
      <w:start w:val="10"/>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bullet"/>
      <w:start w:val="1"/>
    </w:lvl>
  </w:abstractNum>
  <w:abstractNum w:abstractNumId="27">
    <w:nsid w:val="7C3DBD3D"/>
    <w:multiLevelType w:val="hybridMultilevel"/>
    <w:lvl w:ilvl="0">
      <w:lvlJc w:val="left"/>
      <w:lvlText w:val="2"/>
      <w:numFmt w:val="bullet"/>
      <w:start w:val="1"/>
    </w:lvl>
  </w:abstractNum>
  <w:abstractNum w:abstractNumId="28">
    <w:nsid w:val="737B8DDC"/>
    <w:multiLevelType w:val="hybridMultilevel"/>
    <w:lvl w:ilvl="0">
      <w:lvlJc w:val="left"/>
      <w:lvlText w:val="3"/>
      <w:numFmt w:val="bullet"/>
      <w:start w:val="1"/>
    </w:lvl>
  </w:abstractNum>
  <w:abstractNum w:abstractNumId="29">
    <w:nsid w:val="6CEAF087"/>
    <w:multiLevelType w:val="hybridMultilevel"/>
    <w:lvl w:ilvl="0">
      <w:lvlJc w:val="left"/>
      <w:lvlText w:val="4"/>
      <w:numFmt w:val="bullet"/>
      <w:start w:val="1"/>
    </w:lvl>
  </w:abstractNum>
  <w:abstractNum w:abstractNumId="30">
    <w:nsid w:val="22221A70"/>
    <w:multiLevelType w:val="hybridMultilevel"/>
    <w:lvl w:ilvl="0">
      <w:lvlJc w:val="left"/>
      <w:lvlText w:val="%1"/>
      <w:numFmt w:val="decimal"/>
      <w:start w:val="10"/>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2022-02-09T16:08:20Z</dcterms:created>
  <dcterms:modified xsi:type="dcterms:W3CDTF">2022-02-09T16:08:20Z</dcterms:modified>
</cp:coreProperties>
</file>