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96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9648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McCann Peter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333 CLAY STREET, SUITE 4980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Civeo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CVEO</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02/27/2019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23"/>
        <w:spacing w:after="0"/>
        <w:rPr>
          <w:sz w:val="20"/>
          <w:szCs w:val="20"/>
          <w:color w:val="auto"/>
        </w:rPr>
      </w:pPr>
      <w:r>
        <w:rPr>
          <w:rFonts w:ascii="Arial" w:cs="Arial" w:eastAsia="Arial" w:hAnsi="Arial"/>
          <w:sz w:val="18"/>
          <w:szCs w:val="18"/>
          <w:color w:val="0000FF"/>
        </w:rPr>
        <w:t>SVP, Australia</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77002</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02/27/2019</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w w:val="87"/>
              </w:rPr>
              <w:t>10,335</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2.69</w:t>
            </w:r>
            <w:r>
              <w:rPr>
                <w:rFonts w:ascii="Arial" w:cs="Arial" w:eastAsia="Arial" w:hAnsi="Arial"/>
                <w:sz w:val="22"/>
                <w:szCs w:val="22"/>
                <w:color w:val="008000"/>
                <w:w w:val="92"/>
                <w:vertAlign w:val="superscript"/>
              </w:rPr>
              <w:t>(1)</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580,329</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02/27/2019</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w w:val="87"/>
              </w:rPr>
              <w:t>28,057</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2.72</w:t>
            </w:r>
            <w:r>
              <w:rPr>
                <w:rFonts w:ascii="Arial" w:cs="Arial" w:eastAsia="Arial" w:hAnsi="Arial"/>
                <w:sz w:val="22"/>
                <w:szCs w:val="22"/>
                <w:color w:val="008000"/>
                <w:w w:val="92"/>
                <w:vertAlign w:val="superscript"/>
              </w:rPr>
              <w:t>(2)</w:t>
            </w:r>
          </w:p>
        </w:tc>
        <w:tc>
          <w:tcPr>
            <w:tcW w:w="124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552,272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2"/>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10"/>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6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6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6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80" w:firstLine="9"/>
        <w:spacing w:after="0" w:line="28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February 27, 2019, pursuant to a plan of disposition adopted in accordance with Rule 10b5-1 of the Securities Exchange Act of 1934 (the "10b5-1 Plan"), Mr. McCann sold 10,335 shares in multiple trades at prices ranging from $2.68 to $2.71. The price reported above reflects the weighted average price. Mr. McCann hereby undertakes to provide the Securities and Exchange Commission staff, the issuer or any security holder of the issuer, upon request, full information regarding the number of shares and prices at which the transaction was effected.</w:t>
      </w:r>
    </w:p>
    <w:p>
      <w:pPr>
        <w:spacing w:after="0" w:line="2" w:lineRule="exact"/>
        <w:rPr>
          <w:rFonts w:ascii="Arial" w:cs="Arial" w:eastAsia="Arial" w:hAnsi="Arial"/>
          <w:sz w:val="12"/>
          <w:szCs w:val="12"/>
          <w:color w:val="008000"/>
        </w:rPr>
      </w:pPr>
    </w:p>
    <w:p>
      <w:pPr>
        <w:ind w:left="40" w:right="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27, 2019, pursuant to the 10b5-1 Plan, Mr. McCann sold 28,057 shares in multiple trades at prices ranging from $2.70 to $2.77. The price reported above reflects the weighted average price. Mr. McCann hereby undertakes to provide the Securities and Exchange Commission staff, the issuer or any security holder of the issuer, upon request, full information regarding the number of shares and prices at which the transaction was effected.</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Senior Vice President, Australia</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/s/ Peter McCann, by Bradley</w:t>
            </w:r>
          </w:p>
        </w:tc>
        <w:tc>
          <w:tcPr>
            <w:tcW w:w="100" w:type="dxa"/>
            <w:vAlign w:val="bottom"/>
          </w:tcPr>
          <w:p>
            <w:pPr>
              <w:spacing w:after="0"/>
              <w:rPr>
                <w:sz w:val="18"/>
                <w:szCs w:val="18"/>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02/28/2019</w:t>
            </w:r>
          </w:p>
        </w:tc>
        <w:tc>
          <w:tcPr>
            <w:tcW w:w="0" w:type="dxa"/>
            <w:vAlign w:val="bottom"/>
          </w:tcPr>
          <w:p>
            <w:pPr>
              <w:spacing w:after="0"/>
              <w:rPr>
                <w:sz w:val="1"/>
                <w:szCs w:val="1"/>
                <w:color w:val="auto"/>
              </w:rPr>
            </w:pPr>
          </w:p>
        </w:tc>
      </w:tr>
      <w:tr>
        <w:trPr>
          <w:trHeight w:val="88"/>
        </w:trPr>
        <w:tc>
          <w:tcPr>
            <w:tcW w:w="19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J. Dodson, Attorney-in-Fact</w:t>
            </w:r>
          </w:p>
        </w:tc>
        <w:tc>
          <w:tcPr>
            <w:tcW w:w="22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980" w:type="dxa"/>
            <w:vAlign w:val="bottom"/>
            <w:tcBorders>
              <w:bottom w:val="single" w:sz="8" w:color="auto"/>
            </w:tcBorders>
            <w:vMerge w:val="continue"/>
          </w:tcPr>
          <w:p>
            <w:pPr>
              <w:spacing w:after="0"/>
              <w:rPr>
                <w:sz w:val="7"/>
                <w:szCs w:val="7"/>
                <w:color w:val="auto"/>
              </w:rPr>
            </w:pPr>
          </w:p>
        </w:tc>
        <w:tc>
          <w:tcPr>
            <w:tcW w:w="2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07344" TargetMode="External"/><Relationship Id="rId13" Type="http://schemas.openxmlformats.org/officeDocument/2006/relationships/hyperlink" Target="http://www.sec.gov/cgi-bin/browse-edgar?action=getcompany&amp;CIK=00015905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2019-12-24T08:29:43Z</dcterms:created>
  <dcterms:modified xsi:type="dcterms:W3CDTF">2019-12-24T08:29:43Z</dcterms:modified>
</cp:coreProperties>
</file>