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2"/>
        </w:trPr>
        <w:tc>
          <w:tcPr>
            <w:tcW w:w="2280" w:type="dxa"/>
            <w:vAlign w:val="bottom"/>
          </w:tcPr>
          <w:p>
            <w:pPr>
              <w:spacing w:after="0"/>
              <w:rPr>
                <w:sz w:val="20"/>
                <w:szCs w:val="20"/>
                <w:color w:val="auto"/>
              </w:rPr>
            </w:pPr>
            <w:r>
              <w:rPr>
                <w:rFonts w:ascii="Arial" w:cs="Arial" w:eastAsia="Arial" w:hAnsi="Arial"/>
                <w:sz w:val="17"/>
                <w:szCs w:val="17"/>
                <w:color w:val="auto"/>
              </w:rPr>
              <w:t>SEC Form 3</w:t>
            </w:r>
          </w:p>
        </w:tc>
        <w:tc>
          <w:tcPr>
            <w:tcW w:w="7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280" w:type="dxa"/>
            <w:vAlign w:val="bottom"/>
          </w:tcPr>
          <w:p>
            <w:pPr>
              <w:ind w:left="800"/>
              <w:spacing w:after="0"/>
              <w:rPr>
                <w:sz w:val="20"/>
                <w:szCs w:val="20"/>
                <w:color w:val="auto"/>
              </w:rPr>
            </w:pPr>
            <w:r>
              <w:rPr>
                <w:rFonts w:ascii="Arial" w:cs="Arial" w:eastAsia="Arial" w:hAnsi="Arial"/>
                <w:sz w:val="20"/>
                <w:szCs w:val="20"/>
                <w:b w:val="1"/>
                <w:bCs w:val="1"/>
                <w:color w:val="auto"/>
              </w:rPr>
              <w:t>FORM 3</w:t>
            </w:r>
          </w:p>
        </w:tc>
        <w:tc>
          <w:tcPr>
            <w:tcW w:w="7060" w:type="dxa"/>
            <w:vAlign w:val="bottom"/>
          </w:tcPr>
          <w:p>
            <w:pPr>
              <w:jc w:val="center"/>
              <w:spacing w:after="0"/>
              <w:rPr>
                <w:sz w:val="20"/>
                <w:szCs w:val="20"/>
                <w:color w:val="auto"/>
              </w:rPr>
            </w:pPr>
            <w:r>
              <w:rPr>
                <w:rFonts w:ascii="Arial" w:cs="Arial" w:eastAsia="Arial" w:hAnsi="Arial"/>
                <w:sz w:val="17"/>
                <w:szCs w:val="17"/>
                <w:b w:val="1"/>
                <w:bCs w:val="1"/>
                <w:color w:val="auto"/>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060" w:type="dxa"/>
            <w:vAlign w:val="bottom"/>
            <w:vMerge w:val="restart"/>
          </w:tcPr>
          <w:p>
            <w:pPr>
              <w:jc w:val="center"/>
              <w:spacing w:after="0" w:line="111" w:lineRule="exact"/>
              <w:rPr>
                <w:sz w:val="20"/>
                <w:szCs w:val="20"/>
                <w:color w:val="auto"/>
              </w:rPr>
            </w:pPr>
            <w:r>
              <w:rPr>
                <w:rFonts w:ascii="Arial" w:cs="Arial" w:eastAsia="Arial" w:hAnsi="Arial"/>
                <w:sz w:val="11"/>
                <w:szCs w:val="11"/>
                <w:color w:val="auto"/>
                <w:w w:val="98"/>
              </w:rPr>
              <w:t>Washington, D.C. 20549</w:t>
            </w:r>
          </w:p>
        </w:tc>
        <w:tc>
          <w:tcPr>
            <w:tcW w:w="2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280" w:type="dxa"/>
            <w:vAlign w:val="bottom"/>
          </w:tcPr>
          <w:p>
            <w:pPr>
              <w:spacing w:after="0"/>
              <w:rPr>
                <w:sz w:val="6"/>
                <w:szCs w:val="6"/>
                <w:color w:val="auto"/>
              </w:rPr>
            </w:pPr>
          </w:p>
        </w:tc>
        <w:tc>
          <w:tcPr>
            <w:tcW w:w="70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200" w:type="dxa"/>
            <w:vAlign w:val="bottom"/>
            <w:gridSpan w:val="3"/>
            <w:vMerge w:val="restart"/>
          </w:tcPr>
          <w:p>
            <w:pPr>
              <w:ind w:left="54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060" w:type="dxa"/>
            <w:vAlign w:val="bottom"/>
            <w:vMerge w:val="restart"/>
          </w:tcPr>
          <w:p>
            <w:pPr>
              <w:jc w:val="center"/>
              <w:spacing w:after="0" w:line="156" w:lineRule="exact"/>
              <w:rPr>
                <w:sz w:val="20"/>
                <w:szCs w:val="20"/>
                <w:color w:val="auto"/>
              </w:rPr>
            </w:pPr>
            <w:r>
              <w:rPr>
                <w:rFonts w:ascii="Arial" w:cs="Arial" w:eastAsia="Arial" w:hAnsi="Arial"/>
                <w:sz w:val="17"/>
                <w:szCs w:val="17"/>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80" w:type="dxa"/>
            <w:vAlign w:val="bottom"/>
          </w:tcPr>
          <w:p>
            <w:pPr>
              <w:spacing w:after="0"/>
              <w:rPr>
                <w:sz w:val="10"/>
                <w:szCs w:val="10"/>
                <w:color w:val="auto"/>
              </w:rPr>
            </w:pPr>
          </w:p>
        </w:tc>
        <w:tc>
          <w:tcPr>
            <w:tcW w:w="70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3235-0104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80" w:type="dxa"/>
            <w:vAlign w:val="bottom"/>
          </w:tcPr>
          <w:p>
            <w:pPr>
              <w:spacing w:after="0"/>
              <w:rPr>
                <w:sz w:val="13"/>
                <w:szCs w:val="13"/>
                <w:color w:val="auto"/>
              </w:rPr>
            </w:pPr>
          </w:p>
        </w:tc>
        <w:tc>
          <w:tcPr>
            <w:tcW w:w="7060" w:type="dxa"/>
            <w:vAlign w:val="bottom"/>
            <w:vMerge w:val="restart"/>
          </w:tcPr>
          <w:p>
            <w:pPr>
              <w:jc w:val="center"/>
              <w:spacing w:after="0"/>
              <w:rPr>
                <w:sz w:val="20"/>
                <w:szCs w:val="20"/>
                <w:color w:val="auto"/>
              </w:rPr>
            </w:pPr>
            <w:r>
              <w:rPr>
                <w:rFonts w:ascii="Arial" w:cs="Arial" w:eastAsia="Arial" w:hAnsi="Arial"/>
                <w:sz w:val="11"/>
                <w:szCs w:val="11"/>
                <w:color w:val="auto"/>
                <w:w w:val="99"/>
              </w:rPr>
              <w:t>Filed pursuant to Section 16(a) of the Securities Exchange Act of 1934</w:t>
            </w: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4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70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0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7300595</wp:posOffset>
            </wp:positionH>
            <wp:positionV relativeFrom="paragraph">
              <wp:posOffset>-531495</wp:posOffset>
            </wp:positionV>
            <wp:extent cx="53340" cy="544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40" cy="544830"/>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-531495</wp:posOffset>
            </wp:positionV>
            <wp:extent cx="53340" cy="544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340" cy="5448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7389495" cy="3413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89495" cy="3413125"/>
                    </a:xfrm>
                    <a:prstGeom prst="rect">
                      <a:avLst/>
                    </a:prstGeom>
                    <a:noFill/>
                  </pic:spPr>
                </pic:pic>
              </a:graphicData>
            </a:graphic>
          </wp:anchor>
        </w:drawing>
      </w:r>
    </w:p>
    <w:p>
      <w:pPr>
        <w:sectPr>
          <w:pgSz w:w="11900" w:h="16838" w:orient="portrait"/>
          <w:cols w:equalWidth="0" w:num="1">
            <w:col w:w="11600"/>
          </w:cols>
          <w:pgMar w:left="140" w:top="130" w:right="159" w:bottom="1440" w:gutter="0" w:footer="0" w:header="0"/>
        </w:sectPr>
      </w:pPr>
    </w:p>
    <w:p>
      <w:pPr>
        <w:spacing w:after="0" w:line="27"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3340" w:type="dxa"/>
            <w:vAlign w:val="bottom"/>
            <w:gridSpan w:val="3"/>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500" w:type="dxa"/>
            <w:vAlign w:val="bottom"/>
          </w:tcPr>
          <w:p>
            <w:pPr>
              <w:ind w:left="120"/>
              <w:spacing w:after="0"/>
              <w:rPr>
                <w:sz w:val="20"/>
                <w:szCs w:val="20"/>
                <w:color w:val="auto"/>
              </w:rPr>
            </w:pPr>
            <w:r>
              <w:rPr>
                <w:rFonts w:ascii="Arial" w:cs="Arial" w:eastAsia="Arial" w:hAnsi="Arial"/>
                <w:sz w:val="11"/>
                <w:szCs w:val="11"/>
                <w:color w:val="auto"/>
              </w:rPr>
              <w:t>2. Date of Event Requiring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restart"/>
          </w:tcPr>
          <w:p>
            <w:pPr>
              <w:spacing w:after="0"/>
              <w:rPr>
                <w:rFonts w:ascii="Arial" w:cs="Arial" w:eastAsia="Arial" w:hAnsi="Arial"/>
                <w:sz w:val="17"/>
                <w:szCs w:val="17"/>
                <w:color w:val="0000EE"/>
                <w:w w:val="93"/>
              </w:rPr>
            </w:pPr>
            <w:hyperlink r:id="rId11">
              <w:r>
                <w:rPr>
                  <w:rFonts w:ascii="Arial" w:cs="Arial" w:eastAsia="Arial" w:hAnsi="Arial"/>
                  <w:sz w:val="17"/>
                  <w:szCs w:val="17"/>
                  <w:color w:val="0000EE"/>
                  <w:w w:val="93"/>
                </w:rPr>
                <w:t>Brewer Barclay</w:t>
              </w:r>
            </w:hyperlink>
          </w:p>
        </w:tc>
        <w:tc>
          <w:tcPr>
            <w:tcW w:w="2220" w:type="dxa"/>
            <w:vAlign w:val="bottom"/>
          </w:tcPr>
          <w:p>
            <w:pPr>
              <w:spacing w:after="0"/>
              <w:rPr>
                <w:sz w:val="8"/>
                <w:szCs w:val="8"/>
                <w:color w:val="auto"/>
              </w:rPr>
            </w:pPr>
          </w:p>
        </w:tc>
        <w:tc>
          <w:tcPr>
            <w:tcW w:w="1500" w:type="dxa"/>
            <w:vAlign w:val="bottom"/>
          </w:tcPr>
          <w:p>
            <w:pPr>
              <w:ind w:left="120"/>
              <w:spacing w:after="0" w:line="102" w:lineRule="exact"/>
              <w:rPr>
                <w:sz w:val="20"/>
                <w:szCs w:val="20"/>
                <w:color w:val="auto"/>
              </w:rPr>
            </w:pPr>
            <w:r>
              <w:rPr>
                <w:rFonts w:ascii="Arial" w:cs="Arial" w:eastAsia="Arial" w:hAnsi="Arial"/>
                <w:sz w:val="11"/>
                <w:szCs w:val="11"/>
                <w:color w:val="auto"/>
                <w:w w:val="97"/>
              </w:rPr>
              <w:t>Statement (Month/Day/Year)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Borders>
              <w:bottom w:val="single" w:sz="8" w:color="0000EE"/>
            </w:tcBorders>
            <w:vMerge w:val="continue"/>
          </w:tcPr>
          <w:p>
            <w:pPr>
              <w:spacing w:after="0"/>
              <w:rPr>
                <w:sz w:val="10"/>
                <w:szCs w:val="10"/>
                <w:color w:val="auto"/>
              </w:rPr>
            </w:pPr>
          </w:p>
        </w:tc>
        <w:tc>
          <w:tcPr>
            <w:tcW w:w="2220" w:type="dxa"/>
            <w:vAlign w:val="bottom"/>
            <w:vMerge w:val="restart"/>
          </w:tcPr>
          <w:p>
            <w:pPr>
              <w:spacing w:after="0"/>
              <w:rPr>
                <w:sz w:val="10"/>
                <w:szCs w:val="10"/>
                <w:color w:val="auto"/>
              </w:rPr>
            </w:pPr>
          </w:p>
        </w:tc>
        <w:tc>
          <w:tcPr>
            <w:tcW w:w="1500" w:type="dxa"/>
            <w:vAlign w:val="bottom"/>
            <w:vMerge w:val="restart"/>
          </w:tcPr>
          <w:p>
            <w:pPr>
              <w:ind w:left="120"/>
              <w:spacing w:after="0"/>
              <w:rPr>
                <w:sz w:val="20"/>
                <w:szCs w:val="20"/>
                <w:color w:val="auto"/>
              </w:rPr>
            </w:pPr>
            <w:r>
              <w:rPr>
                <w:rFonts w:ascii="Arial" w:cs="Arial" w:eastAsia="Arial" w:hAnsi="Arial"/>
                <w:sz w:val="14"/>
                <w:szCs w:val="14"/>
                <w:color w:val="0000FF"/>
              </w:rPr>
              <w:t>11/15/2019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15" w:lineRule="exact"/>
        <w:rPr>
          <w:sz w:val="24"/>
          <w:szCs w:val="24"/>
          <w:color w:val="auto"/>
        </w:rPr>
      </w:pPr>
    </w:p>
    <w:p>
      <w:pPr>
        <w:spacing w:after="0"/>
        <w:rPr>
          <w:rFonts w:ascii="Arial" w:cs="Arial" w:eastAsia="Arial" w:hAnsi="Arial"/>
          <w:sz w:val="17"/>
          <w:szCs w:val="17"/>
          <w:color w:val="0000EE"/>
        </w:rPr>
      </w:pPr>
      <w:hyperlink r:id="rId12">
        <w:r>
          <w:rPr>
            <w:rFonts w:ascii="Arial" w:cs="Arial" w:eastAsia="Arial" w:hAnsi="Arial"/>
            <w:sz w:val="17"/>
            <w:szCs w:val="17"/>
            <w:u w:val="single" w:color="auto"/>
            <w:color w:val="0000EE"/>
          </w:rPr>
          <w:t>Civeo Corp</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CVEO</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329" w:lineRule="exact"/>
        <w:rPr>
          <w:sz w:val="24"/>
          <w:szCs w:val="24"/>
          <w:color w:val="auto"/>
        </w:rPr>
      </w:pPr>
    </w:p>
    <w:p>
      <w:pPr>
        <w:sectPr>
          <w:pgSz w:w="11900" w:h="16838" w:orient="portrait"/>
          <w:cols w:equalWidth="0" w:num="2">
            <w:col w:w="4920" w:space="360"/>
            <w:col w:w="6320"/>
          </w:cols>
          <w:pgMar w:left="140" w:top="130" w:right="159" w:bottom="1440" w:gutter="0" w:footer="0" w:header="0"/>
          <w:type w:val="continuous"/>
        </w:sectPr>
      </w:pPr>
    </w:p>
    <w:tbl>
      <w:tblPr>
        <w:tblLayout w:type="fixed"/>
        <w:tblInd w:w="8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920" w:type="dxa"/>
            <w:vAlign w:val="bottom"/>
          </w:tcPr>
          <w:p>
            <w:pPr>
              <w:spacing w:after="0"/>
              <w:rPr>
                <w:sz w:val="20"/>
                <w:szCs w:val="20"/>
                <w:color w:val="auto"/>
              </w:rPr>
            </w:pPr>
            <w:r>
              <w:rPr>
                <w:rFonts w:ascii="Arial" w:cs="Arial" w:eastAsia="Arial" w:hAnsi="Arial"/>
                <w:sz w:val="11"/>
                <w:szCs w:val="11"/>
                <w:color w:val="auto"/>
              </w:rPr>
              <w:t>(Last)</w:t>
            </w:r>
          </w:p>
        </w:tc>
        <w:tc>
          <w:tcPr>
            <w:tcW w:w="900" w:type="dxa"/>
            <w:vAlign w:val="bottom"/>
          </w:tcPr>
          <w:p>
            <w:pPr>
              <w:ind w:left="200"/>
              <w:spacing w:after="0"/>
              <w:rPr>
                <w:sz w:val="20"/>
                <w:szCs w:val="20"/>
                <w:color w:val="auto"/>
              </w:rPr>
            </w:pPr>
            <w:r>
              <w:rPr>
                <w:rFonts w:ascii="Arial" w:cs="Arial" w:eastAsia="Arial" w:hAnsi="Arial"/>
                <w:sz w:val="11"/>
                <w:szCs w:val="11"/>
                <w:color w:val="auto"/>
              </w:rPr>
              <w:t>(First)</w:t>
            </w:r>
          </w:p>
        </w:tc>
        <w:tc>
          <w:tcPr>
            <w:tcW w:w="1500" w:type="dxa"/>
            <w:vAlign w:val="bottom"/>
          </w:tcPr>
          <w:p>
            <w:pPr>
              <w:ind w:left="420"/>
              <w:spacing w:after="0"/>
              <w:rPr>
                <w:sz w:val="20"/>
                <w:szCs w:val="20"/>
                <w:color w:val="auto"/>
              </w:rPr>
            </w:pPr>
            <w:r>
              <w:rPr>
                <w:rFonts w:ascii="Arial" w:cs="Arial" w:eastAsia="Arial" w:hAnsi="Arial"/>
                <w:sz w:val="11"/>
                <w:szCs w:val="11"/>
                <w:color w:val="auto"/>
              </w:rPr>
              <w:t>(Middle)</w:t>
            </w:r>
          </w:p>
        </w:tc>
      </w:tr>
      <w:tr>
        <w:trPr>
          <w:trHeight w:val="228"/>
        </w:trPr>
        <w:tc>
          <w:tcPr>
            <w:tcW w:w="20" w:type="dxa"/>
            <w:vAlign w:val="bottom"/>
          </w:tcPr>
          <w:p>
            <w:pPr>
              <w:spacing w:after="0"/>
              <w:rPr>
                <w:sz w:val="19"/>
                <w:szCs w:val="19"/>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0000FF"/>
              </w:rPr>
              <w:t>333 CLAY STREET</w:t>
            </w:r>
          </w:p>
        </w:tc>
        <w:tc>
          <w:tcPr>
            <w:tcW w:w="15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4"/>
                <w:szCs w:val="14"/>
                <w:color w:val="0000FF"/>
              </w:rPr>
              <w:t>SUITE 4980</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23"/>
        </w:trPr>
        <w:tc>
          <w:tcPr>
            <w:tcW w:w="20" w:type="dxa"/>
            <w:vAlign w:val="bottom"/>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r>
        <w:trPr>
          <w:trHeight w:val="217"/>
        </w:trPr>
        <w:tc>
          <w:tcPr>
            <w:tcW w:w="940" w:type="dxa"/>
            <w:vAlign w:val="bottom"/>
            <w:gridSpan w:val="2"/>
          </w:tcPr>
          <w:p>
            <w:pPr>
              <w:spacing w:after="0"/>
              <w:rPr>
                <w:sz w:val="20"/>
                <w:szCs w:val="20"/>
                <w:color w:val="auto"/>
              </w:rPr>
            </w:pPr>
            <w:r>
              <w:rPr>
                <w:rFonts w:ascii="Arial" w:cs="Arial" w:eastAsia="Arial" w:hAnsi="Arial"/>
                <w:sz w:val="11"/>
                <w:szCs w:val="11"/>
                <w:color w:val="auto"/>
              </w:rPr>
              <w:t>(Street)</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4"/>
                <w:szCs w:val="14"/>
                <w:color w:val="0000FF"/>
              </w:rPr>
              <w:t>HOUSTON</w:t>
            </w:r>
          </w:p>
        </w:tc>
        <w:tc>
          <w:tcPr>
            <w:tcW w:w="900" w:type="dxa"/>
            <w:vAlign w:val="bottom"/>
          </w:tcPr>
          <w:p>
            <w:pPr>
              <w:ind w:left="200"/>
              <w:spacing w:after="0"/>
              <w:rPr>
                <w:sz w:val="20"/>
                <w:szCs w:val="20"/>
                <w:color w:val="auto"/>
              </w:rPr>
            </w:pPr>
            <w:r>
              <w:rPr>
                <w:rFonts w:ascii="Arial" w:cs="Arial" w:eastAsia="Arial" w:hAnsi="Arial"/>
                <w:sz w:val="14"/>
                <w:szCs w:val="14"/>
                <w:color w:val="0000FF"/>
              </w:rPr>
              <w:t>TX</w:t>
            </w:r>
          </w:p>
        </w:tc>
        <w:tc>
          <w:tcPr>
            <w:tcW w:w="1500" w:type="dxa"/>
            <w:vAlign w:val="bottom"/>
          </w:tcPr>
          <w:p>
            <w:pPr>
              <w:ind w:left="420"/>
              <w:spacing w:after="0"/>
              <w:rPr>
                <w:sz w:val="20"/>
                <w:szCs w:val="20"/>
                <w:color w:val="auto"/>
              </w:rPr>
            </w:pPr>
            <w:r>
              <w:rPr>
                <w:rFonts w:ascii="Arial" w:cs="Arial" w:eastAsia="Arial" w:hAnsi="Arial"/>
                <w:sz w:val="14"/>
                <w:szCs w:val="14"/>
                <w:color w:val="0000FF"/>
              </w:rPr>
              <w:t>77002</w:t>
            </w:r>
          </w:p>
        </w:tc>
      </w:tr>
    </w:tbl>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3" w:right="940" w:hanging="3"/>
        <w:spacing w:after="0" w:line="237" w:lineRule="auto"/>
        <w:tabs>
          <w:tab w:leader="none" w:pos="125" w:val="left"/>
        </w:tabs>
        <w:numPr>
          <w:ilvl w:val="0"/>
          <w:numId w:val="1"/>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23" w:lineRule="exact"/>
        <w:rPr>
          <w:sz w:val="24"/>
          <w:szCs w:val="24"/>
          <w:color w:val="auto"/>
        </w:rPr>
      </w:pPr>
    </w:p>
    <w:tbl>
      <w:tblPr>
        <w:tblLayout w:type="fixed"/>
        <w:tblInd w:w="223" w:type="dxa"/>
        <w:tblCellMar>
          <w:top w:w="0" w:type="dxa"/>
          <w:left w:w="0" w:type="dxa"/>
          <w:bottom w:w="0" w:type="dxa"/>
          <w:right w:w="0" w:type="dxa"/>
        </w:tblCellMar>
      </w:tblPr>
      <w:tr>
        <w:trPr>
          <w:trHeight w:val="131"/>
        </w:trPr>
        <w:tc>
          <w:tcPr>
            <w:tcW w:w="200" w:type="dxa"/>
            <w:vAlign w:val="bottom"/>
          </w:tcPr>
          <w:p>
            <w:pPr>
              <w:spacing w:after="0"/>
              <w:rPr>
                <w:sz w:val="11"/>
                <w:szCs w:val="11"/>
                <w:color w:val="auto"/>
              </w:rPr>
            </w:pPr>
          </w:p>
        </w:tc>
        <w:tc>
          <w:tcPr>
            <w:tcW w:w="1360" w:type="dxa"/>
            <w:vAlign w:val="bottom"/>
          </w:tcPr>
          <w:p>
            <w:pPr>
              <w:ind w:left="120"/>
              <w:spacing w:after="0"/>
              <w:rPr>
                <w:sz w:val="20"/>
                <w:szCs w:val="20"/>
                <w:color w:val="auto"/>
              </w:rPr>
            </w:pPr>
            <w:r>
              <w:rPr>
                <w:rFonts w:ascii="Arial" w:cs="Arial" w:eastAsia="Arial" w:hAnsi="Arial"/>
                <w:sz w:val="11"/>
                <w:szCs w:val="11"/>
                <w:color w:val="auto"/>
              </w:rPr>
              <w:t>Director</w:t>
            </w:r>
          </w:p>
        </w:tc>
        <w:tc>
          <w:tcPr>
            <w:tcW w:w="1460" w:type="dxa"/>
            <w:vAlign w:val="bottom"/>
          </w:tcPr>
          <w:p>
            <w:pPr>
              <w:ind w:left="44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53"/>
        </w:trPr>
        <w:tc>
          <w:tcPr>
            <w:tcW w:w="200" w:type="dxa"/>
            <w:vAlign w:val="bottom"/>
            <w:vMerge w:val="restart"/>
          </w:tcPr>
          <w:p>
            <w:pPr>
              <w:spacing w:after="0"/>
              <w:rPr>
                <w:sz w:val="20"/>
                <w:szCs w:val="20"/>
                <w:color w:val="auto"/>
              </w:rPr>
            </w:pPr>
            <w:r>
              <w:rPr>
                <w:rFonts w:ascii="Arial" w:cs="Arial" w:eastAsia="Arial" w:hAnsi="Arial"/>
                <w:sz w:val="14"/>
                <w:szCs w:val="14"/>
                <w:color w:val="0000FF"/>
              </w:rPr>
              <w:t>X</w:t>
            </w:r>
          </w:p>
        </w:tc>
        <w:tc>
          <w:tcPr>
            <w:tcW w:w="1360" w:type="dxa"/>
            <w:vAlign w:val="bottom"/>
          </w:tcPr>
          <w:p>
            <w:pPr>
              <w:ind w:left="120"/>
              <w:spacing w:after="0"/>
              <w:rPr>
                <w:sz w:val="20"/>
                <w:szCs w:val="20"/>
                <w:color w:val="auto"/>
              </w:rPr>
            </w:pPr>
            <w:r>
              <w:rPr>
                <w:rFonts w:ascii="Arial" w:cs="Arial" w:eastAsia="Arial" w:hAnsi="Arial"/>
                <w:sz w:val="11"/>
                <w:szCs w:val="11"/>
                <w:color w:val="auto"/>
              </w:rPr>
              <w:t>Officer (give title</w:t>
            </w:r>
          </w:p>
        </w:tc>
        <w:tc>
          <w:tcPr>
            <w:tcW w:w="1460" w:type="dxa"/>
            <w:vAlign w:val="bottom"/>
            <w:vMerge w:val="restart"/>
          </w:tcPr>
          <w:p>
            <w:pPr>
              <w:ind w:left="440"/>
              <w:spacing w:after="0"/>
              <w:rPr>
                <w:sz w:val="20"/>
                <w:szCs w:val="20"/>
                <w:color w:val="auto"/>
              </w:rPr>
            </w:pPr>
            <w:r>
              <w:rPr>
                <w:rFonts w:ascii="Arial" w:cs="Arial" w:eastAsia="Arial" w:hAnsi="Arial"/>
                <w:sz w:val="11"/>
                <w:szCs w:val="11"/>
                <w:color w:val="auto"/>
                <w:w w:val="96"/>
              </w:rPr>
              <w:t>Other (specify below)</w:t>
            </w:r>
          </w:p>
        </w:tc>
        <w:tc>
          <w:tcPr>
            <w:tcW w:w="0" w:type="dxa"/>
            <w:vAlign w:val="bottom"/>
          </w:tcPr>
          <w:p>
            <w:pPr>
              <w:spacing w:after="0"/>
              <w:rPr>
                <w:sz w:val="1"/>
                <w:szCs w:val="1"/>
                <w:color w:val="auto"/>
              </w:rPr>
            </w:pPr>
          </w:p>
        </w:tc>
      </w:tr>
      <w:tr>
        <w:trPr>
          <w:trHeight w:val="86"/>
        </w:trPr>
        <w:tc>
          <w:tcPr>
            <w:tcW w:w="200" w:type="dxa"/>
            <w:vAlign w:val="bottom"/>
            <w:vMerge w:val="continue"/>
          </w:tcPr>
          <w:p>
            <w:pPr>
              <w:spacing w:after="0"/>
              <w:rPr>
                <w:sz w:val="7"/>
                <w:szCs w:val="7"/>
                <w:color w:val="auto"/>
              </w:rPr>
            </w:pPr>
          </w:p>
        </w:tc>
        <w:tc>
          <w:tcPr>
            <w:tcW w:w="1360" w:type="dxa"/>
            <w:vAlign w:val="bottom"/>
            <w:vMerge w:val="restart"/>
          </w:tcPr>
          <w:p>
            <w:pPr>
              <w:ind w:left="120"/>
              <w:spacing w:after="0"/>
              <w:rPr>
                <w:sz w:val="20"/>
                <w:szCs w:val="20"/>
                <w:color w:val="auto"/>
              </w:rPr>
            </w:pPr>
            <w:r>
              <w:rPr>
                <w:rFonts w:ascii="Arial" w:cs="Arial" w:eastAsia="Arial" w:hAnsi="Arial"/>
                <w:sz w:val="11"/>
                <w:szCs w:val="11"/>
                <w:color w:val="auto"/>
              </w:rPr>
              <w:t>below)</w:t>
            </w: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843"/>
        <w:spacing w:after="0"/>
        <w:rPr>
          <w:sz w:val="20"/>
          <w:szCs w:val="20"/>
          <w:color w:val="auto"/>
        </w:rPr>
      </w:pPr>
      <w:r>
        <w:rPr>
          <w:rFonts w:ascii="Arial" w:cs="Arial" w:eastAsia="Arial" w:hAnsi="Arial"/>
          <w:sz w:val="14"/>
          <w:szCs w:val="14"/>
          <w:color w:val="0000FF"/>
        </w:rPr>
        <w:t>Vice President and Controller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114" w:hanging="114"/>
        <w:spacing w:after="0"/>
        <w:tabs>
          <w:tab w:leader="none" w:pos="114"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310" w:lineRule="exact"/>
        <w:rPr>
          <w:rFonts w:ascii="Arial" w:cs="Arial" w:eastAsia="Arial" w:hAnsi="Arial"/>
          <w:sz w:val="10"/>
          <w:szCs w:val="10"/>
          <w:color w:val="auto"/>
        </w:rPr>
      </w:pPr>
    </w:p>
    <w:p>
      <w:pPr>
        <w:ind w:left="174" w:right="80" w:hanging="174"/>
        <w:spacing w:after="0" w:line="297" w:lineRule="auto"/>
        <w:tabs>
          <w:tab w:leader="none" w:pos="11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Individual or Joint/Group Filing (Check Applicable Line) </w:t>
      </w:r>
      <w:r>
        <w:rPr>
          <w:rFonts w:ascii="Arial" w:cs="Arial" w:eastAsia="Arial" w:hAnsi="Arial"/>
          <w:sz w:val="14"/>
          <w:szCs w:val="14"/>
          <w:color w:val="0000FF"/>
        </w:rPr>
        <w:t xml:space="preserve">X </w:t>
      </w:r>
      <w:r>
        <w:rPr>
          <w:rFonts w:ascii="Arial" w:cs="Arial" w:eastAsia="Arial" w:hAnsi="Arial"/>
          <w:sz w:val="10"/>
          <w:szCs w:val="10"/>
          <w:color w:val="000000"/>
        </w:rPr>
        <w:t>Form filed by One Reporting Person</w:t>
      </w:r>
    </w:p>
    <w:p>
      <w:pPr>
        <w:spacing w:after="0" w:line="15" w:lineRule="exact"/>
        <w:rPr>
          <w:rFonts w:ascii="Arial" w:cs="Arial" w:eastAsia="Arial" w:hAnsi="Arial"/>
          <w:sz w:val="11"/>
          <w:szCs w:val="11"/>
          <w:color w:val="auto"/>
        </w:rPr>
      </w:pPr>
    </w:p>
    <w:p>
      <w:pPr>
        <w:ind w:left="474"/>
        <w:spacing w:after="0"/>
        <w:rPr>
          <w:rFonts w:ascii="Arial" w:cs="Arial" w:eastAsia="Arial" w:hAnsi="Arial"/>
          <w:sz w:val="11"/>
          <w:szCs w:val="11"/>
          <w:color w:val="auto"/>
        </w:rPr>
      </w:pPr>
      <w:r>
        <w:rPr>
          <w:rFonts w:ascii="Arial" w:cs="Arial" w:eastAsia="Arial" w:hAnsi="Arial"/>
          <w:sz w:val="11"/>
          <w:szCs w:val="11"/>
          <w:color w:val="auto"/>
        </w:rPr>
        <w:t>Form filed by More than One Reporting Person</w:t>
      </w:r>
    </w:p>
    <w:p>
      <w:pPr>
        <w:spacing w:after="0" w:line="388" w:lineRule="exact"/>
        <w:rPr>
          <w:sz w:val="24"/>
          <w:szCs w:val="24"/>
          <w:color w:val="auto"/>
        </w:rPr>
      </w:pPr>
    </w:p>
    <w:p>
      <w:pPr>
        <w:sectPr>
          <w:pgSz w:w="11900" w:h="16838" w:orient="portrait"/>
          <w:cols w:equalWidth="0" w:num="3">
            <w:col w:w="4557" w:space="720"/>
            <w:col w:w="3243" w:space="226"/>
            <w:col w:w="2854"/>
          </w:cols>
          <w:pgMar w:left="140" w:top="130" w:right="159" w:bottom="1440" w:gutter="0" w:footer="0" w:header="0"/>
          <w:type w:val="continuous"/>
        </w:sectPr>
      </w:pPr>
    </w:p>
    <w:p>
      <w:pPr>
        <w:spacing w:after="0" w:line="63" w:lineRule="exact"/>
        <w:rPr>
          <w:sz w:val="24"/>
          <w:szCs w:val="24"/>
          <w:color w:val="auto"/>
        </w:rPr>
      </w:pPr>
    </w:p>
    <w:p>
      <w:pPr>
        <w:ind w:left="100"/>
        <w:spacing w:after="0"/>
        <w:tabs>
          <w:tab w:leader="none" w:pos="1200" w:val="left"/>
          <w:tab w:leader="none" w:pos="232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Table I - Non-Derivative Securities Beneficially Owned</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3300" w:type="dxa"/>
            <w:vAlign w:val="bottom"/>
          </w:tcPr>
          <w:p>
            <w:pPr>
              <w:ind w:left="60"/>
              <w:spacing w:after="0"/>
              <w:rPr>
                <w:sz w:val="20"/>
                <w:szCs w:val="20"/>
                <w:color w:val="auto"/>
              </w:rPr>
            </w:pPr>
            <w:r>
              <w:rPr>
                <w:rFonts w:ascii="Arial" w:cs="Arial" w:eastAsia="Arial" w:hAnsi="Arial"/>
                <w:sz w:val="11"/>
                <w:szCs w:val="11"/>
                <w:b w:val="1"/>
                <w:bCs w:val="1"/>
                <w:color w:val="auto"/>
              </w:rPr>
              <w:t>1. Title of Security (Instr. 4)</w:t>
            </w:r>
          </w:p>
        </w:tc>
        <w:tc>
          <w:tcPr>
            <w:tcW w:w="3880" w:type="dxa"/>
            <w:vAlign w:val="bottom"/>
          </w:tcPr>
          <w:p>
            <w:pPr>
              <w:ind w:left="1840"/>
              <w:spacing w:after="0"/>
              <w:rPr>
                <w:sz w:val="20"/>
                <w:szCs w:val="20"/>
                <w:color w:val="auto"/>
              </w:rPr>
            </w:pPr>
            <w:r>
              <w:rPr>
                <w:rFonts w:ascii="Arial" w:cs="Arial" w:eastAsia="Arial" w:hAnsi="Arial"/>
                <w:sz w:val="11"/>
                <w:szCs w:val="11"/>
                <w:b w:val="1"/>
                <w:bCs w:val="1"/>
                <w:color w:val="auto"/>
              </w:rPr>
              <w:t>2. Amount of Securities Beneficially</w:t>
            </w:r>
          </w:p>
        </w:tc>
        <w:tc>
          <w:tcPr>
            <w:tcW w:w="1340" w:type="dxa"/>
            <w:vAlign w:val="bottom"/>
          </w:tcPr>
          <w:p>
            <w:pPr>
              <w:ind w:left="180"/>
              <w:spacing w:after="0"/>
              <w:rPr>
                <w:sz w:val="20"/>
                <w:szCs w:val="20"/>
                <w:color w:val="auto"/>
              </w:rPr>
            </w:pPr>
            <w:r>
              <w:rPr>
                <w:rFonts w:ascii="Arial" w:cs="Arial" w:eastAsia="Arial" w:hAnsi="Arial"/>
                <w:sz w:val="11"/>
                <w:szCs w:val="11"/>
                <w:b w:val="1"/>
                <w:bCs w:val="1"/>
                <w:color w:val="auto"/>
              </w:rPr>
              <w:t>3. Ownership Form:</w:t>
            </w:r>
          </w:p>
        </w:tc>
        <w:tc>
          <w:tcPr>
            <w:tcW w:w="3060" w:type="dxa"/>
            <w:vAlign w:val="bottom"/>
          </w:tcPr>
          <w:p>
            <w:pPr>
              <w:ind w:left="100"/>
              <w:spacing w:after="0"/>
              <w:rPr>
                <w:sz w:val="20"/>
                <w:szCs w:val="20"/>
                <w:color w:val="auto"/>
              </w:rPr>
            </w:pPr>
            <w:r>
              <w:rPr>
                <w:rFonts w:ascii="Arial" w:cs="Arial" w:eastAsia="Arial" w:hAnsi="Arial"/>
                <w:sz w:val="11"/>
                <w:szCs w:val="11"/>
                <w:b w:val="1"/>
                <w:bCs w:val="1"/>
                <w:color w:val="auto"/>
              </w:rPr>
              <w:t>4. Nature of Indirect Beneficial Ownership (Instr. 5)</w:t>
            </w:r>
          </w:p>
        </w:tc>
      </w:tr>
      <w:tr>
        <w:trPr>
          <w:trHeight w:val="120"/>
        </w:trPr>
        <w:tc>
          <w:tcPr>
            <w:tcW w:w="3300" w:type="dxa"/>
            <w:vAlign w:val="bottom"/>
          </w:tcPr>
          <w:p>
            <w:pPr>
              <w:spacing w:after="0"/>
              <w:rPr>
                <w:sz w:val="10"/>
                <w:szCs w:val="10"/>
                <w:color w:val="auto"/>
              </w:rPr>
            </w:pPr>
          </w:p>
        </w:tc>
        <w:tc>
          <w:tcPr>
            <w:tcW w:w="3880" w:type="dxa"/>
            <w:vAlign w:val="bottom"/>
          </w:tcPr>
          <w:p>
            <w:pPr>
              <w:ind w:left="1840"/>
              <w:spacing w:after="0" w:line="120" w:lineRule="exact"/>
              <w:rPr>
                <w:sz w:val="20"/>
                <w:szCs w:val="20"/>
                <w:color w:val="auto"/>
              </w:rPr>
            </w:pPr>
            <w:r>
              <w:rPr>
                <w:rFonts w:ascii="Arial" w:cs="Arial" w:eastAsia="Arial" w:hAnsi="Arial"/>
                <w:sz w:val="11"/>
                <w:szCs w:val="11"/>
                <w:b w:val="1"/>
                <w:bCs w:val="1"/>
                <w:color w:val="auto"/>
              </w:rPr>
              <w:t>Owned (Instr. 4)</w:t>
            </w:r>
          </w:p>
        </w:tc>
        <w:tc>
          <w:tcPr>
            <w:tcW w:w="1340" w:type="dxa"/>
            <w:vAlign w:val="bottom"/>
          </w:tcPr>
          <w:p>
            <w:pPr>
              <w:ind w:left="180"/>
              <w:spacing w:after="0" w:line="120" w:lineRule="exact"/>
              <w:rPr>
                <w:sz w:val="20"/>
                <w:szCs w:val="20"/>
                <w:color w:val="auto"/>
              </w:rPr>
            </w:pPr>
            <w:r>
              <w:rPr>
                <w:rFonts w:ascii="Arial" w:cs="Arial" w:eastAsia="Arial" w:hAnsi="Arial"/>
                <w:sz w:val="11"/>
                <w:szCs w:val="11"/>
                <w:b w:val="1"/>
                <w:bCs w:val="1"/>
                <w:color w:val="auto"/>
              </w:rPr>
              <w:t>Direct (D) or Indirect</w:t>
            </w:r>
          </w:p>
        </w:tc>
        <w:tc>
          <w:tcPr>
            <w:tcW w:w="3060" w:type="dxa"/>
            <w:vAlign w:val="bottom"/>
          </w:tcPr>
          <w:p>
            <w:pPr>
              <w:spacing w:after="0"/>
              <w:rPr>
                <w:sz w:val="10"/>
                <w:szCs w:val="10"/>
                <w:color w:val="auto"/>
              </w:rPr>
            </w:pPr>
          </w:p>
        </w:tc>
      </w:tr>
      <w:tr>
        <w:trPr>
          <w:trHeight w:val="143"/>
        </w:trPr>
        <w:tc>
          <w:tcPr>
            <w:tcW w:w="33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40" w:type="dxa"/>
            <w:vAlign w:val="bottom"/>
          </w:tcPr>
          <w:p>
            <w:pPr>
              <w:ind w:left="180"/>
              <w:spacing w:after="0"/>
              <w:rPr>
                <w:sz w:val="20"/>
                <w:szCs w:val="20"/>
                <w:color w:val="auto"/>
              </w:rPr>
            </w:pPr>
            <w:r>
              <w:rPr>
                <w:rFonts w:ascii="Arial" w:cs="Arial" w:eastAsia="Arial" w:hAnsi="Arial"/>
                <w:sz w:val="11"/>
                <w:szCs w:val="11"/>
                <w:b w:val="1"/>
                <w:bCs w:val="1"/>
                <w:color w:val="auto"/>
              </w:rPr>
              <w:t>(I) (Instr. 5)</w:t>
            </w:r>
          </w:p>
        </w:tc>
        <w:tc>
          <w:tcPr>
            <w:tcW w:w="3060" w:type="dxa"/>
            <w:vAlign w:val="bottom"/>
          </w:tcPr>
          <w:p>
            <w:pPr>
              <w:spacing w:after="0"/>
              <w:rPr>
                <w:sz w:val="12"/>
                <w:szCs w:val="12"/>
                <w:color w:val="auto"/>
              </w:rPr>
            </w:pPr>
          </w:p>
        </w:tc>
      </w:tr>
      <w:tr>
        <w:trPr>
          <w:trHeight w:val="35"/>
        </w:trPr>
        <w:tc>
          <w:tcPr>
            <w:tcW w:w="3300" w:type="dxa"/>
            <w:vAlign w:val="bottom"/>
            <w:tcBorders>
              <w:bottom w:val="single" w:sz="8" w:color="2C2C2C"/>
            </w:tcBorders>
          </w:tcPr>
          <w:p>
            <w:pPr>
              <w:spacing w:after="0"/>
              <w:rPr>
                <w:sz w:val="3"/>
                <w:szCs w:val="3"/>
                <w:color w:val="auto"/>
              </w:rPr>
            </w:pPr>
          </w:p>
        </w:tc>
        <w:tc>
          <w:tcPr>
            <w:tcW w:w="3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r>
    </w:tbl>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0000FF"/>
              </w:rPr>
              <w:t>Common Shares</w:t>
            </w: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60" w:type="dxa"/>
            <w:vAlign w:val="bottom"/>
          </w:tcPr>
          <w:p>
            <w:pPr>
              <w:jc w:val="right"/>
              <w:ind w:right="1037"/>
              <w:spacing w:after="0"/>
              <w:rPr>
                <w:sz w:val="20"/>
                <w:szCs w:val="20"/>
                <w:color w:val="auto"/>
              </w:rPr>
            </w:pPr>
            <w:r>
              <w:rPr>
                <w:rFonts w:ascii="Arial" w:cs="Arial" w:eastAsia="Arial" w:hAnsi="Arial"/>
                <w:sz w:val="14"/>
                <w:szCs w:val="14"/>
                <w:color w:val="0000FF"/>
              </w:rPr>
              <w:t>33,121</w:t>
            </w:r>
          </w:p>
        </w:tc>
        <w:tc>
          <w:tcPr>
            <w:tcW w:w="660" w:type="dxa"/>
            <w:vAlign w:val="bottom"/>
          </w:tcPr>
          <w:p>
            <w:pPr>
              <w:ind w:left="380"/>
              <w:spacing w:after="0"/>
              <w:rPr>
                <w:sz w:val="20"/>
                <w:szCs w:val="20"/>
                <w:color w:val="auto"/>
              </w:rPr>
            </w:pPr>
            <w:r>
              <w:rPr>
                <w:rFonts w:ascii="Arial" w:cs="Arial" w:eastAsia="Arial" w:hAnsi="Arial"/>
                <w:sz w:val="14"/>
                <w:szCs w:val="14"/>
                <w:color w:val="0000FF"/>
              </w:rPr>
              <w:t>D</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0000FF"/>
              </w:rPr>
              <w:t>Restricted Share Awards</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jc w:val="right"/>
              <w:ind w:right="1037"/>
              <w:spacing w:after="0"/>
              <w:rPr>
                <w:sz w:val="20"/>
                <w:szCs w:val="20"/>
                <w:color w:val="auto"/>
              </w:rPr>
            </w:pPr>
            <w:r>
              <w:rPr>
                <w:rFonts w:ascii="Arial" w:cs="Arial" w:eastAsia="Arial" w:hAnsi="Arial"/>
                <w:sz w:val="14"/>
                <w:szCs w:val="14"/>
                <w:color w:val="0000FF"/>
              </w:rPr>
              <w:t>73,940</w:t>
            </w:r>
          </w:p>
        </w:tc>
        <w:tc>
          <w:tcPr>
            <w:tcW w:w="660" w:type="dxa"/>
            <w:vAlign w:val="bottom"/>
          </w:tcPr>
          <w:p>
            <w:pPr>
              <w:ind w:left="380"/>
              <w:spacing w:after="0"/>
              <w:rPr>
                <w:sz w:val="20"/>
                <w:szCs w:val="20"/>
                <w:color w:val="auto"/>
              </w:rPr>
            </w:pPr>
            <w:r>
              <w:rPr>
                <w:rFonts w:ascii="Arial" w:cs="Arial" w:eastAsia="Arial" w:hAnsi="Arial"/>
                <w:sz w:val="14"/>
                <w:szCs w:val="14"/>
                <w:color w:val="0000FF"/>
              </w:rPr>
              <w:t>D</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Borders>
              <w:top w:val="single" w:sz="8" w:color="808080"/>
            </w:tcBorders>
          </w:tcPr>
          <w:p>
            <w:pPr>
              <w:spacing w:after="0"/>
              <w:rPr>
                <w:sz w:val="15"/>
                <w:szCs w:val="15"/>
                <w:color w:val="auto"/>
              </w:rPr>
            </w:pPr>
          </w:p>
        </w:tc>
        <w:tc>
          <w:tcPr>
            <w:tcW w:w="2920" w:type="dxa"/>
            <w:vAlign w:val="bottom"/>
            <w:tcBorders>
              <w:top w:val="single" w:sz="8" w:color="2C2C2C"/>
            </w:tcBorders>
          </w:tcPr>
          <w:p>
            <w:pPr>
              <w:spacing w:after="0"/>
              <w:rPr>
                <w:sz w:val="15"/>
                <w:szCs w:val="15"/>
                <w:color w:val="auto"/>
              </w:rPr>
            </w:pPr>
          </w:p>
        </w:tc>
        <w:tc>
          <w:tcPr>
            <w:tcW w:w="960" w:type="dxa"/>
            <w:vAlign w:val="bottom"/>
            <w:tcBorders>
              <w:top w:val="single" w:sz="8" w:color="2C2C2C"/>
            </w:tcBorders>
          </w:tcPr>
          <w:p>
            <w:pPr>
              <w:spacing w:after="0"/>
              <w:rPr>
                <w:sz w:val="15"/>
                <w:szCs w:val="15"/>
                <w:color w:val="auto"/>
              </w:rPr>
            </w:pPr>
          </w:p>
        </w:tc>
        <w:tc>
          <w:tcPr>
            <w:tcW w:w="3620" w:type="dxa"/>
            <w:vAlign w:val="bottom"/>
            <w:tcBorders>
              <w:top w:val="single" w:sz="8" w:color="2C2C2C"/>
            </w:tcBorders>
            <w:gridSpan w:val="3"/>
          </w:tcPr>
          <w:p>
            <w:pPr>
              <w:jc w:val="center"/>
              <w:ind w:left="143"/>
              <w:spacing w:after="0"/>
              <w:rPr>
                <w:sz w:val="20"/>
                <w:szCs w:val="20"/>
                <w:color w:val="auto"/>
              </w:rPr>
            </w:pPr>
            <w:r>
              <w:rPr>
                <w:rFonts w:ascii="Arial" w:cs="Arial" w:eastAsia="Arial" w:hAnsi="Arial"/>
                <w:sz w:val="14"/>
                <w:szCs w:val="14"/>
                <w:b w:val="1"/>
                <w:bCs w:val="1"/>
                <w:color w:val="auto"/>
              </w:rPr>
              <w:t>Table II - Derivative Securities Beneficially Owned</w:t>
            </w:r>
          </w:p>
        </w:tc>
        <w:tc>
          <w:tcPr>
            <w:tcW w:w="66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920" w:type="dxa"/>
            <w:vAlign w:val="bottom"/>
            <w:tcBorders>
              <w:top w:val="single" w:sz="8" w:color="2C2C2C"/>
            </w:tcBorders>
          </w:tcPr>
          <w:p>
            <w:pPr>
              <w:spacing w:after="0"/>
              <w:rPr>
                <w:sz w:val="15"/>
                <w:szCs w:val="15"/>
                <w:color w:val="auto"/>
              </w:rPr>
            </w:pPr>
          </w:p>
        </w:tc>
        <w:tc>
          <w:tcPr>
            <w:tcW w:w="1740" w:type="dxa"/>
            <w:vAlign w:val="bottom"/>
            <w:tcBorders>
              <w:top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240" w:type="dxa"/>
            <w:vAlign w:val="bottom"/>
            <w:gridSpan w:val="5"/>
          </w:tcPr>
          <w:p>
            <w:pPr>
              <w:jc w:val="center"/>
              <w:ind w:left="442"/>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2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20" w:type="dxa"/>
            <w:vAlign w:val="bottom"/>
          </w:tcPr>
          <w:p>
            <w:pPr>
              <w:ind w:left="60"/>
              <w:spacing w:after="0"/>
              <w:rPr>
                <w:sz w:val="20"/>
                <w:szCs w:val="20"/>
                <w:color w:val="auto"/>
              </w:rPr>
            </w:pPr>
            <w:r>
              <w:rPr>
                <w:rFonts w:ascii="Arial" w:cs="Arial" w:eastAsia="Arial" w:hAnsi="Arial"/>
                <w:sz w:val="11"/>
                <w:szCs w:val="11"/>
                <w:b w:val="1"/>
                <w:bCs w:val="1"/>
                <w:color w:val="auto"/>
              </w:rPr>
              <w:t>1. Title of Derivative Security (Instr. 4)</w:t>
            </w:r>
          </w:p>
        </w:tc>
        <w:tc>
          <w:tcPr>
            <w:tcW w:w="96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2. Date Exercisable and</w:t>
            </w:r>
          </w:p>
        </w:tc>
        <w:tc>
          <w:tcPr>
            <w:tcW w:w="2920" w:type="dxa"/>
            <w:vAlign w:val="bottom"/>
            <w:gridSpan w:val="2"/>
          </w:tcPr>
          <w:p>
            <w:pPr>
              <w:ind w:left="40"/>
              <w:spacing w:after="0"/>
              <w:rPr>
                <w:sz w:val="20"/>
                <w:szCs w:val="20"/>
                <w:color w:val="auto"/>
              </w:rPr>
            </w:pPr>
            <w:r>
              <w:rPr>
                <w:rFonts w:ascii="Arial" w:cs="Arial" w:eastAsia="Arial" w:hAnsi="Arial"/>
                <w:sz w:val="11"/>
                <w:szCs w:val="11"/>
                <w:b w:val="1"/>
                <w:bCs w:val="1"/>
                <w:color w:val="auto"/>
              </w:rPr>
              <w:t>3. Title and Amount of Securities Underlying</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Ownership</w:t>
            </w:r>
          </w:p>
        </w:tc>
        <w:tc>
          <w:tcPr>
            <w:tcW w:w="1740" w:type="dxa"/>
            <w:vAlign w:val="bottom"/>
          </w:tcPr>
          <w:p>
            <w:pPr>
              <w:ind w:left="100"/>
              <w:spacing w:after="0"/>
              <w:rPr>
                <w:sz w:val="20"/>
                <w:szCs w:val="20"/>
                <w:color w:val="auto"/>
              </w:rPr>
            </w:pPr>
            <w:r>
              <w:rPr>
                <w:rFonts w:ascii="Arial" w:cs="Arial" w:eastAsia="Arial" w:hAnsi="Arial"/>
                <w:sz w:val="11"/>
                <w:szCs w:val="11"/>
                <w:b w:val="1"/>
                <w:bCs w:val="1"/>
                <w:color w:val="auto"/>
              </w:rPr>
              <w:t>6. Nature of Indirect Beneficial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Expiration Date</w:t>
            </w:r>
          </w:p>
        </w:tc>
        <w:tc>
          <w:tcPr>
            <w:tcW w:w="22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Derivative Security (Instr. 4)</w:t>
            </w:r>
          </w:p>
        </w:tc>
        <w:tc>
          <w:tcPr>
            <w:tcW w:w="660" w:type="dxa"/>
            <w:vAlign w:val="bottom"/>
          </w:tcPr>
          <w:p>
            <w:pPr>
              <w:spacing w:after="0"/>
              <w:rPr>
                <w:sz w:val="10"/>
                <w:szCs w:val="10"/>
                <w:color w:val="auto"/>
              </w:rPr>
            </w:pP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Conversion</w:t>
            </w:r>
          </w:p>
        </w:tc>
        <w:tc>
          <w:tcPr>
            <w:tcW w:w="9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 Direct</w:t>
            </w:r>
          </w:p>
        </w:tc>
        <w:tc>
          <w:tcPr>
            <w:tcW w:w="174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Ownership (Instr. 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2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or Exercise</w:t>
            </w:r>
          </w:p>
        </w:tc>
        <w:tc>
          <w:tcPr>
            <w:tcW w:w="9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(D) or Indirect</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920" w:type="dxa"/>
            <w:vAlign w:val="bottom"/>
            <w:vMerge w:val="restart"/>
          </w:tcPr>
          <w:p>
            <w:pPr>
              <w:ind w:left="100"/>
              <w:spacing w:after="0" w:line="120" w:lineRule="exact"/>
              <w:rPr>
                <w:sz w:val="20"/>
                <w:szCs w:val="20"/>
                <w:color w:val="auto"/>
              </w:rPr>
            </w:pPr>
            <w:r>
              <w:rPr>
                <w:rFonts w:ascii="Arial" w:cs="Arial" w:eastAsia="Arial" w:hAnsi="Arial"/>
                <w:sz w:val="11"/>
                <w:szCs w:val="11"/>
                <w:b w:val="1"/>
                <w:bCs w:val="1"/>
                <w:color w:val="auto"/>
              </w:rPr>
              <w:t>(I) (Instr. 5)</w:t>
            </w: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7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ind w:left="60"/>
              <w:spacing w:after="0" w:line="111"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Expiration</w:t>
            </w:r>
          </w:p>
        </w:tc>
        <w:tc>
          <w:tcPr>
            <w:tcW w:w="2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Number of</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260" w:type="dxa"/>
            <w:vAlign w:val="bottom"/>
            <w:vMerge w:val="continue"/>
          </w:tcPr>
          <w:p>
            <w:pPr>
              <w:spacing w:after="0"/>
              <w:rPr>
                <w:sz w:val="12"/>
                <w:szCs w:val="12"/>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2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0000FF"/>
              </w:rPr>
              <w:t>Phantom Shares</w:t>
            </w:r>
          </w:p>
        </w:tc>
        <w:tc>
          <w:tcPr>
            <w:tcW w:w="1660" w:type="dxa"/>
            <w:vAlign w:val="bottom"/>
            <w:gridSpan w:val="2"/>
          </w:tcPr>
          <w:p>
            <w:pPr>
              <w:jc w:val="right"/>
              <w:ind w:right="243"/>
              <w:spacing w:after="0"/>
              <w:rPr>
                <w:sz w:val="20"/>
                <w:szCs w:val="20"/>
                <w:color w:val="auto"/>
              </w:rPr>
            </w:pPr>
            <w:r>
              <w:rPr>
                <w:rFonts w:ascii="Arial" w:cs="Arial" w:eastAsia="Arial" w:hAnsi="Arial"/>
                <w:sz w:val="9"/>
                <w:szCs w:val="9"/>
                <w:color w:val="008000"/>
              </w:rPr>
              <w:t>(1)</w:t>
            </w:r>
          </w:p>
        </w:tc>
        <w:tc>
          <w:tcPr>
            <w:tcW w:w="660" w:type="dxa"/>
            <w:vAlign w:val="bottom"/>
          </w:tcPr>
          <w:p>
            <w:pPr>
              <w:jc w:val="right"/>
              <w:ind w:right="228"/>
              <w:spacing w:after="0"/>
              <w:rPr>
                <w:sz w:val="20"/>
                <w:szCs w:val="20"/>
                <w:color w:val="auto"/>
              </w:rPr>
            </w:pPr>
            <w:r>
              <w:rPr>
                <w:rFonts w:ascii="Arial" w:cs="Arial" w:eastAsia="Arial" w:hAnsi="Arial"/>
                <w:sz w:val="9"/>
                <w:szCs w:val="9"/>
                <w:color w:val="008000"/>
              </w:rPr>
              <w:t>(1)</w:t>
            </w:r>
          </w:p>
        </w:tc>
        <w:tc>
          <w:tcPr>
            <w:tcW w:w="2260" w:type="dxa"/>
            <w:vAlign w:val="bottom"/>
          </w:tcPr>
          <w:p>
            <w:pPr>
              <w:ind w:left="680"/>
              <w:spacing w:after="0"/>
              <w:rPr>
                <w:sz w:val="20"/>
                <w:szCs w:val="20"/>
                <w:color w:val="auto"/>
              </w:rPr>
            </w:pPr>
            <w:r>
              <w:rPr>
                <w:rFonts w:ascii="Arial" w:cs="Arial" w:eastAsia="Arial" w:hAnsi="Arial"/>
                <w:sz w:val="14"/>
                <w:szCs w:val="14"/>
                <w:color w:val="0000FF"/>
              </w:rPr>
              <w:t>Common Share</w:t>
            </w:r>
          </w:p>
        </w:tc>
        <w:tc>
          <w:tcPr>
            <w:tcW w:w="660" w:type="dxa"/>
            <w:vAlign w:val="bottom"/>
          </w:tcPr>
          <w:p>
            <w:pPr>
              <w:ind w:left="120"/>
              <w:spacing w:after="0"/>
              <w:rPr>
                <w:sz w:val="20"/>
                <w:szCs w:val="20"/>
                <w:color w:val="auto"/>
              </w:rPr>
            </w:pPr>
            <w:r>
              <w:rPr>
                <w:rFonts w:ascii="Arial" w:cs="Arial" w:eastAsia="Arial" w:hAnsi="Arial"/>
                <w:sz w:val="14"/>
                <w:szCs w:val="14"/>
                <w:color w:val="0000FF"/>
              </w:rPr>
              <w:t>16,163</w:t>
            </w:r>
          </w:p>
        </w:tc>
        <w:tc>
          <w:tcPr>
            <w:tcW w:w="760" w:type="dxa"/>
            <w:vAlign w:val="bottom"/>
          </w:tcPr>
          <w:p>
            <w:pPr>
              <w:ind w:left="340"/>
              <w:spacing w:after="0"/>
              <w:rPr>
                <w:sz w:val="20"/>
                <w:szCs w:val="20"/>
                <w:color w:val="auto"/>
              </w:rPr>
            </w:pPr>
            <w:r>
              <w:rPr>
                <w:rFonts w:ascii="Arial" w:cs="Arial" w:eastAsia="Arial" w:hAnsi="Arial"/>
                <w:sz w:val="9"/>
                <w:szCs w:val="9"/>
                <w:color w:val="008000"/>
              </w:rPr>
              <w:t>(1)</w:t>
            </w:r>
          </w:p>
        </w:tc>
        <w:tc>
          <w:tcPr>
            <w:tcW w:w="920" w:type="dxa"/>
            <w:vAlign w:val="bottom"/>
          </w:tcPr>
          <w:p>
            <w:pPr>
              <w:ind w:left="460"/>
              <w:spacing w:after="0"/>
              <w:rPr>
                <w:sz w:val="20"/>
                <w:szCs w:val="20"/>
                <w:color w:val="auto"/>
              </w:rPr>
            </w:pPr>
            <w:r>
              <w:rPr>
                <w:rFonts w:ascii="Arial" w:cs="Arial" w:eastAsia="Arial" w:hAnsi="Arial"/>
                <w:sz w:val="14"/>
                <w:szCs w:val="14"/>
                <w:color w:val="0000FF"/>
              </w:rPr>
              <w:t>D</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20" w:type="dxa"/>
            <w:vAlign w:val="bottom"/>
          </w:tcPr>
          <w:p>
            <w:pPr>
              <w:ind w:left="20"/>
              <w:spacing w:after="0"/>
              <w:rPr>
                <w:sz w:val="20"/>
                <w:szCs w:val="20"/>
                <w:color w:val="auto"/>
              </w:rPr>
            </w:pPr>
            <w:r>
              <w:rPr>
                <w:rFonts w:ascii="Arial" w:cs="Arial" w:eastAsia="Arial" w:hAnsi="Arial"/>
                <w:sz w:val="11"/>
                <w:szCs w:val="11"/>
                <w:b w:val="1"/>
                <w:bCs w:val="1"/>
                <w:color w:val="auto"/>
              </w:rPr>
              <w:t>Explanation of Responses:</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right="200"/>
        <w:spacing w:after="0" w:line="248" w:lineRule="auto"/>
        <w:tabs>
          <w:tab w:leader="none" w:pos="149"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Phantom Share Awards under the 2014 Equity Participation Plan of Civeo Corporation, of which 3,249 Phantom Shares will vest on February 21, 2020, and the remaining 12, 914 Phantom Shares will vest in three equal installments on February 25, 2020 and each of the next two anniversaries thereof. Each Phantom share is the economic equivalent of one Civeo Corporation common share and is payable in cash.</w:t>
      </w:r>
    </w:p>
    <w:p>
      <w:pPr>
        <w:sectPr>
          <w:pgSz w:w="11900" w:h="16838" w:orient="portrait"/>
          <w:cols w:equalWidth="0" w:num="1">
            <w:col w:w="11600"/>
          </w:cols>
          <w:pgMar w:left="140" w:top="130" w:right="159" w:bottom="1440" w:gutter="0" w:footer="0" w:header="0"/>
          <w:type w:val="continuous"/>
        </w:sectPr>
      </w:pPr>
    </w:p>
    <w:p>
      <w:pPr>
        <w:spacing w:after="0" w:line="1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Remarks:</w:t>
      </w:r>
    </w:p>
    <w:p>
      <w:pPr>
        <w:spacing w:after="0" w:line="120" w:lineRule="exact"/>
        <w:rPr>
          <w:sz w:val="24"/>
          <w:szCs w:val="24"/>
          <w:color w:val="auto"/>
        </w:rPr>
      </w:pPr>
    </w:p>
    <w:p>
      <w:pPr>
        <w:ind w:left="6960"/>
        <w:spacing w:after="0"/>
        <w:rPr>
          <w:sz w:val="20"/>
          <w:szCs w:val="20"/>
          <w:color w:val="auto"/>
        </w:rPr>
      </w:pPr>
      <w:r>
        <w:rPr>
          <w:rFonts w:ascii="Arial" w:cs="Arial" w:eastAsia="Arial" w:hAnsi="Arial"/>
          <w:sz w:val="13"/>
          <w:szCs w:val="13"/>
          <w:color w:val="0000FF"/>
        </w:rPr>
        <w:t>/s/Barclay Brewer, by Bradley Dodson,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4424680</wp:posOffset>
            </wp:positionH>
            <wp:positionV relativeFrom="paragraph">
              <wp:posOffset>0</wp:posOffset>
            </wp:positionV>
            <wp:extent cx="14166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16685" cy="6985"/>
                    </a:xfrm>
                    <a:prstGeom prst="rect">
                      <a:avLst/>
                    </a:prstGeom>
                    <a:noFill/>
                  </pic:spPr>
                </pic:pic>
              </a:graphicData>
            </a:graphic>
          </wp:anchor>
        </w:drawing>
      </w:r>
    </w:p>
    <w:p>
      <w:pPr>
        <w:spacing w:after="0" w:line="11" w:lineRule="exact"/>
        <w:rPr>
          <w:sz w:val="24"/>
          <w:szCs w:val="24"/>
          <w:color w:val="auto"/>
        </w:rPr>
      </w:pPr>
    </w:p>
    <w:p>
      <w:pPr>
        <w:ind w:left="6960"/>
        <w:spacing w:after="0"/>
        <w:rPr>
          <w:sz w:val="20"/>
          <w:szCs w:val="20"/>
          <w:color w:val="auto"/>
        </w:rPr>
      </w:pPr>
      <w:r>
        <w:rPr>
          <w:rFonts w:ascii="Arial" w:cs="Arial" w:eastAsia="Arial" w:hAnsi="Arial"/>
          <w:sz w:val="14"/>
          <w:szCs w:val="14"/>
          <w:color w:val="0000FF"/>
        </w:rPr>
        <w:t>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4424680</wp:posOffset>
            </wp:positionH>
            <wp:positionV relativeFrom="paragraph">
              <wp:posOffset>-10795</wp:posOffset>
            </wp:positionV>
            <wp:extent cx="7029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2945" cy="6985"/>
                    </a:xfrm>
                    <a:prstGeom prst="rect">
                      <a:avLst/>
                    </a:prstGeom>
                    <a:noFill/>
                  </pic:spPr>
                </pic:pic>
              </a:graphicData>
            </a:graphic>
          </wp:anchor>
        </w:drawing>
      </w:r>
    </w:p>
    <w:p>
      <w:pPr>
        <w:spacing w:after="0" w:line="38" w:lineRule="exact"/>
        <w:rPr>
          <w:sz w:val="24"/>
          <w:szCs w:val="24"/>
          <w:color w:val="auto"/>
        </w:rPr>
      </w:pPr>
    </w:p>
    <w:p>
      <w:pPr>
        <w:ind w:left="6960"/>
        <w:spacing w:after="0"/>
        <w:rPr>
          <w:sz w:val="20"/>
          <w:szCs w:val="20"/>
          <w:color w:val="auto"/>
        </w:rPr>
      </w:pPr>
      <w:r>
        <w:rPr>
          <w:rFonts w:ascii="Arial" w:cs="Arial" w:eastAsia="Arial" w:hAnsi="Arial"/>
          <w:sz w:val="11"/>
          <w:szCs w:val="11"/>
          <w:color w:val="auto"/>
        </w:rPr>
        <w:t>** Signature of Reporting Person</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5 (b)(v).</w:t>
      </w:r>
    </w:p>
    <w:p>
      <w:pPr>
        <w:spacing w:after="0" w:line="37" w:lineRule="exact"/>
        <w:rPr>
          <w:sz w:val="24"/>
          <w:szCs w:val="24"/>
          <w:color w:val="auto"/>
        </w:rPr>
      </w:pPr>
    </w:p>
    <w:p>
      <w:pPr>
        <w:jc w:val="both"/>
        <w:ind w:left="40" w:right="2860"/>
        <w:spacing w:after="0" w:line="339" w:lineRule="auto"/>
        <w:tabs>
          <w:tab w:leader="none" w:pos="155"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0000FF"/>
        </w:rPr>
        <w:t>11/25/2019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070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07035" cy="6985"/>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Arial" w:cs="Arial" w:eastAsia="Arial" w:hAnsi="Arial"/>
          <w:sz w:val="11"/>
          <w:szCs w:val="11"/>
          <w:color w:val="auto"/>
        </w:rPr>
        <w:t>Date</w:t>
      </w:r>
    </w:p>
    <w:p>
      <w:pPr>
        <w:sectPr>
          <w:pgSz w:w="11900" w:h="16838" w:orient="portrait"/>
          <w:cols w:equalWidth="0" w:num="2">
            <w:col w:w="9200" w:space="100"/>
            <w:col w:w="2300"/>
          </w:cols>
          <w:pgMar w:left="140" w:top="130" w:right="15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259715</wp:posOffset>
            </wp:positionV>
            <wp:extent cx="7304405" cy="9584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04405" cy="9584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384810</wp:posOffset>
            </wp:positionV>
            <wp:extent cx="7304405" cy="958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04405" cy="9584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file:///cgi-bin/browse-edgar?action=getcompany&amp;CIK=0001794660" TargetMode="External"/><Relationship Id="rId12" Type="http://schemas.openxmlformats.org/officeDocument/2006/relationships/hyperlink" Target="file:///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2019-11-26T02:13:42Z</dcterms:created>
  <dcterms:modified xsi:type="dcterms:W3CDTF">2019-11-26T02:13:42Z</dcterms:modified>
</cp:coreProperties>
</file>