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20"/>
        <w:spacing w:after="0"/>
        <w:rPr>
          <w:sz w:val="20"/>
          <w:szCs w:val="20"/>
          <w:color w:val="auto"/>
        </w:rPr>
      </w:pPr>
      <w:r>
        <w:rPr>
          <w:rFonts w:ascii="Arial" w:cs="Arial" w:eastAsia="Arial" w:hAnsi="Arial"/>
          <w:sz w:val="25"/>
          <w:szCs w:val="25"/>
          <w:color w:val="auto"/>
        </w:rPr>
        <w:t>______________________</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20"/>
        <w:spacing w:after="0"/>
        <w:rPr>
          <w:sz w:val="20"/>
          <w:szCs w:val="20"/>
          <w:color w:val="auto"/>
        </w:rPr>
      </w:pPr>
      <w:r>
        <w:rPr>
          <w:rFonts w:ascii="Arial" w:cs="Arial" w:eastAsia="Arial" w:hAnsi="Arial"/>
          <w:sz w:val="25"/>
          <w:szCs w:val="25"/>
          <w:color w:val="auto"/>
        </w:rPr>
        <w:t>______________________</w:t>
      </w:r>
    </w:p>
    <w:p>
      <w:pPr>
        <w:spacing w:after="0" w:line="234"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248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47" w:lineRule="exact"/>
        <w:rPr>
          <w:sz w:val="24"/>
          <w:szCs w:val="24"/>
          <w:color w:val="auto"/>
        </w:rPr>
      </w:pPr>
    </w:p>
    <w:p>
      <w:pPr>
        <w:ind w:left="2720"/>
        <w:spacing w:after="0"/>
        <w:rPr>
          <w:sz w:val="20"/>
          <w:szCs w:val="20"/>
          <w:color w:val="auto"/>
        </w:rPr>
      </w:pPr>
      <w:r>
        <w:rPr>
          <w:rFonts w:ascii="Arial" w:cs="Arial" w:eastAsia="Arial" w:hAnsi="Arial"/>
          <w:sz w:val="19"/>
          <w:szCs w:val="19"/>
          <w:color w:val="auto"/>
        </w:rPr>
        <w:t>Date of Report (Date of earliest event Reported): February 24, 2016</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Civeo Corporation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(Exact Name of Registrant as Specified in Charter)</w:t>
      </w:r>
    </w:p>
    <w:p>
      <w:pPr>
        <w:sectPr>
          <w:pgSz w:w="11900" w:h="16838" w:orient="portrait"/>
          <w:cols w:equalWidth="0" w:num="1">
            <w:col w:w="11300"/>
          </w:cols>
          <w:pgMar w:left="240" w:top="549" w:right="359" w:bottom="1440" w:gutter="0" w:footer="0" w:header="0"/>
        </w:sectPr>
      </w:pP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British Columbia Canada</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(State or Other Jurisdiction of</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1-36246</w:t>
      </w:r>
    </w:p>
    <w:p>
      <w:pPr>
        <w:spacing w:after="0" w:line="14" w:lineRule="exact"/>
        <w:rPr>
          <w:sz w:val="24"/>
          <w:szCs w:val="24"/>
          <w:color w:val="auto"/>
        </w:rPr>
      </w:pPr>
    </w:p>
    <w:p>
      <w:pPr>
        <w:jc w:val="center"/>
        <w:ind w:right="140"/>
        <w:spacing w:after="0"/>
        <w:rPr>
          <w:sz w:val="20"/>
          <w:szCs w:val="20"/>
          <w:color w:val="auto"/>
        </w:rPr>
      </w:pPr>
      <w:r>
        <w:rPr>
          <w:rFonts w:ascii="Arial" w:cs="Arial" w:eastAsia="Arial" w:hAnsi="Arial"/>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98-1253716</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(I.R.S. Employer Identification Number)</w:t>
      </w:r>
    </w:p>
    <w:p>
      <w:pPr>
        <w:spacing w:after="0" w:line="38" w:lineRule="exact"/>
        <w:rPr>
          <w:sz w:val="24"/>
          <w:szCs w:val="24"/>
          <w:color w:val="auto"/>
        </w:rPr>
      </w:pPr>
    </w:p>
    <w:p>
      <w:pPr>
        <w:sectPr>
          <w:pgSz w:w="11900" w:h="16838" w:orient="portrait"/>
          <w:cols w:equalWidth="0" w:num="3">
            <w:col w:w="3800" w:space="720"/>
            <w:col w:w="2540" w:space="720"/>
            <w:col w:w="3520"/>
          </w:cols>
          <w:pgMar w:left="240" w:top="549" w:right="359" w:bottom="1440" w:gutter="0" w:footer="0" w:header="0"/>
          <w:type w:val="continuous"/>
        </w:sectPr>
      </w:pPr>
    </w:p>
    <w:p>
      <w:pPr>
        <w:ind w:left="1260"/>
        <w:spacing w:after="0"/>
        <w:rPr>
          <w:sz w:val="20"/>
          <w:szCs w:val="20"/>
          <w:color w:val="auto"/>
        </w:rPr>
      </w:pPr>
      <w:r>
        <w:rPr>
          <w:rFonts w:ascii="Arial" w:cs="Arial" w:eastAsia="Arial" w:hAnsi="Arial"/>
          <w:sz w:val="19"/>
          <w:szCs w:val="19"/>
          <w:color w:val="auto"/>
        </w:rPr>
        <w:t>Incorporation)</w:t>
      </w:r>
    </w:p>
    <w:p>
      <w:pPr>
        <w:sectPr>
          <w:pgSz w:w="11900" w:h="16838" w:orient="portrait"/>
          <w:cols w:equalWidth="0" w:num="1">
            <w:col w:w="11300"/>
          </w:cols>
          <w:pgMar w:left="240" w:top="549"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Three Allen Center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 Clay Street, Suite 4980, Houston, Texas 77002</w:t>
      </w:r>
    </w:p>
    <w:p>
      <w:pPr>
        <w:jc w:val="center"/>
        <w:ind w:right="-119"/>
        <w:spacing w:after="0"/>
        <w:rPr>
          <w:sz w:val="20"/>
          <w:szCs w:val="20"/>
          <w:color w:val="auto"/>
        </w:rPr>
      </w:pPr>
      <w:r>
        <w:rPr>
          <w:rFonts w:ascii="Arial" w:cs="Arial" w:eastAsia="Arial" w:hAnsi="Arial"/>
          <w:sz w:val="22"/>
          <w:szCs w:val="22"/>
          <w:color w:val="auto"/>
        </w:rPr>
        <w:t>(Address of Principal Executive Offices) (Zip Code)</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(713) 510-2400</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(Registrant's telephone number, including area code)</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188" w:lineRule="exact"/>
        <w:rPr>
          <w:sz w:val="24"/>
          <w:szCs w:val="24"/>
          <w:color w:val="auto"/>
        </w:rPr>
      </w:pPr>
    </w:p>
    <w:p>
      <w:pPr>
        <w:ind w:right="10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420" w:hanging="128"/>
        <w:spacing w:after="0"/>
        <w:tabs>
          <w:tab w:leader="none" w:pos="4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Written communications pursuant to Rule 425 under the Securities Act (17 CFR 230.425)</w:t>
      </w:r>
    </w:p>
    <w:p>
      <w:pPr>
        <w:spacing w:after="0" w:line="8" w:lineRule="exact"/>
        <w:rPr>
          <w:rFonts w:ascii="Arial" w:cs="Arial" w:eastAsia="Arial" w:hAnsi="Arial"/>
          <w:sz w:val="22"/>
          <w:szCs w:val="22"/>
          <w:color w:val="auto"/>
        </w:rPr>
      </w:pPr>
    </w:p>
    <w:p>
      <w:pPr>
        <w:ind w:left="420" w:hanging="128"/>
        <w:spacing w:after="0"/>
        <w:tabs>
          <w:tab w:leader="none" w:pos="4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Soliciting material pursuant to Rule 14a-12 under the Exchange Act (17 CFR 240.14a-12)</w:t>
      </w:r>
    </w:p>
    <w:p>
      <w:pPr>
        <w:ind w:left="420" w:hanging="128"/>
        <w:spacing w:after="0"/>
        <w:tabs>
          <w:tab w:leader="none" w:pos="4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Pre-commencement communications pursuant to Rule 14d-2(b) under the Exchange Act (17 CFR 240.14d-2(b))</w:t>
      </w:r>
    </w:p>
    <w:p>
      <w:pPr>
        <w:ind w:left="420" w:hanging="128"/>
        <w:spacing w:after="0"/>
        <w:tabs>
          <w:tab w:leader="none" w:pos="4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4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3.01. Notice of Delisting or Failure to Satisfy a Continued Listing Rule or Standard; Transfer of Listing.</w:t>
      </w:r>
    </w:p>
    <w:p>
      <w:pPr>
        <w:spacing w:after="0" w:line="212" w:lineRule="exact"/>
        <w:rPr>
          <w:sz w:val="20"/>
          <w:szCs w:val="20"/>
          <w:color w:val="auto"/>
        </w:rPr>
      </w:pPr>
    </w:p>
    <w:p>
      <w:pPr>
        <w:jc w:val="both"/>
        <w:ind w:right="60"/>
        <w:spacing w:after="0" w:line="238" w:lineRule="auto"/>
        <w:rPr>
          <w:sz w:val="20"/>
          <w:szCs w:val="20"/>
          <w:color w:val="auto"/>
        </w:rPr>
      </w:pPr>
      <w:r>
        <w:rPr>
          <w:rFonts w:ascii="Arial" w:cs="Arial" w:eastAsia="Arial" w:hAnsi="Arial"/>
          <w:sz w:val="22"/>
          <w:szCs w:val="22"/>
          <w:color w:val="auto"/>
        </w:rPr>
        <w:t>On February 24, 2016, Civeo Corporation (the “Company”) was notified by the New York Stock Exchange (the “NYSE”) that the average closing price of the Company’s common shares, no par value (the “Common Shares”), over a prior 30 consecutive trading day period was below $1.00 per share, which is the minimum average closing price required to maintain listing on the NYSE under Section 802.01C of the NYSE Listed Company Manual.</w:t>
      </w:r>
    </w:p>
    <w:p>
      <w:pPr>
        <w:spacing w:after="0" w:line="185"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The Company’s Board of Directors intends to propose a reverse share split for shareholder approval at the Company’s annual meeting of shareholders currently scheduled for May 2016 to cure the listing standard deficiency. As required by the NYSE, the Company notified the NYSE of its intent to cure the deficiency and restore its compliance with the NYSE continued listing standards. In general, a listed company has a period of six months following the receipt of the notice to regain compliance. In order to regain compliance, on the last trading day in any calendar month during the cure period, the Common Shares must have (i) a closing price of at least $1.00 per share and (ii) an average closing price of at least $1.00 per share over the 30 trading day period ending on the last trading day of such month. If shareholder approval is required, the price condition will be deemed cured if the price promptly exceeds $1.00 per share, and the price remains above the level for at least the following 30 trading days. If the Company is unable to regain compliance, the NYSE will initiate procedures to suspend and delist the Common Shares.</w:t>
      </w:r>
    </w:p>
    <w:p>
      <w:pPr>
        <w:spacing w:after="0" w:line="15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notice has no immediate impact on the listing of the Common Shares, which will continue to be listed and traded on the NYSE during this period, subject to the Company’s compliance with the other listing requirements of the NYSE. The Common Shares will continue to trade under the symbol “CVEO”, but will have an added designation of “.BC” to indicate the status of the Common Shares as “below compliance”.</w:t>
      </w:r>
    </w:p>
    <w:p>
      <w:pPr>
        <w:spacing w:after="0" w:line="185"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If the Common Shares ultimately were to be delisted for any reason, it could negatively impact the Company by (i) reducing the liquidity and market price of the Company’s Common Shares; (ii) reducing the number of investors willing to hold or acquire the Common Shares, which could negatively impact the Company’s ability to raise equity financing; (iii) limiting the Company’s ability to use a registration statement to offer and sell freely tradable securities, thereby preventing the Company from accessing the public capital markets; and (iv) impairing the Company’s ability to provide equity incentives to its employees.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On March 1, 2016, the Company issued a press release with respect to the receipt of the notice of noncompliance from the NYSE.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 copy of the press release is furnished as Exhibit 99.1 hereto and is incorporated by reference herein.</w:t>
      </w:r>
    </w:p>
    <w:p>
      <w:pPr>
        <w:spacing w:after="0" w:line="188"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information contained in this Item 7.01 and the exhibit hereto shall not be deemed to be “filed” for purposes of Section 18 of the Securities Exchange Act of 1934, as amended, and shall not be incorporated by reference into any filings made by the Company under the Securities Act of 1933, as amended, or the Exchange Act, except as may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Exhibits.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auto"/>
        </w:rPr>
        <w:t>Exhibit No. Description</w:t>
      </w:r>
    </w:p>
    <w:p>
      <w:pPr>
        <w:spacing w:after="0" w:line="29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March 1, 2016, issued by Civeo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442595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660" w:type="dxa"/>
            <w:vAlign w:val="bottom"/>
          </w:tcPr>
          <w:p>
            <w:pPr>
              <w:spacing w:after="0"/>
              <w:rPr>
                <w:sz w:val="24"/>
                <w:szCs w:val="24"/>
                <w:color w:val="auto"/>
              </w:rPr>
            </w:pPr>
          </w:p>
        </w:tc>
        <w:tc>
          <w:tcPr>
            <w:tcW w:w="7760" w:type="dxa"/>
            <w:vAlign w:val="bottom"/>
            <w:gridSpan w:val="3"/>
          </w:tcPr>
          <w:p>
            <w:pPr>
              <w:ind w:left="1860"/>
              <w:spacing w:after="0"/>
              <w:rPr>
                <w:sz w:val="20"/>
                <w:szCs w:val="20"/>
                <w:color w:val="auto"/>
              </w:rPr>
            </w:pPr>
            <w:r>
              <w:rPr>
                <w:rFonts w:ascii="Arial" w:cs="Arial" w:eastAsia="Arial" w:hAnsi="Arial"/>
                <w:sz w:val="22"/>
                <w:szCs w:val="22"/>
                <w:b w:val="1"/>
                <w:bCs w:val="1"/>
                <w:color w:val="auto"/>
              </w:rPr>
              <w:t>Civeo Corporation</w:t>
            </w:r>
          </w:p>
        </w:tc>
      </w:tr>
      <w:tr>
        <w:trPr>
          <w:trHeight w:val="679"/>
        </w:trPr>
        <w:tc>
          <w:tcPr>
            <w:tcW w:w="3660" w:type="dxa"/>
            <w:vAlign w:val="bottom"/>
          </w:tcPr>
          <w:p>
            <w:pPr>
              <w:spacing w:after="0"/>
              <w:rPr>
                <w:sz w:val="20"/>
                <w:szCs w:val="20"/>
                <w:color w:val="auto"/>
              </w:rPr>
            </w:pPr>
            <w:r>
              <w:rPr>
                <w:rFonts w:ascii="Arial" w:cs="Arial" w:eastAsia="Arial" w:hAnsi="Arial"/>
                <w:sz w:val="22"/>
                <w:szCs w:val="22"/>
                <w:color w:val="auto"/>
              </w:rPr>
              <w:t>Date: March 1, 2016</w:t>
            </w:r>
          </w:p>
        </w:tc>
        <w:tc>
          <w:tcPr>
            <w:tcW w:w="7760" w:type="dxa"/>
            <w:vAlign w:val="bottom"/>
            <w:gridSpan w:val="3"/>
          </w:tcPr>
          <w:p>
            <w:pPr>
              <w:ind w:left="1860"/>
              <w:spacing w:after="0"/>
              <w:rPr>
                <w:sz w:val="20"/>
                <w:szCs w:val="20"/>
                <w:color w:val="auto"/>
              </w:rPr>
            </w:pPr>
            <w:r>
              <w:rPr>
                <w:rFonts w:ascii="Arial" w:cs="Arial" w:eastAsia="Arial" w:hAnsi="Arial"/>
                <w:sz w:val="22"/>
                <w:szCs w:val="22"/>
                <w:color w:val="auto"/>
              </w:rPr>
              <w:t>By: /s/ Frank C. Steininger</w:t>
            </w:r>
          </w:p>
        </w:tc>
      </w:tr>
      <w:tr>
        <w:trPr>
          <w:trHeight w:val="242"/>
        </w:trPr>
        <w:tc>
          <w:tcPr>
            <w:tcW w:w="36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44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w w:val="92"/>
              </w:rPr>
              <w:t>Name: Frank C. Steininger</w:t>
            </w:r>
          </w:p>
        </w:tc>
        <w:tc>
          <w:tcPr>
            <w:tcW w:w="3080" w:type="dxa"/>
            <w:vAlign w:val="bottom"/>
          </w:tcPr>
          <w:p>
            <w:pPr>
              <w:spacing w:after="0"/>
              <w:rPr>
                <w:sz w:val="21"/>
                <w:szCs w:val="21"/>
                <w:color w:val="auto"/>
              </w:rPr>
            </w:pPr>
          </w:p>
        </w:tc>
      </w:tr>
      <w:tr>
        <w:trPr>
          <w:trHeight w:val="243"/>
        </w:trPr>
        <w:tc>
          <w:tcPr>
            <w:tcW w:w="36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520" w:type="dxa"/>
            <w:vAlign w:val="bottom"/>
            <w:gridSpan w:val="2"/>
          </w:tcPr>
          <w:p>
            <w:pPr>
              <w:spacing w:after="0" w:line="243" w:lineRule="exact"/>
              <w:rPr>
                <w:sz w:val="20"/>
                <w:szCs w:val="20"/>
                <w:color w:val="auto"/>
              </w:rPr>
            </w:pPr>
            <w:r>
              <w:rPr>
                <w:rFonts w:ascii="Arial" w:cs="Arial" w:eastAsia="Arial" w:hAnsi="Arial"/>
                <w:sz w:val="22"/>
                <w:szCs w:val="22"/>
                <w:color w:val="auto"/>
              </w:rPr>
              <w:t>Title: Senior Vice President, Chief Financial</w:t>
            </w:r>
          </w:p>
        </w:tc>
      </w:tr>
      <w:tr>
        <w:trPr>
          <w:trHeight w:val="275"/>
        </w:trPr>
        <w:tc>
          <w:tcPr>
            <w:tcW w:w="36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5520" w:type="dxa"/>
            <w:vAlign w:val="bottom"/>
            <w:gridSpan w:val="2"/>
          </w:tcPr>
          <w:p>
            <w:pPr>
              <w:spacing w:after="0"/>
              <w:rPr>
                <w:sz w:val="20"/>
                <w:szCs w:val="20"/>
                <w:color w:val="auto"/>
              </w:rPr>
            </w:pPr>
            <w:r>
              <w:rPr>
                <w:rFonts w:ascii="Arial" w:cs="Arial" w:eastAsia="Arial" w:hAnsi="Arial"/>
                <w:sz w:val="22"/>
                <w:szCs w:val="22"/>
                <w:color w:val="auto"/>
              </w:rPr>
              <w:t>Officer and Treasurer</w:t>
            </w:r>
          </w:p>
        </w:tc>
      </w:tr>
      <w:tr>
        <w:trPr>
          <w:trHeight w:val="456"/>
        </w:trPr>
        <w:tc>
          <w:tcPr>
            <w:tcW w:w="366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328" w:right="239" w:bottom="1440" w:gutter="0" w:footer="0" w:header="0"/>
        </w:sectPr>
      </w:pPr>
    </w:p>
    <w:bookmarkStart w:id="3" w:name="page4"/>
    <w:bookmarkEnd w:id="3"/>
    <w:p>
      <w:pPr>
        <w:ind w:left="4860"/>
        <w:spacing w:after="0"/>
        <w:rPr>
          <w:sz w:val="20"/>
          <w:szCs w:val="20"/>
          <w:color w:val="auto"/>
        </w:rPr>
      </w:pPr>
      <w:r>
        <w:rPr>
          <w:rFonts w:ascii="Arial" w:cs="Arial" w:eastAsia="Arial" w:hAnsi="Arial"/>
          <w:sz w:val="22"/>
          <w:szCs w:val="22"/>
          <w:b w:val="1"/>
          <w:bCs w:val="1"/>
          <w:color w:val="auto"/>
        </w:rPr>
        <w:t>EXHIBIT INDEX</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 No. Description</w:t>
      </w:r>
    </w:p>
    <w:p>
      <w:pPr>
        <w:spacing w:after="0" w:line="293"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March 1, 2016, issued by Civeo Corporation.</w:t>
      </w:r>
    </w:p>
    <w:p>
      <w:pPr>
        <w:sectPr>
          <w:pgSz w:w="11900" w:h="16838" w:orient="portrait"/>
          <w:cols w:equalWidth="0" w:num="1">
            <w:col w:w="10199"/>
          </w:cols>
          <w:pgMar w:left="260" w:top="328" w:right="1440" w:bottom="1440" w:gutter="0" w:footer="0" w:header="0"/>
        </w:sectPr>
      </w:pPr>
    </w:p>
    <w:bookmarkStart w:id="4" w:name="page5"/>
    <w:bookmarkEnd w:id="4"/>
    <w:p>
      <w:pPr>
        <w:ind w:left="10060"/>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Receives Continued Listing Standard Notice From NYSE</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HOUSTON, March 01, 2016 (GLOBE NEWSWIRE) -- Civeo Corporation (NYSE:CVEO) today announced that on February 24, 2016, Civeo was notified by the New York Stock Exchange of its noncompliance with continued listing standards because the average closing price of its common shares over a prior 30 consecutive trading day period had fallen below $1.00 per share, which is the minimum average closing price per share required to maintain listing on the NYSE.</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response to the letter, Bradley J. Dodson, Civeo’s President and Chief Executive Officer, stated, “The decline in oil prices that began in late 2014 has continued into the first quarter of 2016, creating increased pressure on energy capital markets, particularly for small-cap companies such as Civeo. Our shares have traded below $1.00 per share for a period of time long enough for the NYSE to issue a non-compliance notice. In response, the Company’s Board of Directors is reviewing all available alternatives to return to compliance with the NYSE continued listing standards. At the Company’s upcoming annual meeting of shareholders currently scheduled for May 2016, the Company’s Board of Directors intends to seek approval from shareholders that would allow Civeo to effect a reverse share split, if needed, to cure the listing standard deficiency.”</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As required by the NYSE, the Company has notified the NYSE of its intent to cure the deficiency and restore its compliance with the NYSE continued listing standards. In general, a listed company has a period of six months following the receipt of the notice to regain compliance. In order to regain compliance, on the last trading day in any calendar month during the cure period, the Company’s common shares must have (i) a closing price of at least $1.00 per share and (ii) an average closing price of at least $1.00 per share over the 30 trading day period ending on the last trading day of such month. If shareholder approval is required, the price condition will be deemed cured if the price promptly exceeds $1.00 per share, and the price remains above the level for at least the following 30 trading days. During this period, subject to Civeo’s compliance with other NYSE continued listing requirements, Civeo’s common shares will continue to be traded on the NYSE under the symbol “CVEO” but will have an added designation of “.BC” to indicate the status of the common shares as below compliance. If Civeo is unable to regain compliance, the NYSE will initiate procedures to suspend and delist Civeo’s common shares.</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NYSE notification does not affect Civeo’s business operations or its Securities and Exchange Commission reporting requirements and does not result in a default under any of the Company’s material debt agreements.</w:t>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Civeo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19 lodges and villages in operation in Canada and Australia, with an aggregate of more than 23,000 rooms. Civeo is publicly traded under the symbol CVEO on the NYSE. For more information, please visit Civeo’s website at www.civeo.com.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the Company’s migration to Canada, including, among other things, risks associated with changes in tax laws or their interpretations, the ability to realize the anticipated benefits thereof, the impact thereof on the Company’s relationships, including with employees, customers, competitors and investors, risks related to our ability to meet the continued listing standards of the NYSE and other factors discussed in the “Business” and “Risk Factors” sections of the Company’s annual report on Form 10-K for the year ended December 31, 2015 and other reports the Company may file from time to time with the SEC. Each forward-looking statement contained in this news release speaks only as of the date of this release. Except as required by law, the Company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Contacts: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Frank C. Steininger</w:t>
      </w:r>
    </w:p>
    <w:p>
      <w:pPr>
        <w:spacing w:after="0" w:line="238" w:lineRule="auto"/>
        <w:rPr>
          <w:sz w:val="20"/>
          <w:szCs w:val="20"/>
          <w:color w:val="auto"/>
        </w:rPr>
      </w:pPr>
      <w:r>
        <w:rPr>
          <w:rFonts w:ascii="Arial" w:cs="Arial" w:eastAsia="Arial" w:hAnsi="Arial"/>
          <w:sz w:val="22"/>
          <w:szCs w:val="22"/>
          <w:color w:val="auto"/>
        </w:rPr>
        <w:t>Civeo Corporation</w:t>
      </w:r>
    </w:p>
    <w:p>
      <w:pPr>
        <w:spacing w:after="0" w:line="230" w:lineRule="auto"/>
        <w:rPr>
          <w:sz w:val="20"/>
          <w:szCs w:val="20"/>
          <w:color w:val="auto"/>
        </w:rPr>
      </w:pPr>
      <w:r>
        <w:rPr>
          <w:rFonts w:ascii="Arial" w:cs="Arial" w:eastAsia="Arial" w:hAnsi="Arial"/>
          <w:sz w:val="22"/>
          <w:szCs w:val="22"/>
          <w:color w:val="auto"/>
        </w:rPr>
        <w:t>Senior Vice President 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 510-2400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Anne Pearson / Lisa Elliott</w:t>
      </w:r>
    </w:p>
    <w:p>
      <w:pPr>
        <w:spacing w:after="0" w:line="238" w:lineRule="auto"/>
        <w:rPr>
          <w:sz w:val="20"/>
          <w:szCs w:val="20"/>
          <w:color w:val="auto"/>
        </w:rPr>
      </w:pPr>
      <w:r>
        <w:rPr>
          <w:rFonts w:ascii="Arial" w:cs="Arial" w:eastAsia="Arial" w:hAnsi="Arial"/>
          <w:sz w:val="22"/>
          <w:szCs w:val="22"/>
          <w:color w:val="auto"/>
        </w:rPr>
        <w:t>Dennard ▪ Lascar Associates</w:t>
      </w:r>
    </w:p>
    <w:p>
      <w:pPr>
        <w:spacing w:after="0"/>
        <w:rPr>
          <w:sz w:val="20"/>
          <w:szCs w:val="20"/>
          <w:color w:val="auto"/>
        </w:rPr>
      </w:pPr>
      <w:r>
        <w:rPr>
          <w:rFonts w:ascii="Arial" w:cs="Arial" w:eastAsia="Arial" w:hAnsi="Arial"/>
          <w:sz w:val="22"/>
          <w:szCs w:val="22"/>
          <w:color w:val="auto"/>
        </w:rPr>
        <w:t>(713) 529-6600</w:t>
      </w:r>
    </w:p>
    <w:sectPr>
      <w:pgSz w:w="11900" w:h="16838" w:orient="portrait"/>
      <w:cols w:equalWidth="0" w:num="1">
        <w:col w:w="11420"/>
      </w:cols>
      <w:pgMar w:left="240" w:top="112" w:right="239" w:bottom="8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2019-12-08T23:46:59Z</dcterms:created>
  <dcterms:modified xsi:type="dcterms:W3CDTF">2019-12-08T23:46:59Z</dcterms:modified>
</cp:coreProperties>
</file>