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(713) 510-2400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August 17,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207"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7"/>
          <w:szCs w:val="17"/>
          <w:b w:val="1"/>
          <w:bCs w:val="1"/>
          <w:color w:val="auto"/>
        </w:rPr>
        <w:t>Re:</w:t>
      </w:r>
      <w:r>
        <w:rPr>
          <w:sz w:val="20"/>
          <w:szCs w:val="20"/>
          <w:color w:val="auto"/>
        </w:rPr>
        <w:tab/>
      </w:r>
      <w:r>
        <w:rPr>
          <w:rFonts w:ascii="Arial" w:cs="Arial" w:eastAsia="Arial" w:hAnsi="Arial"/>
          <w:sz w:val="17"/>
          <w:szCs w:val="17"/>
          <w:b w:val="1"/>
          <w:bCs w:val="1"/>
          <w:color w:val="auto"/>
        </w:rPr>
        <w:t>Request for Acceleration of Effectiveness of Registration Statement on Form S-3 (Registration Statement No. 333-212754)</w:t>
      </w:r>
    </w:p>
    <w:p>
      <w:pPr>
        <w:spacing w:after="0" w:line="241" w:lineRule="exact"/>
        <w:rPr>
          <w:sz w:val="24"/>
          <w:szCs w:val="24"/>
          <w:color w:val="auto"/>
        </w:rPr>
      </w:pPr>
    </w:p>
    <w:p>
      <w:pPr>
        <w:ind w:left="60"/>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80" w:firstLine="324"/>
        <w:spacing w:after="0" w:line="259" w:lineRule="auto"/>
        <w:rPr>
          <w:sz w:val="20"/>
          <w:szCs w:val="20"/>
          <w:color w:val="auto"/>
        </w:rPr>
      </w:pPr>
      <w:r>
        <w:rPr>
          <w:rFonts w:ascii="Arial" w:cs="Arial" w:eastAsia="Arial" w:hAnsi="Arial"/>
          <w:sz w:val="18"/>
          <w:szCs w:val="18"/>
          <w:color w:val="auto"/>
        </w:rPr>
        <w:t>Pursuant to Rule 461 under the Securities Act of 1933, as amended, Civeo Corporation (the “Company”) hereby requests that the effective date of the above-captioned Registration Statement be accelerated so that it becomes effective at 10:00 a.m., Washington, D.C. time, on August 22, 2016, or as soon thereafter as practicable. Once the Registration Statement has been declared effective, please orally confirm that event with our counsel, Baker Botts L.L.P., by calling Tull R. Florey at (713) 229-1379.</w:t>
      </w:r>
    </w:p>
    <w:p>
      <w:pPr>
        <w:spacing w:after="0" w:line="187"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In connection with making this request, the Company acknowledges that:</w:t>
      </w:r>
    </w:p>
    <w:p>
      <w:pPr>
        <w:spacing w:after="0" w:line="225" w:lineRule="exact"/>
        <w:rPr>
          <w:sz w:val="24"/>
          <w:szCs w:val="24"/>
          <w:color w:val="auto"/>
        </w:rPr>
      </w:pPr>
    </w:p>
    <w:p>
      <w:pPr>
        <w:ind w:right="20" w:firstLine="233"/>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U.S. Securities and Exchange Commission (the “Commission”) or the staff, acting pursuant to delegated authority, declares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firstLine="233"/>
        <w:spacing w:after="0" w:line="277" w:lineRule="auto"/>
        <w:tabs>
          <w:tab w:leader="none" w:pos="65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right="80" w:firstLine="233"/>
        <w:spacing w:after="0" w:line="277" w:lineRule="auto"/>
        <w:tabs>
          <w:tab w:leader="none" w:pos="65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38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4"/>
          <w:szCs w:val="24"/>
          <w:color w:val="auto"/>
        </w:rPr>
      </w:pPr>
    </w:p>
    <w:p>
      <w:pPr>
        <w:spacing w:after="0" w:line="24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Bradley J. Dodson</w:t>
      </w:r>
    </w:p>
    <w:p>
      <w:pPr>
        <w:spacing w:after="0" w:line="23" w:lineRule="exact"/>
        <w:rPr>
          <w:sz w:val="24"/>
          <w:szCs w:val="24"/>
          <w:color w:val="auto"/>
        </w:rPr>
      </w:pPr>
    </w:p>
    <w:p>
      <w:pPr>
        <w:ind w:left="6080"/>
        <w:spacing w:after="0"/>
        <w:rPr>
          <w:sz w:val="20"/>
          <w:szCs w:val="20"/>
          <w:color w:val="auto"/>
        </w:rPr>
      </w:pPr>
      <w:r>
        <w:rPr>
          <w:rFonts w:ascii="Arial" w:cs="Arial" w:eastAsia="Arial" w:hAnsi="Arial"/>
          <w:sz w:val="18"/>
          <w:szCs w:val="18"/>
          <w:color w:val="auto"/>
        </w:rPr>
        <w:t>Bradley J. Dodson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4"/>
          <w:szCs w:val="24"/>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cc: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Bryan Hough, 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Tull R. Florey, Baker Botts L.L.P.</w:t>
      </w:r>
    </w:p>
    <w:sectPr>
      <w:pgSz w:w="11900" w:h="16838" w:orient="portrait"/>
      <w:cols w:equalWidth="0" w:num="1">
        <w:col w:w="11420"/>
      </w:cols>
      <w:pgMar w:left="240" w:top="4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2019-12-08T23:55:33Z</dcterms:created>
  <dcterms:modified xsi:type="dcterms:W3CDTF">2019-12-08T23:55:33Z</dcterms:modified>
</cp:coreProperties>
</file>