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0"/>
        <w:spacing w:after="0"/>
        <w:rPr>
          <w:sz w:val="20"/>
          <w:szCs w:val="20"/>
          <w:color w:val="auto"/>
        </w:rPr>
      </w:pPr>
      <w:r>
        <w:rPr>
          <w:rFonts w:ascii="Arial" w:cs="Arial" w:eastAsia="Arial" w:hAnsi="Arial"/>
          <w:sz w:val="18"/>
          <w:szCs w:val="18"/>
          <w:color w:val="auto"/>
        </w:rPr>
        <w:t>UNITED STATES</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Washington, D.C. 20549</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FORM 10-Q</w:t>
      </w:r>
    </w:p>
    <w:p>
      <w:pPr>
        <w:spacing w:after="0" w:line="229" w:lineRule="exact"/>
        <w:rPr>
          <w:sz w:val="24"/>
          <w:szCs w:val="24"/>
          <w:color w:val="auto"/>
        </w:rPr>
      </w:pPr>
    </w:p>
    <w:p>
      <w:pPr>
        <w:ind w:left="280"/>
        <w:spacing w:after="0"/>
        <w:rPr>
          <w:sz w:val="20"/>
          <w:szCs w:val="20"/>
          <w:color w:val="auto"/>
        </w:rPr>
      </w:pPr>
      <w:r>
        <w:rPr>
          <w:rFonts w:ascii="Arial" w:cs="Arial" w:eastAsia="Arial" w:hAnsi="Arial"/>
          <w:sz w:val="18"/>
          <w:szCs w:val="18"/>
          <w:color w:val="auto"/>
        </w:rPr>
        <w:t>(Mark One)</w:t>
      </w:r>
    </w:p>
    <w:p>
      <w:pPr>
        <w:spacing w:after="0" w:line="23" w:lineRule="exact"/>
        <w:rPr>
          <w:sz w:val="24"/>
          <w:szCs w:val="24"/>
          <w:color w:val="auto"/>
        </w:rPr>
      </w:pPr>
    </w:p>
    <w:p>
      <w:pPr>
        <w:ind w:left="960" w:right="1780" w:hanging="560"/>
        <w:spacing w:after="0" w:line="261" w:lineRule="auto"/>
        <w:tabs>
          <w:tab w:leader="none" w:pos="960" w:val="left"/>
        </w:tabs>
        <w:numPr>
          <w:ilvl w:val="0"/>
          <w:numId w:val="1"/>
        </w:numPr>
        <w:rPr>
          <w:rFonts w:ascii="Arial" w:cs="Arial" w:eastAsia="Arial" w:hAnsi="Arial"/>
          <w:sz w:val="18"/>
          <w:szCs w:val="18"/>
          <w:color w:val="auto"/>
        </w:rPr>
      </w:pPr>
      <w:r>
        <w:rPr>
          <w:rFonts w:ascii="Arial" w:cs="Arial" w:eastAsia="Arial" w:hAnsi="Arial"/>
          <w:sz w:val="18"/>
          <w:szCs w:val="18"/>
          <w:color w:val="auto"/>
        </w:rPr>
        <w:t>QUARTERLY REPORT PURSUANT TO SECTION 13 OR 15(d) OF THE SECURITIES EXCHANGE ACT OF 1934 For the quarterly period ended March 31, 2017</w:t>
      </w:r>
    </w:p>
    <w:p>
      <w:pPr>
        <w:spacing w:after="0" w:line="238" w:lineRule="exact"/>
        <w:rPr>
          <w:sz w:val="24"/>
          <w:szCs w:val="24"/>
          <w:color w:val="auto"/>
        </w:rPr>
      </w:pPr>
    </w:p>
    <w:p>
      <w:pPr>
        <w:jc w:val="center"/>
        <w:ind w:left="340"/>
        <w:spacing w:after="0"/>
        <w:rPr>
          <w:sz w:val="20"/>
          <w:szCs w:val="20"/>
          <w:color w:val="auto"/>
        </w:rPr>
      </w:pPr>
      <w:r>
        <w:rPr>
          <w:rFonts w:ascii="Arial" w:cs="Arial" w:eastAsia="Arial" w:hAnsi="Arial"/>
          <w:sz w:val="18"/>
          <w:szCs w:val="18"/>
          <w:color w:val="auto"/>
        </w:rPr>
        <w:t>OR</w:t>
      </w:r>
    </w:p>
    <w:p>
      <w:pPr>
        <w:spacing w:after="0" w:line="23" w:lineRule="exact"/>
        <w:rPr>
          <w:sz w:val="24"/>
          <w:szCs w:val="24"/>
          <w:color w:val="auto"/>
        </w:rPr>
      </w:pPr>
    </w:p>
    <w:p>
      <w:pPr>
        <w:ind w:left="960" w:right="1760" w:hanging="560"/>
        <w:spacing w:after="0" w:line="511" w:lineRule="auto"/>
        <w:tabs>
          <w:tab w:leader="none" w:pos="543" w:val="left"/>
        </w:tabs>
        <w:numPr>
          <w:ilvl w:val="0"/>
          <w:numId w:val="2"/>
        </w:numPr>
        <w:rPr>
          <w:rFonts w:ascii="Arial" w:cs="Arial" w:eastAsia="Arial" w:hAnsi="Arial"/>
          <w:sz w:val="18"/>
          <w:szCs w:val="18"/>
          <w:color w:val="auto"/>
        </w:rPr>
      </w:pPr>
      <w:r>
        <w:rPr>
          <w:rFonts w:ascii="Arial" w:cs="Arial" w:eastAsia="Arial" w:hAnsi="Arial"/>
          <w:sz w:val="18"/>
          <w:szCs w:val="18"/>
          <w:color w:val="auto"/>
        </w:rPr>
        <w:t>]TRANSITION REPORT PURSUANT TO SECTION 13 OR 15(d) OF THE SECURITIES EXCHANGE ACT OF 1934 For the transition period from _________________________ to _________________________</w:t>
      </w:r>
    </w:p>
    <w:p>
      <w:pPr>
        <w:spacing w:after="0" w:line="6" w:lineRule="exact"/>
        <w:rPr>
          <w:sz w:val="24"/>
          <w:szCs w:val="24"/>
          <w:color w:val="auto"/>
        </w:rPr>
      </w:pPr>
    </w:p>
    <w:tbl>
      <w:tblPr>
        <w:tblLayout w:type="fixed"/>
        <w:tblInd w:w="2860" w:type="dxa"/>
        <w:tblCellMar>
          <w:top w:w="0" w:type="dxa"/>
          <w:left w:w="0" w:type="dxa"/>
          <w:bottom w:w="0" w:type="dxa"/>
          <w:right w:w="0" w:type="dxa"/>
        </w:tblCellMar>
      </w:tblPr>
      <w:tr>
        <w:trPr>
          <w:trHeight w:val="207"/>
        </w:trPr>
        <w:tc>
          <w:tcPr>
            <w:tcW w:w="8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540" w:type="dxa"/>
            <w:vAlign w:val="bottom"/>
            <w:gridSpan w:val="5"/>
          </w:tcPr>
          <w:p>
            <w:pPr>
              <w:jc w:val="center"/>
              <w:ind w:right="240"/>
              <w:spacing w:after="0"/>
              <w:rPr>
                <w:sz w:val="20"/>
                <w:szCs w:val="20"/>
                <w:color w:val="auto"/>
              </w:rPr>
            </w:pPr>
            <w:r>
              <w:rPr>
                <w:rFonts w:ascii="Arial" w:cs="Arial" w:eastAsia="Arial" w:hAnsi="Arial"/>
                <w:sz w:val="18"/>
                <w:szCs w:val="18"/>
                <w:color w:val="auto"/>
                <w:w w:val="91"/>
              </w:rPr>
              <w:t>Commission file number: 001-36246</w:t>
            </w: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r>
      <w:tr>
        <w:trPr>
          <w:trHeight w:val="20"/>
        </w:trPr>
        <w:tc>
          <w:tcPr>
            <w:tcW w:w="8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438"/>
        </w:trPr>
        <w:tc>
          <w:tcPr>
            <w:tcW w:w="8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540" w:type="dxa"/>
            <w:vAlign w:val="bottom"/>
            <w:gridSpan w:val="5"/>
          </w:tcPr>
          <w:p>
            <w:pPr>
              <w:jc w:val="center"/>
              <w:ind w:right="220"/>
              <w:spacing w:after="0"/>
              <w:rPr>
                <w:sz w:val="20"/>
                <w:szCs w:val="20"/>
                <w:color w:val="auto"/>
              </w:rPr>
            </w:pPr>
            <w:r>
              <w:rPr>
                <w:rFonts w:ascii="Arial" w:cs="Arial" w:eastAsia="Arial" w:hAnsi="Arial"/>
                <w:sz w:val="18"/>
                <w:szCs w:val="18"/>
                <w:b w:val="1"/>
                <w:bCs w:val="1"/>
                <w:color w:val="auto"/>
                <w:w w:val="91"/>
              </w:rPr>
              <w:t>Civeo Corporation</w:t>
            </w: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r>
      <w:tr>
        <w:trPr>
          <w:trHeight w:val="230"/>
        </w:trPr>
        <w:tc>
          <w:tcPr>
            <w:tcW w:w="4180" w:type="dxa"/>
            <w:vAlign w:val="bottom"/>
            <w:gridSpan w:val="6"/>
          </w:tcPr>
          <w:p>
            <w:pPr>
              <w:jc w:val="right"/>
              <w:ind w:right="660"/>
              <w:spacing w:after="0"/>
              <w:rPr>
                <w:sz w:val="20"/>
                <w:szCs w:val="20"/>
                <w:color w:val="auto"/>
              </w:rPr>
            </w:pPr>
            <w:r>
              <w:rPr>
                <w:rFonts w:ascii="Arial" w:cs="Arial" w:eastAsia="Arial" w:hAnsi="Arial"/>
                <w:sz w:val="18"/>
                <w:szCs w:val="18"/>
                <w:color w:val="auto"/>
              </w:rPr>
              <w:t>_______________</w:t>
            </w:r>
          </w:p>
        </w:tc>
        <w:tc>
          <w:tcPr>
            <w:tcW w:w="5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r>
      <w:tr>
        <w:trPr>
          <w:trHeight w:val="432"/>
        </w:trPr>
        <w:tc>
          <w:tcPr>
            <w:tcW w:w="820" w:type="dxa"/>
            <w:vAlign w:val="bottom"/>
          </w:tcPr>
          <w:p>
            <w:pPr>
              <w:spacing w:after="0"/>
              <w:rPr>
                <w:sz w:val="24"/>
                <w:szCs w:val="24"/>
                <w:color w:val="auto"/>
              </w:rPr>
            </w:pPr>
          </w:p>
        </w:tc>
        <w:tc>
          <w:tcPr>
            <w:tcW w:w="3920" w:type="dxa"/>
            <w:vAlign w:val="bottom"/>
            <w:gridSpan w:val="6"/>
          </w:tcPr>
          <w:p>
            <w:pPr>
              <w:jc w:val="center"/>
              <w:ind w:left="70"/>
              <w:spacing w:after="0"/>
              <w:rPr>
                <w:sz w:val="20"/>
                <w:szCs w:val="20"/>
                <w:color w:val="auto"/>
              </w:rPr>
            </w:pPr>
            <w:r>
              <w:rPr>
                <w:rFonts w:ascii="Arial" w:cs="Arial" w:eastAsia="Arial" w:hAnsi="Arial"/>
                <w:sz w:val="18"/>
                <w:szCs w:val="18"/>
                <w:color w:val="auto"/>
                <w:w w:val="90"/>
              </w:rPr>
              <w:t>(Exact name of registrant as specified in its charter)</w:t>
            </w: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r>
      <w:tr>
        <w:trPr>
          <w:trHeight w:val="392"/>
        </w:trPr>
        <w:tc>
          <w:tcPr>
            <w:tcW w:w="820" w:type="dxa"/>
            <w:vAlign w:val="bottom"/>
          </w:tcPr>
          <w:p>
            <w:pPr>
              <w:spacing w:after="0"/>
              <w:rPr>
                <w:sz w:val="24"/>
                <w:szCs w:val="24"/>
                <w:color w:val="auto"/>
              </w:rPr>
            </w:pPr>
          </w:p>
        </w:tc>
        <w:tc>
          <w:tcPr>
            <w:tcW w:w="3920" w:type="dxa"/>
            <w:vAlign w:val="bottom"/>
            <w:gridSpan w:val="6"/>
          </w:tcPr>
          <w:p>
            <w:pPr>
              <w:jc w:val="center"/>
              <w:ind w:right="2060"/>
              <w:spacing w:after="0"/>
              <w:rPr>
                <w:sz w:val="20"/>
                <w:szCs w:val="20"/>
                <w:color w:val="auto"/>
              </w:rPr>
            </w:pPr>
            <w:r>
              <w:rPr>
                <w:rFonts w:ascii="Arial" w:cs="Arial" w:eastAsia="Arial" w:hAnsi="Arial"/>
                <w:sz w:val="18"/>
                <w:szCs w:val="18"/>
                <w:color w:val="auto"/>
                <w:w w:val="91"/>
              </w:rPr>
              <w:t>British Columbia, Canada</w:t>
            </w:r>
          </w:p>
        </w:tc>
        <w:tc>
          <w:tcPr>
            <w:tcW w:w="1380" w:type="dxa"/>
            <w:vAlign w:val="bottom"/>
            <w:gridSpan w:val="5"/>
          </w:tcPr>
          <w:p>
            <w:pPr>
              <w:jc w:val="right"/>
              <w:ind w:right="240"/>
              <w:spacing w:after="0"/>
              <w:rPr>
                <w:sz w:val="20"/>
                <w:szCs w:val="20"/>
                <w:color w:val="auto"/>
              </w:rPr>
            </w:pPr>
            <w:r>
              <w:rPr>
                <w:rFonts w:ascii="Arial" w:cs="Arial" w:eastAsia="Arial" w:hAnsi="Arial"/>
                <w:sz w:val="18"/>
                <w:szCs w:val="18"/>
                <w:color w:val="auto"/>
              </w:rPr>
              <w:t>98-1253716</w:t>
            </w:r>
          </w:p>
        </w:tc>
      </w:tr>
      <w:tr>
        <w:trPr>
          <w:trHeight w:val="20"/>
        </w:trPr>
        <w:tc>
          <w:tcPr>
            <w:tcW w:w="82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060" w:type="dxa"/>
            <w:vAlign w:val="bottom"/>
            <w:gridSpan w:val="3"/>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222"/>
        </w:trPr>
        <w:tc>
          <w:tcPr>
            <w:tcW w:w="4740" w:type="dxa"/>
            <w:vAlign w:val="bottom"/>
            <w:gridSpan w:val="7"/>
          </w:tcPr>
          <w:p>
            <w:pPr>
              <w:jc w:val="center"/>
              <w:ind w:right="1240"/>
              <w:spacing w:after="0"/>
              <w:rPr>
                <w:sz w:val="20"/>
                <w:szCs w:val="20"/>
                <w:color w:val="auto"/>
              </w:rPr>
            </w:pPr>
            <w:r>
              <w:rPr>
                <w:rFonts w:ascii="Arial" w:cs="Arial" w:eastAsia="Arial" w:hAnsi="Arial"/>
                <w:sz w:val="18"/>
                <w:szCs w:val="18"/>
                <w:color w:val="auto"/>
                <w:w w:val="93"/>
              </w:rPr>
              <w:t>(State or other jurisdiction of</w:t>
            </w:r>
          </w:p>
        </w:tc>
        <w:tc>
          <w:tcPr>
            <w:tcW w:w="1380" w:type="dxa"/>
            <w:vAlign w:val="bottom"/>
            <w:gridSpan w:val="5"/>
          </w:tcPr>
          <w:p>
            <w:pPr>
              <w:jc w:val="center"/>
              <w:spacing w:after="0"/>
              <w:rPr>
                <w:sz w:val="20"/>
                <w:szCs w:val="20"/>
                <w:color w:val="auto"/>
              </w:rPr>
            </w:pPr>
            <w:r>
              <w:rPr>
                <w:rFonts w:ascii="Arial" w:cs="Arial" w:eastAsia="Arial" w:hAnsi="Arial"/>
                <w:sz w:val="18"/>
                <w:szCs w:val="18"/>
                <w:color w:val="auto"/>
                <w:w w:val="92"/>
              </w:rPr>
              <w:t>(I.R.S. Employer</w:t>
            </w:r>
          </w:p>
        </w:tc>
      </w:tr>
      <w:tr>
        <w:trPr>
          <w:trHeight w:val="230"/>
        </w:trPr>
        <w:tc>
          <w:tcPr>
            <w:tcW w:w="4740" w:type="dxa"/>
            <w:vAlign w:val="bottom"/>
            <w:gridSpan w:val="7"/>
          </w:tcPr>
          <w:p>
            <w:pPr>
              <w:jc w:val="center"/>
              <w:ind w:right="1240"/>
              <w:spacing w:after="0"/>
              <w:rPr>
                <w:sz w:val="20"/>
                <w:szCs w:val="20"/>
                <w:color w:val="auto"/>
              </w:rPr>
            </w:pPr>
            <w:r>
              <w:rPr>
                <w:rFonts w:ascii="Arial" w:cs="Arial" w:eastAsia="Arial" w:hAnsi="Arial"/>
                <w:sz w:val="18"/>
                <w:szCs w:val="18"/>
                <w:color w:val="auto"/>
                <w:w w:val="93"/>
              </w:rPr>
              <w:t>incorporation or organization)</w:t>
            </w:r>
          </w:p>
        </w:tc>
        <w:tc>
          <w:tcPr>
            <w:tcW w:w="1380" w:type="dxa"/>
            <w:vAlign w:val="bottom"/>
            <w:gridSpan w:val="5"/>
          </w:tcPr>
          <w:p>
            <w:pPr>
              <w:jc w:val="center"/>
              <w:spacing w:after="0"/>
              <w:rPr>
                <w:sz w:val="20"/>
                <w:szCs w:val="20"/>
                <w:color w:val="auto"/>
              </w:rPr>
            </w:pPr>
            <w:r>
              <w:rPr>
                <w:rFonts w:ascii="Arial" w:cs="Arial" w:eastAsia="Arial" w:hAnsi="Arial"/>
                <w:sz w:val="18"/>
                <w:szCs w:val="18"/>
                <w:color w:val="auto"/>
                <w:w w:val="95"/>
              </w:rPr>
              <w:t>Identification No.)</w:t>
            </w:r>
          </w:p>
        </w:tc>
      </w:tr>
      <w:tr>
        <w:trPr>
          <w:trHeight w:val="392"/>
        </w:trPr>
        <w:tc>
          <w:tcPr>
            <w:tcW w:w="4740" w:type="dxa"/>
            <w:vAlign w:val="bottom"/>
            <w:gridSpan w:val="7"/>
          </w:tcPr>
          <w:p>
            <w:pPr>
              <w:jc w:val="center"/>
              <w:ind w:right="1240"/>
              <w:spacing w:after="0"/>
              <w:rPr>
                <w:sz w:val="20"/>
                <w:szCs w:val="20"/>
                <w:color w:val="auto"/>
              </w:rPr>
            </w:pPr>
            <w:r>
              <w:rPr>
                <w:rFonts w:ascii="Arial" w:cs="Arial" w:eastAsia="Arial" w:hAnsi="Arial"/>
                <w:sz w:val="18"/>
                <w:szCs w:val="18"/>
                <w:color w:val="auto"/>
                <w:w w:val="90"/>
              </w:rPr>
              <w:t>Three Allen Center, 333 Clay Street, Suite 4980,</w:t>
            </w:r>
          </w:p>
        </w:tc>
        <w:tc>
          <w:tcPr>
            <w:tcW w:w="480" w:type="dxa"/>
            <w:vAlign w:val="bottom"/>
            <w:gridSpan w:val="2"/>
          </w:tcPr>
          <w:p>
            <w:pPr>
              <w:spacing w:after="0"/>
              <w:rPr>
                <w:sz w:val="24"/>
                <w:szCs w:val="24"/>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77002</w:t>
            </w: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r>
      <w:tr>
        <w:trPr>
          <w:trHeight w:val="196"/>
        </w:trPr>
        <w:tc>
          <w:tcPr>
            <w:tcW w:w="8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540" w:type="dxa"/>
            <w:vAlign w:val="bottom"/>
            <w:gridSpan w:val="5"/>
          </w:tcPr>
          <w:p>
            <w:pPr>
              <w:jc w:val="center"/>
              <w:ind w:right="2440"/>
              <w:spacing w:after="0" w:line="196" w:lineRule="exact"/>
              <w:rPr>
                <w:sz w:val="20"/>
                <w:szCs w:val="20"/>
                <w:color w:val="auto"/>
              </w:rPr>
            </w:pPr>
            <w:r>
              <w:rPr>
                <w:rFonts w:ascii="Arial" w:cs="Arial" w:eastAsia="Arial" w:hAnsi="Arial"/>
                <w:sz w:val="18"/>
                <w:szCs w:val="18"/>
                <w:color w:val="auto"/>
                <w:w w:val="87"/>
              </w:rPr>
              <w:t>Houston, Texas</w:t>
            </w:r>
          </w:p>
        </w:tc>
        <w:tc>
          <w:tcPr>
            <w:tcW w:w="280" w:type="dxa"/>
            <w:vAlign w:val="bottom"/>
          </w:tcPr>
          <w:p>
            <w:pPr>
              <w:spacing w:after="0"/>
              <w:rPr>
                <w:sz w:val="17"/>
                <w:szCs w:val="17"/>
                <w:color w:val="auto"/>
              </w:rPr>
            </w:pPr>
          </w:p>
        </w:tc>
        <w:tc>
          <w:tcPr>
            <w:tcW w:w="1100" w:type="dxa"/>
            <w:vAlign w:val="bottom"/>
            <w:gridSpan w:val="4"/>
          </w:tcPr>
          <w:p>
            <w:pPr>
              <w:jc w:val="center"/>
              <w:ind w:right="240"/>
              <w:spacing w:after="0" w:line="196" w:lineRule="exact"/>
              <w:rPr>
                <w:sz w:val="20"/>
                <w:szCs w:val="20"/>
                <w:color w:val="auto"/>
              </w:rPr>
            </w:pPr>
            <w:r>
              <w:rPr>
                <w:rFonts w:ascii="Arial" w:cs="Arial" w:eastAsia="Arial" w:hAnsi="Arial"/>
                <w:sz w:val="18"/>
                <w:szCs w:val="18"/>
                <w:color w:val="auto"/>
                <w:w w:val="91"/>
              </w:rPr>
              <w:t>(Zip Code)</w:t>
            </w:r>
          </w:p>
        </w:tc>
      </w:tr>
      <w:tr>
        <w:trPr>
          <w:trHeight w:val="20"/>
        </w:trPr>
        <w:tc>
          <w:tcPr>
            <w:tcW w:w="1200" w:type="dxa"/>
            <w:vAlign w:val="bottom"/>
            <w:gridSpan w:val="2"/>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440" w:type="dxa"/>
            <w:vAlign w:val="bottom"/>
            <w:gridSpan w:val="4"/>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237"/>
        </w:trPr>
        <w:tc>
          <w:tcPr>
            <w:tcW w:w="4740" w:type="dxa"/>
            <w:vAlign w:val="bottom"/>
            <w:gridSpan w:val="7"/>
          </w:tcPr>
          <w:p>
            <w:pPr>
              <w:jc w:val="center"/>
              <w:ind w:right="1240"/>
              <w:spacing w:after="0"/>
              <w:rPr>
                <w:sz w:val="20"/>
                <w:szCs w:val="20"/>
                <w:color w:val="auto"/>
              </w:rPr>
            </w:pPr>
            <w:r>
              <w:rPr>
                <w:rFonts w:ascii="Arial" w:cs="Arial" w:eastAsia="Arial" w:hAnsi="Arial"/>
                <w:sz w:val="18"/>
                <w:szCs w:val="18"/>
                <w:color w:val="auto"/>
                <w:w w:val="92"/>
              </w:rPr>
              <w:t>(Address of principal executive offices)</w:t>
            </w: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r>
      <w:tr>
        <w:trPr>
          <w:trHeight w:val="432"/>
        </w:trPr>
        <w:tc>
          <w:tcPr>
            <w:tcW w:w="4180" w:type="dxa"/>
            <w:vAlign w:val="bottom"/>
            <w:gridSpan w:val="6"/>
          </w:tcPr>
          <w:p>
            <w:pPr>
              <w:jc w:val="right"/>
              <w:ind w:right="760"/>
              <w:spacing w:after="0"/>
              <w:rPr>
                <w:sz w:val="20"/>
                <w:szCs w:val="20"/>
                <w:color w:val="auto"/>
              </w:rPr>
            </w:pPr>
            <w:r>
              <w:rPr>
                <w:rFonts w:ascii="Arial" w:cs="Arial" w:eastAsia="Arial" w:hAnsi="Arial"/>
                <w:sz w:val="18"/>
                <w:szCs w:val="18"/>
                <w:color w:val="auto"/>
              </w:rPr>
              <w:t>(713) 510-2400</w:t>
            </w:r>
          </w:p>
        </w:tc>
        <w:tc>
          <w:tcPr>
            <w:tcW w:w="5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95"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(Registrant’s telephone number, including area code)</w:t>
      </w:r>
    </w:p>
    <w:p>
      <w:pPr>
        <w:spacing w:after="0" w:line="225" w:lineRule="exact"/>
        <w:rPr>
          <w:sz w:val="24"/>
          <w:szCs w:val="24"/>
          <w:color w:val="auto"/>
        </w:rPr>
      </w:pPr>
    </w:p>
    <w:p>
      <w:pPr>
        <w:jc w:val="both"/>
        <w:spacing w:after="0" w:line="256"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ind w:left="4540"/>
        <w:spacing w:after="0"/>
        <w:tabs>
          <w:tab w:leader="none" w:pos="6260" w:val="left"/>
        </w:tabs>
        <w:rPr>
          <w:sz w:val="20"/>
          <w:szCs w:val="20"/>
          <w:color w:val="auto"/>
        </w:rPr>
      </w:pPr>
      <w:r>
        <w:rPr>
          <w:rFonts w:ascii="Arial" w:cs="Arial" w:eastAsia="Arial" w:hAnsi="Arial"/>
          <w:sz w:val="18"/>
          <w:szCs w:val="18"/>
          <w:color w:val="auto"/>
        </w:rPr>
        <w:t>YES [X]</w:t>
      </w:r>
      <w:r>
        <w:rPr>
          <w:sz w:val="20"/>
          <w:szCs w:val="20"/>
          <w:color w:val="auto"/>
        </w:rPr>
        <w:tab/>
      </w:r>
      <w:r>
        <w:rPr>
          <w:rFonts w:ascii="Arial" w:cs="Arial" w:eastAsia="Arial" w:hAnsi="Arial"/>
          <w:sz w:val="18"/>
          <w:szCs w:val="18"/>
          <w:color w:val="auto"/>
        </w:rPr>
        <w:t>NO [ ]</w:t>
      </w:r>
    </w:p>
    <w:p>
      <w:pPr>
        <w:spacing w:after="0" w:line="211" w:lineRule="exact"/>
        <w:rPr>
          <w:sz w:val="24"/>
          <w:szCs w:val="24"/>
          <w:color w:val="auto"/>
        </w:rPr>
      </w:pPr>
    </w:p>
    <w:p>
      <w:pPr>
        <w:jc w:val="both"/>
        <w:spacing w:after="0" w:line="256"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w:t>
      </w:r>
    </w:p>
    <w:p>
      <w:pPr>
        <w:ind w:left="4540"/>
        <w:spacing w:after="0"/>
        <w:tabs>
          <w:tab w:leader="none" w:pos="6260" w:val="left"/>
        </w:tabs>
        <w:rPr>
          <w:sz w:val="20"/>
          <w:szCs w:val="20"/>
          <w:color w:val="auto"/>
        </w:rPr>
      </w:pPr>
      <w:r>
        <w:rPr>
          <w:rFonts w:ascii="Arial" w:cs="Arial" w:eastAsia="Arial" w:hAnsi="Arial"/>
          <w:sz w:val="18"/>
          <w:szCs w:val="18"/>
          <w:color w:val="auto"/>
        </w:rPr>
        <w:t>YES [X]</w:t>
      </w:r>
      <w:r>
        <w:rPr>
          <w:sz w:val="20"/>
          <w:szCs w:val="20"/>
          <w:color w:val="auto"/>
        </w:rPr>
        <w:tab/>
      </w:r>
      <w:r>
        <w:rPr>
          <w:rFonts w:ascii="Arial" w:cs="Arial" w:eastAsia="Arial" w:hAnsi="Arial"/>
          <w:sz w:val="18"/>
          <w:szCs w:val="18"/>
          <w:color w:val="auto"/>
        </w:rPr>
        <w:t>NO [ ]</w:t>
      </w:r>
    </w:p>
    <w:p>
      <w:pPr>
        <w:spacing w:after="0" w:line="211" w:lineRule="exact"/>
        <w:rPr>
          <w:sz w:val="24"/>
          <w:szCs w:val="24"/>
          <w:color w:val="auto"/>
        </w:rPr>
      </w:pPr>
    </w:p>
    <w:p>
      <w:pPr>
        <w:ind w:right="120"/>
        <w:spacing w:after="0" w:line="256"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"accelerated filer," "large accelerated filer," "smaller reporting company” and “emerging growth company” in Rule 12b-2 of the Exchange Act.</w:t>
      </w:r>
    </w:p>
    <w:p>
      <w:pPr>
        <w:sectPr>
          <w:pgSz w:w="11900" w:h="16838" w:orient="portrait"/>
          <w:cols w:equalWidth="0" w:num="1">
            <w:col w:w="11420"/>
          </w:cols>
          <w:pgMar w:left="240" w:top="409" w:right="239" w:bottom="1440" w:gutter="0" w:footer="0" w:header="0"/>
        </w:sectPr>
      </w:pPr>
    </w:p>
    <w:p>
      <w:pPr>
        <w:spacing w:after="0" w:line="202" w:lineRule="exact"/>
        <w:rPr>
          <w:sz w:val="24"/>
          <w:szCs w:val="24"/>
          <w:color w:val="auto"/>
        </w:rPr>
      </w:pPr>
    </w:p>
    <w:p>
      <w:pPr>
        <w:spacing w:after="0"/>
        <w:rPr>
          <w:sz w:val="20"/>
          <w:szCs w:val="20"/>
          <w:color w:val="auto"/>
        </w:rPr>
      </w:pPr>
      <w:r>
        <w:rPr>
          <w:rFonts w:ascii="Arial" w:cs="Arial" w:eastAsia="Arial" w:hAnsi="Arial"/>
          <w:sz w:val="17"/>
          <w:szCs w:val="17"/>
          <w:color w:val="auto"/>
        </w:rPr>
        <w:t>Large Accelerated Filer [ ]</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8"/>
          <w:szCs w:val="18"/>
          <w:color w:val="auto"/>
        </w:rPr>
        <w:t>(Check one):</w:t>
      </w:r>
    </w:p>
    <w:p>
      <w:pPr>
        <w:spacing w:after="0" w:line="9" w:lineRule="exact"/>
        <w:rPr>
          <w:sz w:val="24"/>
          <w:szCs w:val="24"/>
          <w:color w:val="auto"/>
        </w:rPr>
      </w:pPr>
    </w:p>
    <w:p>
      <w:pPr>
        <w:ind w:left="480"/>
        <w:spacing w:after="0"/>
        <w:rPr>
          <w:sz w:val="20"/>
          <w:szCs w:val="20"/>
          <w:color w:val="auto"/>
        </w:rPr>
      </w:pPr>
      <w:r>
        <w:rPr>
          <w:rFonts w:ascii="Arial" w:cs="Arial" w:eastAsia="Arial" w:hAnsi="Arial"/>
          <w:sz w:val="17"/>
          <w:szCs w:val="17"/>
          <w:color w:val="auto"/>
        </w:rPr>
        <w:t>Accelerated Filer [X]</w:t>
      </w:r>
    </w:p>
    <w:p>
      <w:pPr>
        <w:spacing w:after="0" w:line="20" w:lineRule="exact"/>
        <w:rPr>
          <w:sz w:val="24"/>
          <w:szCs w:val="24"/>
          <w:color w:val="auto"/>
        </w:rPr>
      </w:pPr>
      <w:r>
        <w:rPr>
          <w:sz w:val="24"/>
          <w:szCs w:val="24"/>
          <w:color w:val="auto"/>
        </w:rPr>
        <w:br w:type="column"/>
      </w:r>
    </w:p>
    <w:p>
      <w:pPr>
        <w:spacing w:after="0" w:line="182" w:lineRule="exact"/>
        <w:rPr>
          <w:sz w:val="24"/>
          <w:szCs w:val="24"/>
          <w:color w:val="auto"/>
        </w:rPr>
      </w:pPr>
    </w:p>
    <w:p>
      <w:pPr>
        <w:spacing w:after="0"/>
        <w:rPr>
          <w:sz w:val="20"/>
          <w:szCs w:val="20"/>
          <w:color w:val="auto"/>
        </w:rPr>
      </w:pPr>
      <w:r>
        <w:rPr>
          <w:rFonts w:ascii="Arial" w:cs="Arial" w:eastAsia="Arial" w:hAnsi="Arial"/>
          <w:sz w:val="17"/>
          <w:szCs w:val="17"/>
          <w:color w:val="auto"/>
        </w:rPr>
        <w:t>Emerging Growth Company [ ]</w:t>
      </w:r>
    </w:p>
    <w:p>
      <w:pPr>
        <w:spacing w:after="0" w:line="214" w:lineRule="exact"/>
        <w:rPr>
          <w:sz w:val="24"/>
          <w:szCs w:val="24"/>
          <w:color w:val="auto"/>
        </w:rPr>
      </w:pPr>
    </w:p>
    <w:p>
      <w:pPr>
        <w:sectPr>
          <w:pgSz w:w="11900" w:h="16838" w:orient="portrait"/>
          <w:cols w:equalWidth="0" w:num="3">
            <w:col w:w="4520" w:space="720"/>
            <w:col w:w="2620" w:space="720"/>
            <w:col w:w="2840"/>
          </w:cols>
          <w:pgMar w:left="240" w:top="409" w:right="239" w:bottom="1440" w:gutter="0" w:footer="0" w:header="0"/>
          <w:type w:val="continuous"/>
        </w:sectPr>
      </w:pPr>
    </w:p>
    <w:p>
      <w:pPr>
        <w:spacing w:after="0" w:line="22" w:lineRule="exact"/>
        <w:rPr>
          <w:sz w:val="24"/>
          <w:szCs w:val="24"/>
          <w:color w:val="auto"/>
        </w:rPr>
      </w:pPr>
    </w:p>
    <w:p>
      <w:pPr>
        <w:spacing w:after="0"/>
        <w:rPr>
          <w:sz w:val="20"/>
          <w:szCs w:val="20"/>
          <w:color w:val="auto"/>
        </w:rPr>
      </w:pPr>
      <w:r>
        <w:rPr>
          <w:rFonts w:ascii="Arial" w:cs="Arial" w:eastAsia="Arial" w:hAnsi="Arial"/>
          <w:sz w:val="16"/>
          <w:szCs w:val="16"/>
          <w:color w:val="auto"/>
        </w:rPr>
        <w:t>Non-Accelerated Filer [ ] (Do not check if a smaller reporting company)</w:t>
      </w:r>
    </w:p>
    <w:p>
      <w:pPr>
        <w:spacing w:after="0" w:line="20" w:lineRule="exact"/>
        <w:rPr>
          <w:sz w:val="24"/>
          <w:szCs w:val="24"/>
          <w:color w:val="auto"/>
        </w:rPr>
      </w:pPr>
      <w:r>
        <w:rPr>
          <w:sz w:val="24"/>
          <w:szCs w:val="24"/>
          <w:color w:val="auto"/>
        </w:rPr>
        <w:br w:type="column"/>
      </w:r>
    </w:p>
    <w:p>
      <w:pPr>
        <w:spacing w:after="0" w:line="2"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 [ ]</w:t>
      </w:r>
    </w:p>
    <w:p>
      <w:pPr>
        <w:spacing w:after="0" w:line="200" w:lineRule="exact"/>
        <w:rPr>
          <w:sz w:val="24"/>
          <w:szCs w:val="24"/>
          <w:color w:val="auto"/>
        </w:rPr>
      </w:pPr>
    </w:p>
    <w:p>
      <w:pPr>
        <w:sectPr>
          <w:pgSz w:w="11900" w:h="16838" w:orient="portrait"/>
          <w:cols w:equalWidth="0" w:num="2">
            <w:col w:w="5260" w:space="460"/>
            <w:col w:w="5700"/>
          </w:cols>
          <w:pgMar w:left="240" w:top="409" w:right="239" w:bottom="1440" w:gutter="0" w:footer="0" w:header="0"/>
          <w:type w:val="continuous"/>
        </w:sectPr>
      </w:pPr>
    </w:p>
    <w:p>
      <w:pPr>
        <w:spacing w:after="0" w:line="48" w:lineRule="exact"/>
        <w:rPr>
          <w:sz w:val="24"/>
          <w:szCs w:val="24"/>
          <w:color w:val="auto"/>
        </w:rPr>
      </w:pPr>
    </w:p>
    <w:p>
      <w:pPr>
        <w:ind w:right="140"/>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 ]</w:t>
      </w:r>
    </w:p>
    <w:p>
      <w:pPr>
        <w:spacing w:after="0" w:line="170"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Exchange Act).</w:t>
      </w:r>
    </w:p>
    <w:p>
      <w:pPr>
        <w:spacing w:after="0" w:line="23" w:lineRule="exact"/>
        <w:rPr>
          <w:sz w:val="24"/>
          <w:szCs w:val="24"/>
          <w:color w:val="auto"/>
        </w:rPr>
      </w:pPr>
    </w:p>
    <w:p>
      <w:pPr>
        <w:ind w:left="4540"/>
        <w:spacing w:after="0"/>
        <w:tabs>
          <w:tab w:leader="none" w:pos="6260" w:val="left"/>
        </w:tabs>
        <w:rPr>
          <w:sz w:val="20"/>
          <w:szCs w:val="20"/>
          <w:color w:val="auto"/>
        </w:rPr>
      </w:pPr>
      <w:r>
        <w:rPr>
          <w:rFonts w:ascii="Arial" w:cs="Arial" w:eastAsia="Arial" w:hAnsi="Arial"/>
          <w:sz w:val="18"/>
          <w:szCs w:val="18"/>
          <w:color w:val="auto"/>
        </w:rPr>
        <w:t>YES [ ]</w:t>
      </w:r>
      <w:r>
        <w:rPr>
          <w:sz w:val="20"/>
          <w:szCs w:val="20"/>
          <w:color w:val="auto"/>
        </w:rPr>
        <w:tab/>
      </w:r>
      <w:r>
        <w:rPr>
          <w:rFonts w:ascii="Arial" w:cs="Arial" w:eastAsia="Arial" w:hAnsi="Arial"/>
          <w:sz w:val="18"/>
          <w:szCs w:val="18"/>
          <w:color w:val="auto"/>
        </w:rPr>
        <w:t>NO [X ]</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The Registrant had 132,008,760 common shares outstanding as of April 21, 2017.</w:t>
      </w:r>
    </w:p>
    <w:p>
      <w:pPr>
        <w:spacing w:after="0" w:line="200" w:lineRule="exact"/>
        <w:rPr>
          <w:sz w:val="24"/>
          <w:szCs w:val="24"/>
          <w:color w:val="auto"/>
        </w:rPr>
      </w:pPr>
    </w:p>
    <w:p>
      <w:pPr>
        <w:spacing w:after="0" w:line="268"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409" w:right="2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10340" w:type="dxa"/>
            <w:vAlign w:val="bottom"/>
          </w:tcPr>
          <w:p>
            <w:pPr>
              <w:jc w:val="center"/>
              <w:ind w:left="950"/>
              <w:spacing w:after="0"/>
              <w:rPr>
                <w:sz w:val="20"/>
                <w:szCs w:val="20"/>
                <w:color w:val="auto"/>
              </w:rPr>
            </w:pPr>
            <w:r>
              <w:rPr>
                <w:rFonts w:ascii="Arial" w:cs="Arial" w:eastAsia="Arial" w:hAnsi="Arial"/>
                <w:sz w:val="18"/>
                <w:szCs w:val="18"/>
                <w:color w:val="auto"/>
                <w:w w:val="95"/>
              </w:rPr>
              <w:t>CIVEO CORPORATION</w:t>
            </w:r>
          </w:p>
        </w:tc>
        <w:tc>
          <w:tcPr>
            <w:tcW w:w="3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10340" w:type="dxa"/>
            <w:vAlign w:val="bottom"/>
          </w:tcPr>
          <w:p>
            <w:pPr>
              <w:jc w:val="center"/>
              <w:ind w:left="970"/>
              <w:spacing w:after="0"/>
              <w:rPr>
                <w:sz w:val="20"/>
                <w:szCs w:val="20"/>
                <w:color w:val="auto"/>
              </w:rPr>
            </w:pPr>
            <w:r>
              <w:rPr>
                <w:rFonts w:ascii="Arial" w:cs="Arial" w:eastAsia="Arial" w:hAnsi="Arial"/>
                <w:sz w:val="18"/>
                <w:szCs w:val="18"/>
                <w:color w:val="auto"/>
              </w:rPr>
              <w:t>INDEX</w:t>
            </w:r>
          </w:p>
        </w:tc>
        <w:tc>
          <w:tcPr>
            <w:tcW w:w="3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20" w:type="dxa"/>
            <w:vAlign w:val="bottom"/>
          </w:tcPr>
          <w:p>
            <w:pPr>
              <w:spacing w:after="0"/>
              <w:rPr>
                <w:sz w:val="24"/>
                <w:szCs w:val="24"/>
                <w:color w:val="auto"/>
              </w:rPr>
            </w:pPr>
          </w:p>
        </w:tc>
        <w:tc>
          <w:tcPr>
            <w:tcW w:w="10340" w:type="dxa"/>
            <w:vAlign w:val="bottom"/>
          </w:tcPr>
          <w:p>
            <w:pPr>
              <w:spacing w:after="0"/>
              <w:rPr>
                <w:sz w:val="24"/>
                <w:szCs w:val="24"/>
                <w:color w:val="auto"/>
              </w:rPr>
            </w:pPr>
          </w:p>
        </w:tc>
        <w:tc>
          <w:tcPr>
            <w:tcW w:w="1100" w:type="dxa"/>
            <w:vAlign w:val="bottom"/>
            <w:gridSpan w:val="3"/>
          </w:tcPr>
          <w:p>
            <w:pPr>
              <w:ind w:left="380"/>
              <w:spacing w:after="0"/>
              <w:rPr>
                <w:sz w:val="20"/>
                <w:szCs w:val="20"/>
                <w:color w:val="auto"/>
              </w:rPr>
            </w:pPr>
            <w:r>
              <w:rPr>
                <w:rFonts w:ascii="Arial" w:cs="Arial" w:eastAsia="Arial" w:hAnsi="Arial"/>
                <w:sz w:val="18"/>
                <w:szCs w:val="18"/>
                <w:b w:val="1"/>
                <w:bCs w:val="1"/>
                <w:color w:val="auto"/>
                <w:w w:val="90"/>
              </w:rPr>
              <w:t>Page No.</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03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8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10340" w:type="dxa"/>
            <w:vAlign w:val="bottom"/>
            <w:shd w:val="clear" w:color="auto" w:fill="CCEEFF"/>
          </w:tcPr>
          <w:p>
            <w:pPr>
              <w:ind w:left="1120"/>
              <w:spacing w:after="0"/>
              <w:rPr>
                <w:sz w:val="20"/>
                <w:szCs w:val="20"/>
                <w:color w:val="auto"/>
              </w:rPr>
            </w:pPr>
            <w:r>
              <w:rPr>
                <w:rFonts w:ascii="Arial" w:cs="Arial" w:eastAsia="Arial" w:hAnsi="Arial"/>
                <w:sz w:val="18"/>
                <w:szCs w:val="18"/>
                <w:color w:val="auto"/>
              </w:rPr>
              <w:t>Part I -- FINANCIAL INFORMATION</w:t>
            </w:r>
          </w:p>
        </w:tc>
        <w:tc>
          <w:tcPr>
            <w:tcW w:w="3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3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340" w:type="dxa"/>
            <w:vAlign w:val="bottom"/>
            <w:shd w:val="clear" w:color="auto" w:fill="CCEEFF"/>
          </w:tcPr>
          <w:p>
            <w:pPr>
              <w:spacing w:after="0"/>
              <w:rPr>
                <w:sz w:val="20"/>
                <w:szCs w:val="20"/>
                <w:color w:val="auto"/>
              </w:rPr>
            </w:pPr>
            <w:r>
              <w:rPr>
                <w:rFonts w:ascii="Arial" w:cs="Arial" w:eastAsia="Arial" w:hAnsi="Arial"/>
                <w:sz w:val="18"/>
                <w:szCs w:val="18"/>
                <w:color w:val="auto"/>
              </w:rPr>
              <w:t>Item 1. Financial Statements:</w:t>
            </w:r>
          </w:p>
        </w:tc>
        <w:tc>
          <w:tcPr>
            <w:tcW w:w="3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3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340" w:type="dxa"/>
            <w:vAlign w:val="bottom"/>
            <w:shd w:val="clear" w:color="auto" w:fill="CCEEFF"/>
          </w:tcPr>
          <w:p>
            <w:pPr>
              <w:ind w:left="640"/>
              <w:spacing w:after="0"/>
              <w:rPr>
                <w:sz w:val="20"/>
                <w:szCs w:val="20"/>
                <w:color w:val="auto"/>
              </w:rPr>
            </w:pPr>
            <w:r>
              <w:rPr>
                <w:rFonts w:ascii="Arial" w:cs="Arial" w:eastAsia="Arial" w:hAnsi="Arial"/>
                <w:sz w:val="18"/>
                <w:szCs w:val="18"/>
                <w:color w:val="auto"/>
              </w:rPr>
              <w:t>Consolidated Financial Statements</w:t>
            </w:r>
          </w:p>
        </w:tc>
        <w:tc>
          <w:tcPr>
            <w:tcW w:w="3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340" w:type="dxa"/>
            <w:vAlign w:val="bottom"/>
          </w:tcPr>
          <w:p>
            <w:pPr>
              <w:ind w:left="800"/>
              <w:spacing w:after="0"/>
              <w:rPr>
                <w:sz w:val="20"/>
                <w:szCs w:val="20"/>
                <w:color w:val="auto"/>
              </w:rPr>
            </w:pPr>
            <w:r>
              <w:rPr>
                <w:rFonts w:ascii="Arial" w:cs="Arial" w:eastAsia="Arial" w:hAnsi="Arial"/>
                <w:sz w:val="18"/>
                <w:szCs w:val="18"/>
                <w:color w:val="auto"/>
              </w:rPr>
              <w:t>Unaudited Consolidated Statements of Operations for the Three Months Ended March 31, 2017 and 2016</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340" w:type="dxa"/>
            <w:vAlign w:val="bottom"/>
            <w:shd w:val="clear" w:color="auto" w:fill="CCEEFF"/>
          </w:tcPr>
          <w:p>
            <w:pPr>
              <w:ind w:left="800"/>
              <w:spacing w:after="0"/>
              <w:rPr>
                <w:sz w:val="20"/>
                <w:szCs w:val="20"/>
                <w:color w:val="auto"/>
              </w:rPr>
            </w:pPr>
            <w:r>
              <w:rPr>
                <w:rFonts w:ascii="Arial" w:cs="Arial" w:eastAsia="Arial" w:hAnsi="Arial"/>
                <w:sz w:val="18"/>
                <w:szCs w:val="18"/>
                <w:color w:val="auto"/>
                <w:w w:val="95"/>
              </w:rPr>
              <w:t>Unaudited Consolidated Statements of Comprehensive Income (Loss) for the Three Months Ended March 31, 2017 and 2016</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340" w:type="dxa"/>
            <w:vAlign w:val="bottom"/>
          </w:tcPr>
          <w:p>
            <w:pPr>
              <w:ind w:left="800"/>
              <w:spacing w:after="0"/>
              <w:rPr>
                <w:sz w:val="20"/>
                <w:szCs w:val="20"/>
                <w:color w:val="auto"/>
              </w:rPr>
            </w:pPr>
            <w:r>
              <w:rPr>
                <w:rFonts w:ascii="Arial" w:cs="Arial" w:eastAsia="Arial" w:hAnsi="Arial"/>
                <w:sz w:val="18"/>
                <w:szCs w:val="18"/>
                <w:color w:val="auto"/>
              </w:rPr>
              <w:t>Consolidated Balance Sheets – as of March 31, 2017 (unaudited) and December 31, 2016</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340" w:type="dxa"/>
            <w:vAlign w:val="bottom"/>
            <w:shd w:val="clear" w:color="auto" w:fill="CCEEFF"/>
          </w:tcPr>
          <w:p>
            <w:pPr>
              <w:ind w:left="800"/>
              <w:spacing w:after="0"/>
              <w:rPr>
                <w:sz w:val="20"/>
                <w:szCs w:val="20"/>
                <w:color w:val="auto"/>
              </w:rPr>
            </w:pPr>
            <w:r>
              <w:rPr>
                <w:rFonts w:ascii="Arial" w:cs="Arial" w:eastAsia="Arial" w:hAnsi="Arial"/>
                <w:sz w:val="18"/>
                <w:szCs w:val="18"/>
                <w:color w:val="auto"/>
                <w:w w:val="93"/>
              </w:rPr>
              <w:t>Unaudited Consolidated Statements of Changes in Shareholders’ Equity for the Three Months Ended March 31, 2017 and 2016</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340" w:type="dxa"/>
            <w:vAlign w:val="bottom"/>
          </w:tcPr>
          <w:p>
            <w:pPr>
              <w:ind w:left="800"/>
              <w:spacing w:after="0"/>
              <w:rPr>
                <w:sz w:val="20"/>
                <w:szCs w:val="20"/>
                <w:color w:val="auto"/>
              </w:rPr>
            </w:pPr>
            <w:r>
              <w:rPr>
                <w:rFonts w:ascii="Arial" w:cs="Arial" w:eastAsia="Arial" w:hAnsi="Arial"/>
                <w:sz w:val="18"/>
                <w:szCs w:val="18"/>
                <w:color w:val="auto"/>
              </w:rPr>
              <w:t>Unaudited Consolidated Statements of Cash Flows for the Three Months Ended March 31, 2017 and 2016</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340" w:type="dxa"/>
            <w:vAlign w:val="bottom"/>
            <w:shd w:val="clear" w:color="auto" w:fill="CCEEFF"/>
          </w:tcPr>
          <w:p>
            <w:pPr>
              <w:ind w:left="640"/>
              <w:spacing w:after="0"/>
              <w:rPr>
                <w:sz w:val="20"/>
                <w:szCs w:val="20"/>
                <w:color w:val="auto"/>
              </w:rPr>
            </w:pPr>
            <w:r>
              <w:rPr>
                <w:rFonts w:ascii="Arial" w:cs="Arial" w:eastAsia="Arial" w:hAnsi="Arial"/>
                <w:sz w:val="18"/>
                <w:szCs w:val="18"/>
                <w:color w:val="auto"/>
              </w:rPr>
              <w:t>Notes to Unaudited Consolidated Financial Statements</w:t>
            </w:r>
          </w:p>
        </w:tc>
        <w:tc>
          <w:tcPr>
            <w:tcW w:w="3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 – 15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3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340" w:type="dxa"/>
            <w:vAlign w:val="bottom"/>
            <w:shd w:val="clear" w:color="auto" w:fill="CCEEFF"/>
          </w:tcPr>
          <w:p>
            <w:pPr>
              <w:spacing w:after="0"/>
              <w:rPr>
                <w:sz w:val="20"/>
                <w:szCs w:val="20"/>
                <w:color w:val="auto"/>
              </w:rPr>
            </w:pPr>
            <w:r>
              <w:rPr>
                <w:rFonts w:ascii="Arial" w:cs="Arial" w:eastAsia="Arial" w:hAnsi="Arial"/>
                <w:sz w:val="18"/>
                <w:szCs w:val="18"/>
                <w:color w:val="auto"/>
              </w:rPr>
              <w:t>Cautionary Statement Regarding Forward-Looking Statements</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3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340" w:type="dxa"/>
            <w:vAlign w:val="bottom"/>
            <w:shd w:val="clear" w:color="auto" w:fill="CCEEFF"/>
          </w:tcPr>
          <w:p>
            <w:pPr>
              <w:spacing w:after="0"/>
              <w:rPr>
                <w:sz w:val="20"/>
                <w:szCs w:val="20"/>
                <w:color w:val="auto"/>
              </w:rPr>
            </w:pPr>
            <w:r>
              <w:rPr>
                <w:rFonts w:ascii="Arial" w:cs="Arial" w:eastAsia="Arial" w:hAnsi="Arial"/>
                <w:sz w:val="18"/>
                <w:szCs w:val="18"/>
                <w:color w:val="auto"/>
              </w:rPr>
              <w:t>Item 2. Management’s Discussion and Analysis of Financial Condition and Results of Operations</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16-28</w:t>
            </w:r>
          </w:p>
        </w:tc>
        <w:tc>
          <w:tcPr>
            <w:tcW w:w="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3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340" w:type="dxa"/>
            <w:vAlign w:val="bottom"/>
            <w:shd w:val="clear" w:color="auto" w:fill="CCEEFF"/>
          </w:tcPr>
          <w:p>
            <w:pPr>
              <w:spacing w:after="0"/>
              <w:rPr>
                <w:sz w:val="20"/>
                <w:szCs w:val="20"/>
                <w:color w:val="auto"/>
              </w:rPr>
            </w:pPr>
            <w:r>
              <w:rPr>
                <w:rFonts w:ascii="Arial" w:cs="Arial" w:eastAsia="Arial" w:hAnsi="Arial"/>
                <w:sz w:val="18"/>
                <w:szCs w:val="18"/>
                <w:color w:val="auto"/>
              </w:rPr>
              <w:t>Item 3. Quantitative and Qualitative Disclosures About Market Risk</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3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340" w:type="dxa"/>
            <w:vAlign w:val="bottom"/>
            <w:shd w:val="clear" w:color="auto" w:fill="CCEEFF"/>
          </w:tcPr>
          <w:p>
            <w:pPr>
              <w:spacing w:after="0"/>
              <w:rPr>
                <w:sz w:val="20"/>
                <w:szCs w:val="20"/>
                <w:color w:val="auto"/>
              </w:rPr>
            </w:pPr>
            <w:r>
              <w:rPr>
                <w:rFonts w:ascii="Arial" w:cs="Arial" w:eastAsia="Arial" w:hAnsi="Arial"/>
                <w:sz w:val="18"/>
                <w:szCs w:val="18"/>
                <w:color w:val="auto"/>
              </w:rPr>
              <w:t>Item 4. Controls and Procedures</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3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3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340" w:type="dxa"/>
            <w:vAlign w:val="bottom"/>
          </w:tcPr>
          <w:p>
            <w:pPr>
              <w:ind w:left="1160"/>
              <w:spacing w:after="0"/>
              <w:rPr>
                <w:sz w:val="20"/>
                <w:szCs w:val="20"/>
                <w:color w:val="auto"/>
              </w:rPr>
            </w:pPr>
            <w:r>
              <w:rPr>
                <w:rFonts w:ascii="Arial" w:cs="Arial" w:eastAsia="Arial" w:hAnsi="Arial"/>
                <w:sz w:val="18"/>
                <w:szCs w:val="18"/>
                <w:color w:val="auto"/>
              </w:rPr>
              <w:t>Part II -- OTHER INFORMATION</w:t>
            </w:r>
          </w:p>
        </w:tc>
        <w:tc>
          <w:tcPr>
            <w:tcW w:w="3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3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340" w:type="dxa"/>
            <w:vAlign w:val="bottom"/>
          </w:tcPr>
          <w:p>
            <w:pPr>
              <w:spacing w:after="0"/>
              <w:rPr>
                <w:sz w:val="20"/>
                <w:szCs w:val="20"/>
                <w:color w:val="auto"/>
              </w:rPr>
            </w:pPr>
            <w:r>
              <w:rPr>
                <w:rFonts w:ascii="Arial" w:cs="Arial" w:eastAsia="Arial" w:hAnsi="Arial"/>
                <w:sz w:val="18"/>
                <w:szCs w:val="18"/>
                <w:color w:val="auto"/>
              </w:rPr>
              <w:t>Item 1. Legal Proceedings</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30</w:t>
            </w:r>
          </w:p>
        </w:tc>
        <w:tc>
          <w:tcPr>
            <w:tcW w:w="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3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340" w:type="dxa"/>
            <w:vAlign w:val="bottom"/>
          </w:tcPr>
          <w:p>
            <w:pPr>
              <w:spacing w:after="0"/>
              <w:rPr>
                <w:sz w:val="20"/>
                <w:szCs w:val="20"/>
                <w:color w:val="auto"/>
              </w:rPr>
            </w:pPr>
            <w:r>
              <w:rPr>
                <w:rFonts w:ascii="Arial" w:cs="Arial" w:eastAsia="Arial" w:hAnsi="Arial"/>
                <w:sz w:val="18"/>
                <w:szCs w:val="18"/>
                <w:color w:val="auto"/>
              </w:rPr>
              <w:t>Item 2. Unregistered Sales of Equity Securities and Use of Proceeds</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30</w:t>
            </w:r>
          </w:p>
        </w:tc>
        <w:tc>
          <w:tcPr>
            <w:tcW w:w="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3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340" w:type="dxa"/>
            <w:vAlign w:val="bottom"/>
          </w:tcPr>
          <w:p>
            <w:pPr>
              <w:spacing w:after="0"/>
              <w:rPr>
                <w:sz w:val="20"/>
                <w:szCs w:val="20"/>
                <w:color w:val="auto"/>
              </w:rPr>
            </w:pPr>
            <w:r>
              <w:rPr>
                <w:rFonts w:ascii="Arial" w:cs="Arial" w:eastAsia="Arial" w:hAnsi="Arial"/>
                <w:sz w:val="18"/>
                <w:szCs w:val="18"/>
                <w:color w:val="auto"/>
              </w:rPr>
              <w:t>Item 6. Exhibits</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31</w:t>
            </w:r>
          </w:p>
        </w:tc>
        <w:tc>
          <w:tcPr>
            <w:tcW w:w="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3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340" w:type="dxa"/>
            <w:vAlign w:val="bottom"/>
          </w:tcPr>
          <w:p>
            <w:pPr>
              <w:ind w:left="480"/>
              <w:spacing w:after="0"/>
              <w:rPr>
                <w:sz w:val="20"/>
                <w:szCs w:val="20"/>
                <w:color w:val="auto"/>
              </w:rPr>
            </w:pPr>
            <w:r>
              <w:rPr>
                <w:rFonts w:ascii="Arial" w:cs="Arial" w:eastAsia="Arial" w:hAnsi="Arial"/>
                <w:sz w:val="18"/>
                <w:szCs w:val="18"/>
                <w:color w:val="auto"/>
              </w:rPr>
              <w:t>(a) Index of Exhibits</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31</w:t>
            </w:r>
          </w:p>
        </w:tc>
        <w:tc>
          <w:tcPr>
            <w:tcW w:w="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3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20"/>
                <w:szCs w:val="20"/>
                <w:color w:val="auto"/>
              </w:rPr>
            </w:pPr>
          </w:p>
        </w:tc>
        <w:tc>
          <w:tcPr>
            <w:tcW w:w="10340" w:type="dxa"/>
            <w:vAlign w:val="bottom"/>
          </w:tcPr>
          <w:p>
            <w:pPr>
              <w:spacing w:after="0"/>
              <w:rPr>
                <w:sz w:val="20"/>
                <w:szCs w:val="20"/>
                <w:color w:val="auto"/>
              </w:rPr>
            </w:pPr>
            <w:r>
              <w:rPr>
                <w:rFonts w:ascii="Arial" w:cs="Arial" w:eastAsia="Arial" w:hAnsi="Arial"/>
                <w:sz w:val="18"/>
                <w:szCs w:val="18"/>
                <w:color w:val="auto"/>
              </w:rPr>
              <w:t>Signature Page</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32</w:t>
            </w:r>
          </w:p>
        </w:tc>
        <w:tc>
          <w:tcPr>
            <w:tcW w:w="4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661"/>
        </w:trPr>
        <w:tc>
          <w:tcPr>
            <w:tcW w:w="10360" w:type="dxa"/>
            <w:vAlign w:val="bottom"/>
            <w:gridSpan w:val="2"/>
          </w:tcPr>
          <w:p>
            <w:pPr>
              <w:jc w:val="center"/>
              <w:ind w:left="970"/>
              <w:spacing w:after="0"/>
              <w:rPr>
                <w:sz w:val="20"/>
                <w:szCs w:val="20"/>
                <w:color w:val="auto"/>
              </w:rPr>
            </w:pPr>
            <w:r>
              <w:rPr>
                <w:rFonts w:ascii="Arial" w:cs="Arial" w:eastAsia="Arial" w:hAnsi="Arial"/>
                <w:sz w:val="18"/>
                <w:szCs w:val="18"/>
                <w:color w:val="auto"/>
                <w:w w:val="99"/>
              </w:rPr>
              <w:t>2</w:t>
            </w:r>
          </w:p>
        </w:tc>
        <w:tc>
          <w:tcPr>
            <w:tcW w:w="3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0340" w:type="dxa"/>
            <w:vAlign w:val="bottom"/>
          </w:tcPr>
          <w:p>
            <w:pPr>
              <w:spacing w:after="0"/>
              <w:rPr>
                <w:sz w:val="9"/>
                <w:szCs w:val="9"/>
                <w:color w:val="auto"/>
              </w:rPr>
            </w:pPr>
          </w:p>
        </w:tc>
        <w:tc>
          <w:tcPr>
            <w:tcW w:w="380" w:type="dxa"/>
            <w:vAlign w:val="bottom"/>
          </w:tcPr>
          <w:p>
            <w:pPr>
              <w:spacing w:after="0"/>
              <w:rPr>
                <w:sz w:val="9"/>
                <w:szCs w:val="9"/>
                <w:color w:val="auto"/>
              </w:rPr>
            </w:pPr>
          </w:p>
        </w:tc>
        <w:tc>
          <w:tcPr>
            <w:tcW w:w="68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shd w:val="clear" w:color="auto" w:fill="808080"/>
          </w:tcPr>
          <w:p>
            <w:pPr>
              <w:spacing w:after="0"/>
              <w:rPr>
                <w:sz w:val="5"/>
                <w:szCs w:val="5"/>
                <w:color w:val="auto"/>
              </w:rPr>
            </w:pPr>
          </w:p>
        </w:tc>
        <w:tc>
          <w:tcPr>
            <w:tcW w:w="10340" w:type="dxa"/>
            <w:vAlign w:val="bottom"/>
            <w:shd w:val="clear" w:color="auto" w:fill="808080"/>
          </w:tcPr>
          <w:p>
            <w:pPr>
              <w:spacing w:after="0"/>
              <w:rPr>
                <w:sz w:val="5"/>
                <w:szCs w:val="5"/>
                <w:color w:val="auto"/>
              </w:rPr>
            </w:pPr>
          </w:p>
        </w:tc>
        <w:tc>
          <w:tcPr>
            <w:tcW w:w="380" w:type="dxa"/>
            <w:vAlign w:val="bottom"/>
            <w:shd w:val="clear" w:color="auto" w:fill="808080"/>
          </w:tcPr>
          <w:p>
            <w:pPr>
              <w:spacing w:after="0"/>
              <w:rPr>
                <w:sz w:val="5"/>
                <w:szCs w:val="5"/>
                <w:color w:val="auto"/>
              </w:rPr>
            </w:pPr>
          </w:p>
        </w:tc>
        <w:tc>
          <w:tcPr>
            <w:tcW w:w="680" w:type="dxa"/>
            <w:vAlign w:val="bottom"/>
            <w:shd w:val="clear" w:color="auto" w:fill="808080"/>
          </w:tcPr>
          <w:p>
            <w:pPr>
              <w:spacing w:after="0"/>
              <w:rPr>
                <w:sz w:val="5"/>
                <w:szCs w:val="5"/>
                <w:color w:val="auto"/>
              </w:rPr>
            </w:pPr>
          </w:p>
        </w:tc>
        <w:tc>
          <w:tcPr>
            <w:tcW w:w="4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1460"/>
          </w:cols>
          <w:pgMar w:left="240" w:top="584" w:right="19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PART I -- FINANCIAL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 </w:t>
      </w:r>
      <w:r>
        <w:rPr>
          <w:rFonts w:ascii="Arial" w:cs="Arial" w:eastAsia="Arial" w:hAnsi="Arial"/>
          <w:sz w:val="18"/>
          <w:szCs w:val="18"/>
          <w:b w:val="1"/>
          <w:bCs w:val="1"/>
          <w:i w:val="1"/>
          <w:iCs w:val="1"/>
          <w:color w:val="auto"/>
        </w:rPr>
        <w:t>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CIVEO CORPORATION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CONSOLIDATED STATEMENTS OF OPERATIONS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Amounts)</w:t>
      </w:r>
    </w:p>
    <w:p>
      <w:pPr>
        <w:spacing w:after="0" w:line="200" w:lineRule="exact"/>
        <w:rPr>
          <w:sz w:val="20"/>
          <w:szCs w:val="20"/>
          <w:color w:val="auto"/>
        </w:rPr>
      </w:pP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0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0" w:type="dxa"/>
            <w:vAlign w:val="bottom"/>
            <w:gridSpan w:val="6"/>
          </w:tcPr>
          <w:p>
            <w:pPr>
              <w:jc w:val="right"/>
              <w:ind w:right="620"/>
              <w:spacing w:after="0"/>
              <w:rPr>
                <w:sz w:val="20"/>
                <w:szCs w:val="20"/>
                <w:color w:val="auto"/>
              </w:rPr>
            </w:pPr>
            <w:r>
              <w:rPr>
                <w:rFonts w:ascii="Arial" w:cs="Arial" w:eastAsia="Arial" w:hAnsi="Arial"/>
                <w:sz w:val="18"/>
                <w:szCs w:val="18"/>
                <w:b w:val="1"/>
                <w:bCs w:val="1"/>
                <w:color w:val="auto"/>
              </w:rPr>
              <w:t>THREE MONTHS ENDED</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0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880" w:type="dxa"/>
            <w:vAlign w:val="bottom"/>
            <w:tcBorders>
              <w:bottom w:val="single" w:sz="8" w:color="auto"/>
            </w:tcBorders>
            <w:gridSpan w:val="4"/>
          </w:tcPr>
          <w:p>
            <w:pPr>
              <w:jc w:val="right"/>
              <w:ind w:right="25"/>
              <w:spacing w:after="0"/>
              <w:rPr>
                <w:sz w:val="20"/>
                <w:szCs w:val="20"/>
                <w:color w:val="auto"/>
              </w:rPr>
            </w:pPr>
            <w:r>
              <w:rPr>
                <w:rFonts w:ascii="Arial" w:cs="Arial" w:eastAsia="Arial" w:hAnsi="Arial"/>
                <w:sz w:val="18"/>
                <w:szCs w:val="18"/>
                <w:b w:val="1"/>
                <w:bCs w:val="1"/>
                <w:color w:val="auto"/>
              </w:rPr>
              <w:t>MARCH 31,</w:t>
            </w:r>
          </w:p>
        </w:tc>
        <w:tc>
          <w:tcPr>
            <w:tcW w:w="10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0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2017</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00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1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tcPr>
          <w:p>
            <w:pPr>
              <w:ind w:left="320"/>
              <w:spacing w:after="0"/>
              <w:rPr>
                <w:sz w:val="20"/>
                <w:szCs w:val="20"/>
                <w:color w:val="auto"/>
              </w:rPr>
            </w:pPr>
            <w:r>
              <w:rPr>
                <w:rFonts w:ascii="Arial" w:cs="Arial" w:eastAsia="Arial" w:hAnsi="Arial"/>
                <w:sz w:val="18"/>
                <w:szCs w:val="18"/>
                <w:color w:val="auto"/>
              </w:rPr>
              <w:t>Service and other</w:t>
            </w:r>
          </w:p>
        </w:tc>
        <w:tc>
          <w:tcPr>
            <w:tcW w:w="140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140"/>
              <w:spacing w:after="0"/>
              <w:rPr>
                <w:sz w:val="20"/>
                <w:szCs w:val="20"/>
                <w:color w:val="auto"/>
              </w:rPr>
            </w:pPr>
            <w:r>
              <w:rPr>
                <w:rFonts w:ascii="Arial" w:cs="Arial" w:eastAsia="Arial" w:hAnsi="Arial"/>
                <w:sz w:val="18"/>
                <w:szCs w:val="18"/>
                <w:color w:val="auto"/>
              </w:rPr>
              <w:t>89,861</w:t>
            </w:r>
          </w:p>
        </w:tc>
        <w:tc>
          <w:tcPr>
            <w:tcW w:w="540" w:type="dxa"/>
            <w:vAlign w:val="bottom"/>
            <w:gridSpan w:val="2"/>
          </w:tcPr>
          <w:p>
            <w:pPr>
              <w:jc w:val="right"/>
              <w:ind w:right="305"/>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91,767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Product</w:t>
            </w:r>
          </w:p>
        </w:tc>
        <w:tc>
          <w:tcPr>
            <w:tcW w:w="11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1,568</w:t>
            </w: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3,269</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0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gridSpan w:val="2"/>
          </w:tcPr>
          <w:p>
            <w:pPr>
              <w:jc w:val="right"/>
              <w:ind w:right="140"/>
              <w:spacing w:after="0"/>
              <w:rPr>
                <w:sz w:val="20"/>
                <w:szCs w:val="20"/>
                <w:color w:val="auto"/>
              </w:rPr>
            </w:pPr>
            <w:r>
              <w:rPr>
                <w:rFonts w:ascii="Arial" w:cs="Arial" w:eastAsia="Arial" w:hAnsi="Arial"/>
                <w:sz w:val="18"/>
                <w:szCs w:val="18"/>
                <w:color w:val="auto"/>
              </w:rPr>
              <w:t>91,429</w:t>
            </w: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95,036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000" w:type="dxa"/>
            <w:vAlign w:val="bottom"/>
            <w:shd w:val="clear" w:color="auto" w:fill="CCEEFF"/>
          </w:tcPr>
          <w:p>
            <w:pPr>
              <w:spacing w:after="0"/>
              <w:rPr>
                <w:sz w:val="20"/>
                <w:szCs w:val="20"/>
                <w:color w:val="auto"/>
              </w:rPr>
            </w:pPr>
            <w:r>
              <w:rPr>
                <w:rFonts w:ascii="Arial" w:cs="Arial" w:eastAsia="Arial" w:hAnsi="Arial"/>
                <w:sz w:val="18"/>
                <w:szCs w:val="18"/>
                <w:color w:val="auto"/>
              </w:rPr>
              <w:t>Costs and expenses:</w:t>
            </w:r>
          </w:p>
        </w:tc>
        <w:tc>
          <w:tcPr>
            <w:tcW w:w="1100" w:type="dxa"/>
            <w:vAlign w:val="bottom"/>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tcPr>
          <w:p>
            <w:pPr>
              <w:ind w:left="320"/>
              <w:spacing w:after="0"/>
              <w:rPr>
                <w:sz w:val="20"/>
                <w:szCs w:val="20"/>
                <w:color w:val="auto"/>
              </w:rPr>
            </w:pPr>
            <w:r>
              <w:rPr>
                <w:rFonts w:ascii="Arial" w:cs="Arial" w:eastAsia="Arial" w:hAnsi="Arial"/>
                <w:sz w:val="18"/>
                <w:szCs w:val="18"/>
                <w:color w:val="auto"/>
              </w:rPr>
              <w:t>Service and other costs</w:t>
            </w:r>
          </w:p>
        </w:tc>
        <w:tc>
          <w:tcPr>
            <w:tcW w:w="1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gridSpan w:val="2"/>
          </w:tcPr>
          <w:p>
            <w:pPr>
              <w:jc w:val="right"/>
              <w:ind w:right="140"/>
              <w:spacing w:after="0"/>
              <w:rPr>
                <w:sz w:val="20"/>
                <w:szCs w:val="20"/>
                <w:color w:val="auto"/>
              </w:rPr>
            </w:pPr>
            <w:r>
              <w:rPr>
                <w:rFonts w:ascii="Arial" w:cs="Arial" w:eastAsia="Arial" w:hAnsi="Arial"/>
                <w:sz w:val="18"/>
                <w:szCs w:val="18"/>
                <w:color w:val="auto"/>
              </w:rPr>
              <w:t>59,532</w:t>
            </w: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61,377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Product costs</w:t>
            </w:r>
          </w:p>
        </w:tc>
        <w:tc>
          <w:tcPr>
            <w:tcW w:w="1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2,140</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tcPr>
          <w:p>
            <w:pPr>
              <w:ind w:left="320"/>
              <w:spacing w:after="0"/>
              <w:rPr>
                <w:sz w:val="20"/>
                <w:szCs w:val="20"/>
                <w:color w:val="auto"/>
              </w:rPr>
            </w:pPr>
            <w:r>
              <w:rPr>
                <w:rFonts w:ascii="Arial" w:cs="Arial" w:eastAsia="Arial" w:hAnsi="Arial"/>
                <w:sz w:val="18"/>
                <w:szCs w:val="18"/>
                <w:color w:val="auto"/>
              </w:rPr>
              <w:t>Selling, general and administrative expenses</w:t>
            </w:r>
          </w:p>
        </w:tc>
        <w:tc>
          <w:tcPr>
            <w:tcW w:w="1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gridSpan w:val="2"/>
          </w:tcPr>
          <w:p>
            <w:pPr>
              <w:jc w:val="right"/>
              <w:ind w:right="140"/>
              <w:spacing w:after="0"/>
              <w:rPr>
                <w:sz w:val="20"/>
                <w:szCs w:val="20"/>
                <w:color w:val="auto"/>
              </w:rPr>
            </w:pPr>
            <w:r>
              <w:rPr>
                <w:rFonts w:ascii="Arial" w:cs="Arial" w:eastAsia="Arial" w:hAnsi="Arial"/>
                <w:sz w:val="18"/>
                <w:szCs w:val="18"/>
                <w:color w:val="auto"/>
              </w:rPr>
              <w:t>14,210</w:t>
            </w: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13,117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Depreciation and amortization expense</w:t>
            </w:r>
          </w:p>
        </w:tc>
        <w:tc>
          <w:tcPr>
            <w:tcW w:w="1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32,829</w:t>
            </w: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33,555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tcPr>
          <w:p>
            <w:pPr>
              <w:ind w:left="320"/>
              <w:spacing w:after="0"/>
              <w:rPr>
                <w:sz w:val="20"/>
                <w:szCs w:val="20"/>
                <w:color w:val="auto"/>
              </w:rPr>
            </w:pPr>
            <w:r>
              <w:rPr>
                <w:rFonts w:ascii="Arial" w:cs="Arial" w:eastAsia="Arial" w:hAnsi="Arial"/>
                <w:sz w:val="18"/>
                <w:szCs w:val="18"/>
                <w:color w:val="auto"/>
              </w:rPr>
              <w:t>Impairment expense</w:t>
            </w:r>
          </w:p>
        </w:tc>
        <w:tc>
          <w:tcPr>
            <w:tcW w:w="1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8,400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Other operating expense</w:t>
            </w:r>
          </w:p>
        </w:tc>
        <w:tc>
          <w:tcPr>
            <w:tcW w:w="11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450</w:t>
            </w: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218</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0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109,161</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121,233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000" w:type="dxa"/>
            <w:vAlign w:val="bottom"/>
            <w:shd w:val="clear" w:color="auto" w:fill="CCEEFF"/>
          </w:tcPr>
          <w:p>
            <w:pPr>
              <w:spacing w:after="0"/>
              <w:rPr>
                <w:sz w:val="20"/>
                <w:szCs w:val="20"/>
                <w:color w:val="auto"/>
              </w:rPr>
            </w:pPr>
            <w:r>
              <w:rPr>
                <w:rFonts w:ascii="Arial" w:cs="Arial" w:eastAsia="Arial" w:hAnsi="Arial"/>
                <w:sz w:val="18"/>
                <w:szCs w:val="18"/>
                <w:color w:val="auto"/>
              </w:rPr>
              <w:t>Operating loss</w:t>
            </w:r>
          </w:p>
        </w:tc>
        <w:tc>
          <w:tcPr>
            <w:tcW w:w="1100" w:type="dxa"/>
            <w:vAlign w:val="bottom"/>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(17,732)</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(26,197)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0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2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0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 to third-parties</w:t>
            </w:r>
          </w:p>
        </w:tc>
        <w:tc>
          <w:tcPr>
            <w:tcW w:w="1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(5,504)</w:t>
            </w: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(4,944)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tcPr>
          <w:p>
            <w:pPr>
              <w:spacing w:after="0"/>
              <w:rPr>
                <w:sz w:val="20"/>
                <w:szCs w:val="20"/>
                <w:color w:val="auto"/>
              </w:rPr>
            </w:pPr>
            <w:r>
              <w:rPr>
                <w:rFonts w:ascii="Arial" w:cs="Arial" w:eastAsia="Arial" w:hAnsi="Arial"/>
                <w:sz w:val="18"/>
                <w:szCs w:val="18"/>
                <w:color w:val="auto"/>
              </w:rPr>
              <w:t>Loss on extinguishment of debt</w:t>
            </w:r>
          </w:p>
        </w:tc>
        <w:tc>
          <w:tcPr>
            <w:tcW w:w="1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gridSpan w:val="2"/>
          </w:tcPr>
          <w:p>
            <w:pPr>
              <w:jc w:val="right"/>
              <w:ind w:right="80"/>
              <w:spacing w:after="0"/>
              <w:rPr>
                <w:sz w:val="20"/>
                <w:szCs w:val="20"/>
                <w:color w:val="auto"/>
              </w:rPr>
            </w:pPr>
            <w:r>
              <w:rPr>
                <w:rFonts w:ascii="Arial" w:cs="Arial" w:eastAsia="Arial" w:hAnsi="Arial"/>
                <w:sz w:val="18"/>
                <w:szCs w:val="18"/>
                <w:color w:val="auto"/>
              </w:rPr>
              <w:t>(842)</w:t>
            </w: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(302)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1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tcPr>
          <w:p>
            <w:pPr>
              <w:spacing w:after="0"/>
              <w:rPr>
                <w:sz w:val="20"/>
                <w:szCs w:val="20"/>
                <w:color w:val="auto"/>
              </w:rPr>
            </w:pPr>
            <w:r>
              <w:rPr>
                <w:rFonts w:ascii="Arial" w:cs="Arial" w:eastAsia="Arial" w:hAnsi="Arial"/>
                <w:sz w:val="18"/>
                <w:szCs w:val="18"/>
                <w:color w:val="auto"/>
              </w:rPr>
              <w:t>Other income</w:t>
            </w:r>
          </w:p>
        </w:tc>
        <w:tc>
          <w:tcPr>
            <w:tcW w:w="1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254</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112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0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Loss before income taxes</w:t>
            </w:r>
          </w:p>
        </w:tc>
        <w:tc>
          <w:tcPr>
            <w:tcW w:w="1100" w:type="dxa"/>
            <w:vAlign w:val="bottom"/>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(23,814)</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(31,245)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tcPr>
          <w:p>
            <w:pPr>
              <w:spacing w:after="0"/>
              <w:rPr>
                <w:sz w:val="20"/>
                <w:szCs w:val="20"/>
                <w:color w:val="auto"/>
              </w:rPr>
            </w:pPr>
            <w:r>
              <w:rPr>
                <w:rFonts w:ascii="Arial" w:cs="Arial" w:eastAsia="Arial" w:hAnsi="Arial"/>
                <w:sz w:val="18"/>
                <w:szCs w:val="18"/>
                <w:color w:val="auto"/>
              </w:rPr>
              <w:t>Income tax benefit</w:t>
            </w:r>
          </w:p>
        </w:tc>
        <w:tc>
          <w:tcPr>
            <w:tcW w:w="1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2,948</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4,571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00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1100" w:type="dxa"/>
            <w:vAlign w:val="bottom"/>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(20,866)</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(26,674)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tcPr>
          <w:p>
            <w:pPr>
              <w:ind w:left="320"/>
              <w:spacing w:after="0"/>
              <w:rPr>
                <w:sz w:val="20"/>
                <w:szCs w:val="20"/>
                <w:color w:val="auto"/>
              </w:rPr>
            </w:pPr>
            <w:r>
              <w:rPr>
                <w:rFonts w:ascii="Arial" w:cs="Arial" w:eastAsia="Arial" w:hAnsi="Arial"/>
                <w:sz w:val="18"/>
                <w:szCs w:val="18"/>
                <w:color w:val="auto"/>
              </w:rPr>
              <w:t>Less: Net income attributable to noncontrolling interest</w:t>
            </w:r>
          </w:p>
        </w:tc>
        <w:tc>
          <w:tcPr>
            <w:tcW w:w="1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121</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148</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70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loss attributable to Civeo Corporation</w:t>
            </w:r>
          </w:p>
        </w:tc>
        <w:tc>
          <w:tcPr>
            <w:tcW w:w="1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(20,987)</w:t>
            </w:r>
          </w:p>
        </w:tc>
        <w:tc>
          <w:tcPr>
            <w:tcW w:w="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top w:val="single" w:sz="8" w:color="auto"/>
              <w:bottom w:val="single" w:sz="8" w:color="auto"/>
            </w:tcBorders>
            <w:shd w:val="clear" w:color="auto" w:fill="CCEEFF"/>
          </w:tcPr>
          <w:p>
            <w:pPr>
              <w:jc w:val="right"/>
              <w:ind w:right="305"/>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(26,822)</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7020" w:type="dxa"/>
            <w:vAlign w:val="bottom"/>
            <w:gridSpan w:val="2"/>
          </w:tcPr>
          <w:p>
            <w:pPr>
              <w:spacing w:after="0"/>
              <w:rPr>
                <w:sz w:val="17"/>
                <w:szCs w:val="17"/>
                <w:color w:val="auto"/>
              </w:rPr>
            </w:pPr>
          </w:p>
        </w:tc>
        <w:tc>
          <w:tcPr>
            <w:tcW w:w="1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0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00" w:type="dxa"/>
            <w:vAlign w:val="bottom"/>
          </w:tcPr>
          <w:p>
            <w:pPr>
              <w:spacing w:after="0"/>
              <w:rPr>
                <w:sz w:val="20"/>
                <w:szCs w:val="20"/>
                <w:color w:val="auto"/>
              </w:rPr>
            </w:pPr>
            <w:r>
              <w:rPr>
                <w:rFonts w:ascii="Arial" w:cs="Arial" w:eastAsia="Arial" w:hAnsi="Arial"/>
                <w:sz w:val="18"/>
                <w:szCs w:val="18"/>
                <w:b w:val="1"/>
                <w:bCs w:val="1"/>
                <w:color w:val="auto"/>
              </w:rPr>
              <w:t>Per Share Data (see Note 6)</w:t>
            </w:r>
          </w:p>
        </w:tc>
        <w:tc>
          <w:tcPr>
            <w:tcW w:w="1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shd w:val="clear" w:color="auto" w:fill="CCEEFF"/>
          </w:tcPr>
          <w:p>
            <w:pPr>
              <w:spacing w:after="0"/>
              <w:rPr>
                <w:sz w:val="20"/>
                <w:szCs w:val="20"/>
                <w:color w:val="auto"/>
              </w:rPr>
            </w:pPr>
            <w:r>
              <w:rPr>
                <w:rFonts w:ascii="Arial" w:cs="Arial" w:eastAsia="Arial" w:hAnsi="Arial"/>
                <w:sz w:val="18"/>
                <w:szCs w:val="18"/>
                <w:color w:val="auto"/>
              </w:rPr>
              <w:t>Basic net loss per share attributable to Civeo Corporation common shareholders</w:t>
            </w:r>
          </w:p>
        </w:tc>
        <w:tc>
          <w:tcPr>
            <w:tcW w:w="140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(0.17)</w:t>
            </w:r>
          </w:p>
        </w:tc>
        <w:tc>
          <w:tcPr>
            <w:tcW w:w="540" w:type="dxa"/>
            <w:vAlign w:val="bottom"/>
            <w:gridSpan w:val="2"/>
            <w:shd w:val="clear" w:color="auto" w:fill="CCEEFF"/>
          </w:tcPr>
          <w:p>
            <w:pPr>
              <w:jc w:val="right"/>
              <w:ind w:right="305"/>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(0.25)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000" w:type="dxa"/>
            <w:vAlign w:val="bottom"/>
          </w:tcPr>
          <w:p>
            <w:pPr>
              <w:spacing w:after="0"/>
              <w:rPr>
                <w:sz w:val="18"/>
                <w:szCs w:val="18"/>
                <w:color w:val="auto"/>
              </w:rPr>
            </w:pPr>
          </w:p>
        </w:tc>
        <w:tc>
          <w:tcPr>
            <w:tcW w:w="1400" w:type="dxa"/>
            <w:vAlign w:val="bottom"/>
            <w:gridSpan w:val="2"/>
          </w:tcPr>
          <w:p>
            <w:pPr>
              <w:spacing w:after="0"/>
              <w:rPr>
                <w:sz w:val="18"/>
                <w:szCs w:val="18"/>
                <w:color w:val="auto"/>
              </w:rPr>
            </w:pPr>
          </w:p>
        </w:tc>
        <w:tc>
          <w:tcPr>
            <w:tcW w:w="1340" w:type="dxa"/>
            <w:vAlign w:val="bottom"/>
            <w:gridSpan w:val="2"/>
          </w:tcPr>
          <w:p>
            <w:pPr>
              <w:spacing w:after="0"/>
              <w:rPr>
                <w:sz w:val="18"/>
                <w:szCs w:val="18"/>
                <w:color w:val="auto"/>
              </w:rPr>
            </w:pPr>
          </w:p>
        </w:tc>
        <w:tc>
          <w:tcPr>
            <w:tcW w:w="540" w:type="dxa"/>
            <w:vAlign w:val="bottom"/>
            <w:gridSpan w:val="2"/>
          </w:tcPr>
          <w:p>
            <w:pPr>
              <w:spacing w:after="0"/>
              <w:rPr>
                <w:sz w:val="18"/>
                <w:szCs w:val="18"/>
                <w:color w:val="auto"/>
              </w:rPr>
            </w:pPr>
          </w:p>
        </w:tc>
        <w:tc>
          <w:tcPr>
            <w:tcW w:w="112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00" w:type="dxa"/>
            <w:vAlign w:val="bottom"/>
            <w:shd w:val="clear" w:color="auto" w:fill="CCEEFF"/>
          </w:tcPr>
          <w:p>
            <w:pPr>
              <w:spacing w:after="0"/>
              <w:rPr>
                <w:sz w:val="20"/>
                <w:szCs w:val="20"/>
                <w:color w:val="auto"/>
              </w:rPr>
            </w:pPr>
            <w:r>
              <w:rPr>
                <w:rFonts w:ascii="Arial" w:cs="Arial" w:eastAsia="Arial" w:hAnsi="Arial"/>
                <w:sz w:val="18"/>
                <w:szCs w:val="18"/>
                <w:color w:val="auto"/>
              </w:rPr>
              <w:t>Diluted net loss per share attributable to Civeo Corporation common shareholders</w:t>
            </w:r>
          </w:p>
        </w:tc>
        <w:tc>
          <w:tcPr>
            <w:tcW w:w="140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(0.17)</w:t>
            </w:r>
          </w:p>
        </w:tc>
        <w:tc>
          <w:tcPr>
            <w:tcW w:w="540" w:type="dxa"/>
            <w:vAlign w:val="bottom"/>
            <w:gridSpan w:val="2"/>
            <w:shd w:val="clear" w:color="auto" w:fill="CCEEFF"/>
          </w:tcPr>
          <w:p>
            <w:pPr>
              <w:jc w:val="right"/>
              <w:ind w:right="305"/>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(0.25)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0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0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number of common shares outstanding:</w:t>
            </w:r>
          </w:p>
        </w:tc>
        <w:tc>
          <w:tcPr>
            <w:tcW w:w="1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tcPr>
          <w:p>
            <w:pPr>
              <w:ind w:left="320"/>
              <w:spacing w:after="0"/>
              <w:rPr>
                <w:sz w:val="20"/>
                <w:szCs w:val="20"/>
                <w:color w:val="auto"/>
              </w:rPr>
            </w:pPr>
            <w:r>
              <w:rPr>
                <w:rFonts w:ascii="Arial" w:cs="Arial" w:eastAsia="Arial" w:hAnsi="Arial"/>
                <w:sz w:val="18"/>
                <w:szCs w:val="18"/>
                <w:color w:val="auto"/>
              </w:rPr>
              <w:t>Basic</w:t>
            </w:r>
          </w:p>
        </w:tc>
        <w:tc>
          <w:tcPr>
            <w:tcW w:w="1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120,846</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106,814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Diluted</w:t>
            </w:r>
          </w:p>
        </w:tc>
        <w:tc>
          <w:tcPr>
            <w:tcW w:w="1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120,846</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106,814</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CIVEO CORPORATION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CONSOLIDATED STATEMENTS OF COMPREHENSIVE INCOME (LOSS)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00" w:lineRule="exact"/>
        <w:rPr>
          <w:sz w:val="20"/>
          <w:szCs w:val="20"/>
          <w:color w:val="auto"/>
        </w:rPr>
      </w:pP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4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3300" w:type="dxa"/>
            <w:vAlign w:val="bottom"/>
            <w:gridSpan w:val="8"/>
          </w:tcPr>
          <w:p>
            <w:pPr>
              <w:jc w:val="right"/>
              <w:ind w:right="620"/>
              <w:spacing w:after="0"/>
              <w:rPr>
                <w:sz w:val="20"/>
                <w:szCs w:val="20"/>
                <w:color w:val="auto"/>
              </w:rPr>
            </w:pPr>
            <w:r>
              <w:rPr>
                <w:rFonts w:ascii="Arial" w:cs="Arial" w:eastAsia="Arial" w:hAnsi="Arial"/>
                <w:sz w:val="18"/>
                <w:szCs w:val="18"/>
                <w:b w:val="1"/>
                <w:bCs w:val="1"/>
                <w:color w:val="auto"/>
              </w:rPr>
              <w:t>THREE MONTHS ENDED</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42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gridSpan w:val="5"/>
          </w:tcPr>
          <w:p>
            <w:pPr>
              <w:jc w:val="right"/>
              <w:ind w:right="25"/>
              <w:spacing w:after="0"/>
              <w:rPr>
                <w:sz w:val="20"/>
                <w:szCs w:val="20"/>
                <w:color w:val="auto"/>
              </w:rPr>
            </w:pPr>
            <w:r>
              <w:rPr>
                <w:rFonts w:ascii="Arial" w:cs="Arial" w:eastAsia="Arial" w:hAnsi="Arial"/>
                <w:sz w:val="18"/>
                <w:szCs w:val="18"/>
                <w:b w:val="1"/>
                <w:bCs w:val="1"/>
                <w:color w:val="auto"/>
              </w:rPr>
              <w:t>MARCH 31,</w:t>
            </w:r>
          </w:p>
        </w:tc>
        <w:tc>
          <w:tcPr>
            <w:tcW w:w="10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4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2017</w:t>
            </w:r>
          </w:p>
        </w:tc>
        <w:tc>
          <w:tcPr>
            <w:tcW w:w="56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420" w:type="dxa"/>
            <w:vAlign w:val="bottom"/>
          </w:tcPr>
          <w:p>
            <w:pPr>
              <w:spacing w:after="0"/>
              <w:rPr>
                <w:sz w:val="18"/>
                <w:szCs w:val="18"/>
                <w:color w:val="auto"/>
              </w:rPr>
            </w:pPr>
          </w:p>
        </w:tc>
        <w:tc>
          <w:tcPr>
            <w:tcW w:w="2620" w:type="dxa"/>
            <w:vAlign w:val="bottom"/>
            <w:gridSpan w:val="2"/>
          </w:tcPr>
          <w:p>
            <w:pPr>
              <w:spacing w:after="0"/>
              <w:rPr>
                <w:sz w:val="18"/>
                <w:szCs w:val="18"/>
                <w:color w:val="auto"/>
              </w:rPr>
            </w:pPr>
          </w:p>
        </w:tc>
        <w:tc>
          <w:tcPr>
            <w:tcW w:w="58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gridSpan w:val="2"/>
          </w:tcPr>
          <w:p>
            <w:pPr>
              <w:spacing w:after="0"/>
              <w:rPr>
                <w:sz w:val="18"/>
                <w:szCs w:val="18"/>
                <w:color w:val="auto"/>
              </w:rPr>
            </w:pPr>
          </w:p>
        </w:tc>
        <w:tc>
          <w:tcPr>
            <w:tcW w:w="112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2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2620" w:type="dxa"/>
            <w:vAlign w:val="bottom"/>
            <w:gridSpan w:val="2"/>
            <w:shd w:val="clear" w:color="auto" w:fill="CCEEFF"/>
          </w:tcPr>
          <w:p>
            <w:pPr>
              <w:jc w:val="right"/>
              <w:ind w:right="750"/>
              <w:spacing w:after="0"/>
              <w:rPr>
                <w:sz w:val="20"/>
                <w:szCs w:val="20"/>
                <w:color w:val="auto"/>
              </w:rPr>
            </w:pPr>
            <w:r>
              <w:rPr>
                <w:rFonts w:ascii="Arial" w:cs="Arial" w:eastAsia="Arial" w:hAnsi="Arial"/>
                <w:sz w:val="18"/>
                <w:szCs w:val="18"/>
                <w:color w:val="auto"/>
              </w:rPr>
              <w:t>$</w:t>
            </w:r>
          </w:p>
        </w:tc>
        <w:tc>
          <w:tcPr>
            <w:tcW w:w="7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w w:val="89"/>
              </w:rPr>
              <w:t>(20,866)</w:t>
            </w:r>
          </w:p>
        </w:tc>
        <w:tc>
          <w:tcPr>
            <w:tcW w:w="540" w:type="dxa"/>
            <w:vAlign w:val="bottom"/>
            <w:gridSpan w:val="2"/>
            <w:shd w:val="clear" w:color="auto" w:fill="CCEEFF"/>
          </w:tcPr>
          <w:p>
            <w:pPr>
              <w:jc w:val="right"/>
              <w:ind w:right="305"/>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(26,674)</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420" w:type="dxa"/>
            <w:vAlign w:val="bottom"/>
            <w:tcBorders>
              <w:top w:val="single" w:sz="8" w:color="CCEEFF"/>
            </w:tcBorders>
          </w:tcPr>
          <w:p>
            <w:pPr>
              <w:spacing w:after="0"/>
              <w:rPr>
                <w:sz w:val="18"/>
                <w:szCs w:val="18"/>
                <w:color w:val="auto"/>
              </w:rPr>
            </w:pPr>
          </w:p>
        </w:tc>
        <w:tc>
          <w:tcPr>
            <w:tcW w:w="1680" w:type="dxa"/>
            <w:vAlign w:val="bottom"/>
            <w:tcBorders>
              <w:top w:val="single" w:sz="8" w:color="CCEEFF"/>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20" w:type="dxa"/>
            <w:vAlign w:val="bottom"/>
            <w:shd w:val="clear" w:color="auto" w:fill="CCEEFF"/>
          </w:tcPr>
          <w:p>
            <w:pPr>
              <w:spacing w:after="0"/>
              <w:rPr>
                <w:sz w:val="20"/>
                <w:szCs w:val="20"/>
                <w:color w:val="auto"/>
              </w:rPr>
            </w:pPr>
            <w:r>
              <w:rPr>
                <w:rFonts w:ascii="Arial" w:cs="Arial" w:eastAsia="Arial" w:hAnsi="Arial"/>
                <w:sz w:val="18"/>
                <w:szCs w:val="18"/>
                <w:color w:val="auto"/>
              </w:rPr>
              <w:t>Other comprehensive income, net of tax:</w:t>
            </w:r>
          </w:p>
        </w:tc>
        <w:tc>
          <w:tcPr>
            <w:tcW w:w="16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tcPr>
          <w:p>
            <w:pPr>
              <w:ind w:left="320"/>
              <w:spacing w:after="0"/>
              <w:rPr>
                <w:sz w:val="20"/>
                <w:szCs w:val="20"/>
                <w:color w:val="auto"/>
              </w:rPr>
            </w:pPr>
            <w:r>
              <w:rPr>
                <w:rFonts w:ascii="Arial" w:cs="Arial" w:eastAsia="Arial" w:hAnsi="Arial"/>
                <w:sz w:val="18"/>
                <w:szCs w:val="18"/>
                <w:color w:val="auto"/>
              </w:rPr>
              <w:t>Foreign currency translation adjustment, net of taxes of zero</w:t>
            </w:r>
          </w:p>
        </w:tc>
        <w:tc>
          <w:tcPr>
            <w:tcW w:w="16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w w:val="98"/>
              </w:rPr>
              <w:t>18,035</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29,399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4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other comprehensive income, net of tax</w:t>
            </w:r>
          </w:p>
        </w:tc>
        <w:tc>
          <w:tcPr>
            <w:tcW w:w="168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spacing w:after="0"/>
              <w:rPr>
                <w:sz w:val="18"/>
                <w:szCs w:val="18"/>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18,035</w:t>
            </w:r>
          </w:p>
        </w:tc>
        <w:tc>
          <w:tcPr>
            <w:tcW w:w="20" w:type="dxa"/>
            <w:vAlign w:val="bottom"/>
            <w:tcBorders>
              <w:top w:val="single" w:sz="8" w:color="auto"/>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460" w:type="dxa"/>
            <w:vAlign w:val="bottom"/>
            <w:tcBorders>
              <w:top w:val="single" w:sz="8" w:color="auto"/>
              <w:bottom w:val="single" w:sz="8" w:color="auto"/>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29,399</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4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00" w:type="dxa"/>
            <w:vAlign w:val="bottom"/>
            <w:gridSpan w:val="3"/>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2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20" w:type="dxa"/>
            <w:vAlign w:val="bottom"/>
            <w:shd w:val="clear" w:color="auto" w:fill="CCEEFF"/>
          </w:tcPr>
          <w:p>
            <w:pPr>
              <w:spacing w:after="0"/>
              <w:rPr>
                <w:sz w:val="20"/>
                <w:szCs w:val="20"/>
                <w:color w:val="auto"/>
              </w:rPr>
            </w:pPr>
            <w:r>
              <w:rPr>
                <w:rFonts w:ascii="Arial" w:cs="Arial" w:eastAsia="Arial" w:hAnsi="Arial"/>
                <w:sz w:val="18"/>
                <w:szCs w:val="18"/>
                <w:color w:val="auto"/>
              </w:rPr>
              <w:t>Comprehensive income (loss)</w:t>
            </w:r>
          </w:p>
        </w:tc>
        <w:tc>
          <w:tcPr>
            <w:tcW w:w="16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(2,831)</w:t>
            </w: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tcPr>
          <w:p>
            <w:pPr>
              <w:ind w:left="320"/>
              <w:spacing w:after="0"/>
              <w:rPr>
                <w:sz w:val="20"/>
                <w:szCs w:val="20"/>
                <w:color w:val="auto"/>
              </w:rPr>
            </w:pPr>
            <w:r>
              <w:rPr>
                <w:rFonts w:ascii="Arial" w:cs="Arial" w:eastAsia="Arial" w:hAnsi="Arial"/>
                <w:sz w:val="18"/>
                <w:szCs w:val="18"/>
                <w:color w:val="auto"/>
              </w:rPr>
              <w:t>Comprehensive income attributable to noncontrolling interest</w:t>
            </w:r>
          </w:p>
        </w:tc>
        <w:tc>
          <w:tcPr>
            <w:tcW w:w="16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00" w:type="dxa"/>
            <w:vAlign w:val="bottom"/>
            <w:gridSpan w:val="3"/>
          </w:tcPr>
          <w:p>
            <w:pPr>
              <w:jc w:val="right"/>
              <w:ind w:right="80"/>
              <w:spacing w:after="0"/>
              <w:rPr>
                <w:sz w:val="20"/>
                <w:szCs w:val="20"/>
                <w:color w:val="auto"/>
              </w:rPr>
            </w:pPr>
            <w:r>
              <w:rPr>
                <w:rFonts w:ascii="Arial" w:cs="Arial" w:eastAsia="Arial" w:hAnsi="Arial"/>
                <w:sz w:val="18"/>
                <w:szCs w:val="18"/>
                <w:color w:val="auto"/>
              </w:rPr>
              <w:t>(469)</w:t>
            </w: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(191)</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64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Comprehensive income (loss) attributable to Civeo Corporation</w:t>
            </w:r>
          </w:p>
        </w:tc>
        <w:tc>
          <w:tcPr>
            <w:tcW w:w="16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top w:val="single" w:sz="8" w:color="auto"/>
              <w:bottom w:val="single" w:sz="8" w:color="auto"/>
            </w:tcBorders>
            <w:shd w:val="clear" w:color="auto" w:fill="CCEEFF"/>
          </w:tcPr>
          <w:p>
            <w:pPr>
              <w:jc w:val="right"/>
              <w:ind w:right="750"/>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(3,300)</w:t>
            </w:r>
          </w:p>
        </w:tc>
        <w:tc>
          <w:tcPr>
            <w:tcW w:w="140" w:type="dxa"/>
            <w:vAlign w:val="bottom"/>
            <w:tcBorders>
              <w:bottom w:val="single" w:sz="8" w:color="CCEEFF"/>
            </w:tcBorders>
            <w:gridSpan w:val="2"/>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top w:val="single" w:sz="8" w:color="auto"/>
              <w:bottom w:val="single" w:sz="8" w:color="auto"/>
            </w:tcBorders>
            <w:shd w:val="clear" w:color="auto" w:fill="CCEEFF"/>
          </w:tcPr>
          <w:p>
            <w:pPr>
              <w:jc w:val="right"/>
              <w:ind w:right="305"/>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2,534</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CIVEO CORPORATION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00" w:lineRule="exact"/>
        <w:rPr>
          <w:sz w:val="20"/>
          <w:szCs w:val="20"/>
          <w:color w:val="auto"/>
        </w:rPr>
      </w:pP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gridSpan w:val="3"/>
          </w:tcPr>
          <w:p>
            <w:pPr>
              <w:jc w:val="center"/>
              <w:ind w:right="320"/>
              <w:spacing w:after="0"/>
              <w:rPr>
                <w:sz w:val="20"/>
                <w:szCs w:val="20"/>
                <w:color w:val="auto"/>
              </w:rPr>
            </w:pPr>
            <w:r>
              <w:rPr>
                <w:rFonts w:ascii="Arial" w:cs="Arial" w:eastAsia="Arial" w:hAnsi="Arial"/>
                <w:sz w:val="18"/>
                <w:szCs w:val="18"/>
                <w:b w:val="1"/>
                <w:bCs w:val="1"/>
                <w:color w:val="auto"/>
              </w:rPr>
              <w:t>MARCH 31,</w:t>
            </w:r>
          </w:p>
        </w:tc>
        <w:tc>
          <w:tcPr>
            <w:tcW w:w="80" w:type="dxa"/>
            <w:vAlign w:val="bottom"/>
          </w:tcPr>
          <w:p>
            <w:pPr>
              <w:spacing w:after="0"/>
              <w:rPr>
                <w:sz w:val="18"/>
                <w:szCs w:val="18"/>
                <w:color w:val="auto"/>
              </w:rPr>
            </w:pPr>
          </w:p>
        </w:tc>
        <w:tc>
          <w:tcPr>
            <w:tcW w:w="1580" w:type="dxa"/>
            <w:vAlign w:val="bottom"/>
            <w:gridSpan w:val="3"/>
          </w:tcPr>
          <w:p>
            <w:pPr>
              <w:jc w:val="right"/>
              <w:ind w:right="180"/>
              <w:spacing w:after="0"/>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9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89"/>
              </w:rPr>
              <w:t>2017</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jc w:val="center"/>
              <w:ind w:right="90"/>
              <w:spacing w:after="0"/>
              <w:rPr>
                <w:sz w:val="20"/>
                <w:szCs w:val="20"/>
                <w:color w:val="auto"/>
              </w:rPr>
            </w:pPr>
            <w:r>
              <w:rPr>
                <w:rFonts w:ascii="Arial" w:cs="Arial" w:eastAsia="Arial" w:hAnsi="Arial"/>
                <w:sz w:val="18"/>
                <w:szCs w:val="18"/>
                <w:color w:val="auto"/>
                <w:w w:val="91"/>
              </w:rPr>
              <w:t>(Unaudited)</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shd w:val="clear" w:color="auto" w:fill="CCEEFF"/>
          </w:tcPr>
          <w:p>
            <w:pPr>
              <w:ind w:left="3660"/>
              <w:spacing w:after="0"/>
              <w:rPr>
                <w:sz w:val="20"/>
                <w:szCs w:val="20"/>
                <w:color w:val="auto"/>
              </w:rPr>
            </w:pPr>
            <w:r>
              <w:rPr>
                <w:rFonts w:ascii="Arial" w:cs="Arial" w:eastAsia="Arial" w:hAnsi="Arial"/>
                <w:sz w:val="18"/>
                <w:szCs w:val="18"/>
                <w:color w:val="auto"/>
              </w:rPr>
              <w:t>ASSETS</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60" w:type="dxa"/>
            <w:vAlign w:val="bottom"/>
            <w:shd w:val="clear" w:color="auto" w:fill="CCEEFF"/>
          </w:tcPr>
          <w:p>
            <w:pPr>
              <w:spacing w:after="0"/>
              <w:rPr>
                <w:sz w:val="20"/>
                <w:szCs w:val="20"/>
                <w:color w:val="auto"/>
              </w:rPr>
            </w:pPr>
            <w:r>
              <w:rPr>
                <w:rFonts w:ascii="Arial" w:cs="Arial" w:eastAsia="Arial" w:hAnsi="Arial"/>
                <w:sz w:val="18"/>
                <w:szCs w:val="18"/>
                <w:color w:val="auto"/>
              </w:rPr>
              <w:t>Current assets:</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tcPr>
          <w:p>
            <w:pPr>
              <w:ind w:left="160"/>
              <w:spacing w:after="0"/>
              <w:rPr>
                <w:sz w:val="20"/>
                <w:szCs w:val="20"/>
                <w:color w:val="auto"/>
              </w:rPr>
            </w:pPr>
            <w:r>
              <w:rPr>
                <w:rFonts w:ascii="Arial" w:cs="Arial" w:eastAsia="Arial" w:hAnsi="Arial"/>
                <w:sz w:val="18"/>
                <w:szCs w:val="18"/>
                <w:color w:val="auto"/>
              </w:rPr>
              <w:t>Cash and cash equivalents</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60" w:type="dxa"/>
            <w:vAlign w:val="bottom"/>
            <w:gridSpan w:val="3"/>
          </w:tcPr>
          <w:p>
            <w:pPr>
              <w:jc w:val="right"/>
              <w:ind w:right="140"/>
              <w:spacing w:after="0"/>
              <w:rPr>
                <w:sz w:val="20"/>
                <w:szCs w:val="20"/>
                <w:color w:val="auto"/>
              </w:rPr>
            </w:pPr>
            <w:r>
              <w:rPr>
                <w:rFonts w:ascii="Arial" w:cs="Arial" w:eastAsia="Arial" w:hAnsi="Arial"/>
                <w:sz w:val="18"/>
                <w:szCs w:val="18"/>
                <w:color w:val="auto"/>
              </w:rPr>
              <w:t>27,136</w:t>
            </w:r>
          </w:p>
        </w:tc>
        <w:tc>
          <w:tcPr>
            <w:tcW w:w="4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1,785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Accounts receivable, net</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6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54,034</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56,302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tcPr>
          <w:p>
            <w:pPr>
              <w:ind w:left="160"/>
              <w:spacing w:after="0"/>
              <w:rPr>
                <w:sz w:val="20"/>
                <w:szCs w:val="20"/>
                <w:color w:val="auto"/>
              </w:rPr>
            </w:pPr>
            <w:r>
              <w:rPr>
                <w:rFonts w:ascii="Arial" w:cs="Arial" w:eastAsia="Arial" w:hAnsi="Arial"/>
                <w:sz w:val="18"/>
                <w:szCs w:val="18"/>
                <w:color w:val="auto"/>
              </w:rPr>
              <w:t>Inventories</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gridSpan w:val="2"/>
          </w:tcPr>
          <w:p>
            <w:pPr>
              <w:jc w:val="right"/>
              <w:ind w:right="20"/>
              <w:spacing w:after="0"/>
              <w:rPr>
                <w:sz w:val="20"/>
                <w:szCs w:val="20"/>
                <w:color w:val="auto"/>
              </w:rPr>
            </w:pPr>
            <w:r>
              <w:rPr>
                <w:rFonts w:ascii="Arial" w:cs="Arial" w:eastAsia="Arial" w:hAnsi="Arial"/>
                <w:sz w:val="18"/>
                <w:szCs w:val="18"/>
                <w:color w:val="auto"/>
              </w:rPr>
              <w:t>3,604</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3,112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Prepaid expenses</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6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14,545</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15,431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tcPr>
          <w:p>
            <w:pPr>
              <w:ind w:left="160"/>
              <w:spacing w:after="0"/>
              <w:rPr>
                <w:sz w:val="20"/>
                <w:szCs w:val="20"/>
                <w:color w:val="auto"/>
              </w:rPr>
            </w:pPr>
            <w:r>
              <w:rPr>
                <w:rFonts w:ascii="Arial" w:cs="Arial" w:eastAsia="Arial" w:hAnsi="Arial"/>
                <w:sz w:val="18"/>
                <w:szCs w:val="18"/>
                <w:color w:val="auto"/>
              </w:rPr>
              <w:t>Other current assets</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gridSpan w:val="2"/>
          </w:tcPr>
          <w:p>
            <w:pPr>
              <w:jc w:val="right"/>
              <w:ind w:right="20"/>
              <w:spacing w:after="0"/>
              <w:rPr>
                <w:sz w:val="20"/>
                <w:szCs w:val="20"/>
                <w:color w:val="auto"/>
              </w:rPr>
            </w:pPr>
            <w:r>
              <w:rPr>
                <w:rFonts w:ascii="Arial" w:cs="Arial" w:eastAsia="Arial" w:hAnsi="Arial"/>
                <w:sz w:val="18"/>
                <w:szCs w:val="18"/>
                <w:color w:val="auto"/>
              </w:rPr>
              <w:t>5,950</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5,938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Total current assets</w:t>
            </w:r>
          </w:p>
        </w:tc>
        <w:tc>
          <w:tcPr>
            <w:tcW w:w="14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105,269</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82,568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tcPr>
          <w:p>
            <w:pPr>
              <w:spacing w:after="0"/>
              <w:rPr>
                <w:sz w:val="20"/>
                <w:szCs w:val="20"/>
                <w:color w:val="auto"/>
              </w:rPr>
            </w:pPr>
            <w:r>
              <w:rPr>
                <w:rFonts w:ascii="Arial" w:cs="Arial" w:eastAsia="Arial" w:hAnsi="Arial"/>
                <w:sz w:val="18"/>
                <w:szCs w:val="18"/>
                <w:color w:val="auto"/>
              </w:rPr>
              <w:t>Property, plant and equipment, net</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gridSpan w:val="2"/>
          </w:tcPr>
          <w:p>
            <w:pPr>
              <w:jc w:val="right"/>
              <w:ind w:right="20"/>
              <w:spacing w:after="0"/>
              <w:rPr>
                <w:sz w:val="20"/>
                <w:szCs w:val="20"/>
                <w:color w:val="auto"/>
              </w:rPr>
            </w:pPr>
            <w:r>
              <w:rPr>
                <w:rFonts w:ascii="Arial" w:cs="Arial" w:eastAsia="Arial" w:hAnsi="Arial"/>
                <w:sz w:val="18"/>
                <w:szCs w:val="18"/>
                <w:color w:val="auto"/>
              </w:rPr>
              <w:t>782,143</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789,710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shd w:val="clear" w:color="auto" w:fill="CCEEFF"/>
          </w:tcPr>
          <w:p>
            <w:pPr>
              <w:spacing w:after="0"/>
              <w:rPr>
                <w:sz w:val="20"/>
                <w:szCs w:val="20"/>
                <w:color w:val="auto"/>
              </w:rPr>
            </w:pPr>
            <w:r>
              <w:rPr>
                <w:rFonts w:ascii="Arial" w:cs="Arial" w:eastAsia="Arial" w:hAnsi="Arial"/>
                <w:sz w:val="18"/>
                <w:szCs w:val="18"/>
                <w:color w:val="auto"/>
              </w:rPr>
              <w:t>Other intangible assets, net</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6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27,738</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28,039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tcPr>
          <w:p>
            <w:pPr>
              <w:spacing w:after="0"/>
              <w:rPr>
                <w:sz w:val="20"/>
                <w:szCs w:val="20"/>
                <w:color w:val="auto"/>
              </w:rPr>
            </w:pPr>
            <w:r>
              <w:rPr>
                <w:rFonts w:ascii="Arial" w:cs="Arial" w:eastAsia="Arial" w:hAnsi="Arial"/>
                <w:sz w:val="18"/>
                <w:szCs w:val="18"/>
                <w:color w:val="auto"/>
              </w:rPr>
              <w:t>Other noncurrent assets</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gridSpan w:val="2"/>
          </w:tcPr>
          <w:p>
            <w:pPr>
              <w:jc w:val="right"/>
              <w:ind w:right="20"/>
              <w:spacing w:after="0"/>
              <w:rPr>
                <w:sz w:val="20"/>
                <w:szCs w:val="20"/>
                <w:color w:val="auto"/>
              </w:rPr>
            </w:pPr>
            <w:r>
              <w:rPr>
                <w:rFonts w:ascii="Arial" w:cs="Arial" w:eastAsia="Arial" w:hAnsi="Arial"/>
                <w:sz w:val="18"/>
                <w:szCs w:val="18"/>
                <w:color w:val="auto"/>
              </w:rPr>
              <w:t>9,876</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10,129</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79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Total assets</w:t>
            </w:r>
          </w:p>
        </w:tc>
        <w:tc>
          <w:tcPr>
            <w:tcW w:w="140" w:type="dxa"/>
            <w:vAlign w:val="bottom"/>
            <w:shd w:val="clear" w:color="auto" w:fill="CCEEFF"/>
          </w:tcPr>
          <w:p>
            <w:pPr>
              <w:spacing w:after="0"/>
              <w:rPr>
                <w:sz w:val="21"/>
                <w:szCs w:val="21"/>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925,026</w:t>
            </w:r>
          </w:p>
        </w:tc>
        <w:tc>
          <w:tcPr>
            <w:tcW w:w="1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20" w:type="dxa"/>
            <w:vAlign w:val="bottom"/>
            <w:tcBorders>
              <w:top w:val="single" w:sz="8" w:color="auto"/>
            </w:tcBorders>
            <w:shd w:val="clear" w:color="auto" w:fill="CCEEFF"/>
          </w:tcPr>
          <w:p>
            <w:pPr>
              <w:jc w:val="right"/>
              <w:ind w:right="160"/>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910,446</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7960" w:type="dxa"/>
            <w:vAlign w:val="bottom"/>
            <w:tcBorders>
              <w:top w:val="single" w:sz="8" w:color="CCEEFF"/>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320" w:type="dxa"/>
            <w:vAlign w:val="bottom"/>
            <w:tcBorders>
              <w:top w:val="single" w:sz="8" w:color="auto"/>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shd w:val="clear" w:color="auto" w:fill="CCEEFF"/>
          </w:tcPr>
          <w:p>
            <w:pPr>
              <w:ind w:left="2140"/>
              <w:spacing w:after="0"/>
              <w:rPr>
                <w:sz w:val="20"/>
                <w:szCs w:val="20"/>
                <w:color w:val="auto"/>
              </w:rPr>
            </w:pPr>
            <w:r>
              <w:rPr>
                <w:rFonts w:ascii="Arial" w:cs="Arial" w:eastAsia="Arial" w:hAnsi="Arial"/>
                <w:sz w:val="18"/>
                <w:szCs w:val="18"/>
                <w:color w:val="auto"/>
              </w:rPr>
              <w:t>LIABILITIES AND SHAREHOLDERS’ EQUITY</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6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tcPr>
          <w:p>
            <w:pPr>
              <w:ind w:left="160"/>
              <w:spacing w:after="0"/>
              <w:rPr>
                <w:sz w:val="20"/>
                <w:szCs w:val="20"/>
                <w:color w:val="auto"/>
              </w:rPr>
            </w:pPr>
            <w:r>
              <w:rPr>
                <w:rFonts w:ascii="Arial" w:cs="Arial" w:eastAsia="Arial" w:hAnsi="Arial"/>
                <w:sz w:val="18"/>
                <w:szCs w:val="18"/>
                <w:color w:val="auto"/>
              </w:rPr>
              <w:t>Accounts payable</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60" w:type="dxa"/>
            <w:vAlign w:val="bottom"/>
            <w:gridSpan w:val="3"/>
          </w:tcPr>
          <w:p>
            <w:pPr>
              <w:jc w:val="right"/>
              <w:ind w:right="140"/>
              <w:spacing w:after="0"/>
              <w:rPr>
                <w:sz w:val="20"/>
                <w:szCs w:val="20"/>
                <w:color w:val="auto"/>
              </w:rPr>
            </w:pPr>
            <w:r>
              <w:rPr>
                <w:rFonts w:ascii="Arial" w:cs="Arial" w:eastAsia="Arial" w:hAnsi="Arial"/>
                <w:sz w:val="18"/>
                <w:szCs w:val="18"/>
                <w:color w:val="auto"/>
              </w:rPr>
              <w:t>21,239</w:t>
            </w:r>
          </w:p>
        </w:tc>
        <w:tc>
          <w:tcPr>
            <w:tcW w:w="4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21,119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Accrued liabilities</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6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10,363</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14,378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tcPr>
          <w:p>
            <w:pPr>
              <w:ind w:left="160"/>
              <w:spacing w:after="0"/>
              <w:rPr>
                <w:sz w:val="20"/>
                <w:szCs w:val="20"/>
                <w:color w:val="auto"/>
              </w:rPr>
            </w:pPr>
            <w:r>
              <w:rPr>
                <w:rFonts w:ascii="Arial" w:cs="Arial" w:eastAsia="Arial" w:hAnsi="Arial"/>
                <w:sz w:val="18"/>
                <w:szCs w:val="18"/>
                <w:color w:val="auto"/>
              </w:rPr>
              <w:t>Income taxes</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gridSpan w:val="2"/>
          </w:tcPr>
          <w:p>
            <w:pPr>
              <w:jc w:val="right"/>
              <w:ind w:right="20"/>
              <w:spacing w:after="0"/>
              <w:rPr>
                <w:sz w:val="20"/>
                <w:szCs w:val="20"/>
                <w:color w:val="auto"/>
              </w:rPr>
            </w:pPr>
            <w:r>
              <w:rPr>
                <w:rFonts w:ascii="Arial" w:cs="Arial" w:eastAsia="Arial" w:hAnsi="Arial"/>
                <w:sz w:val="18"/>
                <w:szCs w:val="18"/>
                <w:color w:val="auto"/>
              </w:rPr>
              <w:t>491</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Current portion of long-term debt</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6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15,566</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15,471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tcPr>
          <w:p>
            <w:pPr>
              <w:ind w:left="160"/>
              <w:spacing w:after="0"/>
              <w:rPr>
                <w:sz w:val="20"/>
                <w:szCs w:val="20"/>
                <w:color w:val="auto"/>
              </w:rPr>
            </w:pPr>
            <w:r>
              <w:rPr>
                <w:rFonts w:ascii="Arial" w:cs="Arial" w:eastAsia="Arial" w:hAnsi="Arial"/>
                <w:sz w:val="18"/>
                <w:szCs w:val="18"/>
                <w:color w:val="auto"/>
              </w:rPr>
              <w:t>Deferred revenue</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gridSpan w:val="2"/>
          </w:tcPr>
          <w:p>
            <w:pPr>
              <w:jc w:val="right"/>
              <w:ind w:right="20"/>
              <w:spacing w:after="0"/>
              <w:rPr>
                <w:sz w:val="20"/>
                <w:szCs w:val="20"/>
                <w:color w:val="auto"/>
              </w:rPr>
            </w:pPr>
            <w:r>
              <w:rPr>
                <w:rFonts w:ascii="Arial" w:cs="Arial" w:eastAsia="Arial" w:hAnsi="Arial"/>
                <w:sz w:val="18"/>
                <w:szCs w:val="18"/>
                <w:color w:val="auto"/>
              </w:rPr>
              <w:t>5,053</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6,792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Other current liabilities</w:t>
            </w:r>
          </w:p>
        </w:tc>
        <w:tc>
          <w:tcPr>
            <w:tcW w:w="14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1,952</w:t>
            </w:r>
          </w:p>
        </w:tc>
        <w:tc>
          <w:tcPr>
            <w:tcW w:w="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2,572</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60" w:type="dxa"/>
            <w:vAlign w:val="bottom"/>
          </w:tcPr>
          <w:p>
            <w:pPr>
              <w:ind w:left="320"/>
              <w:spacing w:after="0"/>
              <w:rPr>
                <w:sz w:val="20"/>
                <w:szCs w:val="20"/>
                <w:color w:val="auto"/>
              </w:rPr>
            </w:pPr>
            <w:r>
              <w:rPr>
                <w:rFonts w:ascii="Arial" w:cs="Arial" w:eastAsia="Arial" w:hAnsi="Arial"/>
                <w:sz w:val="18"/>
                <w:szCs w:val="18"/>
                <w:color w:val="auto"/>
              </w:rPr>
              <w:t>Total current liabilities</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gridSpan w:val="3"/>
          </w:tcPr>
          <w:p>
            <w:pPr>
              <w:jc w:val="right"/>
              <w:ind w:right="140"/>
              <w:spacing w:after="0"/>
              <w:rPr>
                <w:sz w:val="20"/>
                <w:szCs w:val="20"/>
                <w:color w:val="auto"/>
              </w:rPr>
            </w:pPr>
            <w:r>
              <w:rPr>
                <w:rFonts w:ascii="Arial" w:cs="Arial" w:eastAsia="Arial" w:hAnsi="Arial"/>
                <w:sz w:val="18"/>
                <w:szCs w:val="18"/>
                <w:color w:val="auto"/>
              </w:rPr>
              <w:t>54,664</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60,443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shd w:val="clear" w:color="auto" w:fill="CCEEFF"/>
          </w:tcPr>
          <w:p>
            <w:pPr>
              <w:spacing w:after="0"/>
              <w:rPr>
                <w:sz w:val="20"/>
                <w:szCs w:val="20"/>
                <w:color w:val="auto"/>
              </w:rPr>
            </w:pPr>
            <w:r>
              <w:rPr>
                <w:rFonts w:ascii="Arial" w:cs="Arial" w:eastAsia="Arial" w:hAnsi="Arial"/>
                <w:sz w:val="18"/>
                <w:szCs w:val="18"/>
                <w:color w:val="auto"/>
              </w:rPr>
              <w:t>Long-term debt, less current maturities</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296,438</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337,800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tcPr>
          <w:p>
            <w:pPr>
              <w:spacing w:after="0"/>
              <w:rPr>
                <w:sz w:val="20"/>
                <w:szCs w:val="20"/>
                <w:color w:val="auto"/>
              </w:rPr>
            </w:pPr>
            <w:r>
              <w:rPr>
                <w:rFonts w:ascii="Arial" w:cs="Arial" w:eastAsia="Arial" w:hAnsi="Arial"/>
                <w:sz w:val="18"/>
                <w:szCs w:val="18"/>
                <w:color w:val="auto"/>
              </w:rPr>
              <w:t>Deferred income taxes</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gridSpan w:val="2"/>
          </w:tcPr>
          <w:p>
            <w:pPr>
              <w:jc w:val="right"/>
              <w:ind w:right="20"/>
              <w:spacing w:after="0"/>
              <w:rPr>
                <w:sz w:val="20"/>
                <w:szCs w:val="20"/>
                <w:color w:val="auto"/>
              </w:rPr>
            </w:pPr>
            <w:r>
              <w:rPr>
                <w:rFonts w:ascii="Arial" w:cs="Arial" w:eastAsia="Arial" w:hAnsi="Arial"/>
                <w:sz w:val="18"/>
                <w:szCs w:val="18"/>
                <w:color w:val="auto"/>
              </w:rPr>
              <w:t>6,556</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9,194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shd w:val="clear" w:color="auto" w:fill="CCEEFF"/>
          </w:tcPr>
          <w:p>
            <w:pPr>
              <w:spacing w:after="0"/>
              <w:rPr>
                <w:sz w:val="20"/>
                <w:szCs w:val="20"/>
                <w:color w:val="auto"/>
              </w:rPr>
            </w:pPr>
            <w:r>
              <w:rPr>
                <w:rFonts w:ascii="Arial" w:cs="Arial" w:eastAsia="Arial" w:hAnsi="Arial"/>
                <w:sz w:val="18"/>
                <w:szCs w:val="18"/>
                <w:color w:val="auto"/>
              </w:rPr>
              <w:t>Other noncurrent liabilities</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6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28,642</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27,019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60" w:type="dxa"/>
            <w:vAlign w:val="bottom"/>
            <w:tcBorders>
              <w:top w:val="single" w:sz="8" w:color="CCEEFF"/>
            </w:tcBorders>
          </w:tcPr>
          <w:p>
            <w:pPr>
              <w:ind w:left="160"/>
              <w:spacing w:after="0"/>
              <w:rPr>
                <w:sz w:val="20"/>
                <w:szCs w:val="20"/>
                <w:color w:val="auto"/>
              </w:rPr>
            </w:pPr>
            <w:r>
              <w:rPr>
                <w:rFonts w:ascii="Arial" w:cs="Arial" w:eastAsia="Arial" w:hAnsi="Arial"/>
                <w:sz w:val="18"/>
                <w:szCs w:val="18"/>
                <w:color w:val="auto"/>
              </w:rPr>
              <w:t>Total liabilities</w:t>
            </w:r>
          </w:p>
        </w:tc>
        <w:tc>
          <w:tcPr>
            <w:tcW w:w="14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386,300</w:t>
            </w:r>
          </w:p>
        </w:tc>
        <w:tc>
          <w:tcPr>
            <w:tcW w:w="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434,456</w:t>
            </w: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60" w:type="dxa"/>
            <w:vAlign w:val="bottom"/>
          </w:tcPr>
          <w:p>
            <w:pPr>
              <w:spacing w:after="0"/>
              <w:rPr>
                <w:sz w:val="20"/>
                <w:szCs w:val="20"/>
                <w:color w:val="auto"/>
              </w:rPr>
            </w:pPr>
            <w:r>
              <w:rPr>
                <w:rFonts w:ascii="Arial" w:cs="Arial" w:eastAsia="Arial" w:hAnsi="Arial"/>
                <w:sz w:val="18"/>
                <w:szCs w:val="18"/>
                <w:color w:val="auto"/>
              </w:rPr>
              <w:t>Commitments and contingencies (Note 9)</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60" w:type="dxa"/>
            <w:vAlign w:val="bottom"/>
          </w:tcPr>
          <w:p>
            <w:pPr>
              <w:spacing w:after="0"/>
              <w:rPr>
                <w:sz w:val="20"/>
                <w:szCs w:val="20"/>
                <w:color w:val="auto"/>
              </w:rPr>
            </w:pPr>
            <w:r>
              <w:rPr>
                <w:rFonts w:ascii="Arial" w:cs="Arial" w:eastAsia="Arial" w:hAnsi="Arial"/>
                <w:sz w:val="18"/>
                <w:szCs w:val="18"/>
                <w:color w:val="auto"/>
              </w:rPr>
              <w:t>Shareholders’ Equity:</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96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color w:val="auto"/>
                <w:w w:val="89"/>
              </w:rPr>
              <w:t>Common shares (no par value; 550,000,000 shares authorized, 132,167,300 shares and 108,171,329 shares</w:t>
            </w: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9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issued, respectively, and 132,008,760 shares and 108,103,048 shares outstanding, respectively)</w:t>
            </w:r>
          </w:p>
        </w:tc>
        <w:tc>
          <w:tcPr>
            <w:tcW w:w="1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tcPr>
          <w:p>
            <w:pPr>
              <w:ind w:left="160"/>
              <w:spacing w:after="0"/>
              <w:rPr>
                <w:sz w:val="20"/>
                <w:szCs w:val="20"/>
                <w:color w:val="auto"/>
              </w:rPr>
            </w:pPr>
            <w:r>
              <w:rPr>
                <w:rFonts w:ascii="Arial" w:cs="Arial" w:eastAsia="Arial" w:hAnsi="Arial"/>
                <w:sz w:val="18"/>
                <w:szCs w:val="18"/>
                <w:color w:val="auto"/>
              </w:rPr>
              <w:t>Additional paid-in capital</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gridSpan w:val="2"/>
          </w:tcPr>
          <w:p>
            <w:pPr>
              <w:jc w:val="right"/>
              <w:ind w:right="20"/>
              <w:spacing w:after="0"/>
              <w:rPr>
                <w:sz w:val="20"/>
                <w:szCs w:val="20"/>
                <w:color w:val="auto"/>
              </w:rPr>
            </w:pPr>
            <w:r>
              <w:rPr>
                <w:rFonts w:ascii="Arial" w:cs="Arial" w:eastAsia="Arial" w:hAnsi="Arial"/>
                <w:sz w:val="18"/>
                <w:szCs w:val="18"/>
                <w:color w:val="auto"/>
              </w:rPr>
              <w:t>1,378,576</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1,311,226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Accumulated deficit</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6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(494,387)</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(472,764)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tcPr>
          <w:p>
            <w:pPr>
              <w:ind w:left="160"/>
              <w:spacing w:after="0"/>
              <w:rPr>
                <w:sz w:val="20"/>
                <w:szCs w:val="20"/>
                <w:color w:val="auto"/>
              </w:rPr>
            </w:pPr>
            <w:r>
              <w:rPr>
                <w:rFonts w:ascii="Arial" w:cs="Arial" w:eastAsia="Arial" w:hAnsi="Arial"/>
                <w:sz w:val="18"/>
                <w:szCs w:val="18"/>
                <w:color w:val="auto"/>
              </w:rPr>
              <w:t>Common shares held in treasury at cost, 158,540 and 68,281 shares, respectively</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gridSpan w:val="3"/>
          </w:tcPr>
          <w:p>
            <w:pPr>
              <w:jc w:val="right"/>
              <w:ind w:right="80"/>
              <w:spacing w:after="0"/>
              <w:rPr>
                <w:sz w:val="20"/>
                <w:szCs w:val="20"/>
                <w:color w:val="auto"/>
              </w:rPr>
            </w:pPr>
            <w:r>
              <w:rPr>
                <w:rFonts w:ascii="Arial" w:cs="Arial" w:eastAsia="Arial" w:hAnsi="Arial"/>
                <w:sz w:val="18"/>
                <w:szCs w:val="18"/>
                <w:color w:val="auto"/>
              </w:rPr>
              <w:t>(344)</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Accumulated other comprehensive loss</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6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(345,243)</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(362,930)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60" w:type="dxa"/>
            <w:vAlign w:val="bottom"/>
            <w:tcBorders>
              <w:top w:val="single" w:sz="8" w:color="CCEEFF"/>
            </w:tcBorders>
          </w:tcPr>
          <w:p>
            <w:pPr>
              <w:ind w:left="320"/>
              <w:spacing w:after="0"/>
              <w:rPr>
                <w:sz w:val="20"/>
                <w:szCs w:val="20"/>
                <w:color w:val="auto"/>
              </w:rPr>
            </w:pPr>
            <w:r>
              <w:rPr>
                <w:rFonts w:ascii="Arial" w:cs="Arial" w:eastAsia="Arial" w:hAnsi="Arial"/>
                <w:sz w:val="18"/>
                <w:szCs w:val="18"/>
                <w:color w:val="auto"/>
              </w:rPr>
              <w:t>Total Civeo Corporation shareholders’ equity</w:t>
            </w:r>
          </w:p>
        </w:tc>
        <w:tc>
          <w:tcPr>
            <w:tcW w:w="140" w:type="dxa"/>
            <w:vAlign w:val="bottom"/>
            <w:tcBorders>
              <w:top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538,602</w:t>
            </w:r>
          </w:p>
        </w:tc>
        <w:tc>
          <w:tcPr>
            <w:tcW w:w="20" w:type="dxa"/>
            <w:vAlign w:val="bottom"/>
            <w:tcBorders>
              <w:top w:val="single" w:sz="8" w:color="CCEEFF"/>
              <w:bottom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475,467</w:t>
            </w: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Noncontrolling interest</w:t>
            </w:r>
          </w:p>
        </w:tc>
        <w:tc>
          <w:tcPr>
            <w:tcW w:w="14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w:t>
            </w:r>
          </w:p>
        </w:tc>
        <w:tc>
          <w:tcPr>
            <w:tcW w:w="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523</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60" w:type="dxa"/>
            <w:vAlign w:val="bottom"/>
          </w:tcPr>
          <w:p>
            <w:pPr>
              <w:ind w:left="160"/>
              <w:spacing w:after="0"/>
              <w:rPr>
                <w:sz w:val="20"/>
                <w:szCs w:val="20"/>
                <w:color w:val="auto"/>
              </w:rPr>
            </w:pPr>
            <w:r>
              <w:rPr>
                <w:rFonts w:ascii="Arial" w:cs="Arial" w:eastAsia="Arial" w:hAnsi="Arial"/>
                <w:sz w:val="18"/>
                <w:szCs w:val="18"/>
                <w:color w:val="auto"/>
              </w:rPr>
              <w:t>Total shareholders’ equity</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gridSpan w:val="2"/>
          </w:tcPr>
          <w:p>
            <w:pPr>
              <w:jc w:val="right"/>
              <w:ind w:right="20"/>
              <w:spacing w:after="0"/>
              <w:rPr>
                <w:sz w:val="20"/>
                <w:szCs w:val="20"/>
                <w:color w:val="auto"/>
              </w:rPr>
            </w:pPr>
            <w:r>
              <w:rPr>
                <w:rFonts w:ascii="Arial" w:cs="Arial" w:eastAsia="Arial" w:hAnsi="Arial"/>
                <w:sz w:val="18"/>
                <w:szCs w:val="18"/>
                <w:color w:val="auto"/>
              </w:rPr>
              <w:t>538,726</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475,990</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796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Total liabilities and shareholders’ equity</w:t>
            </w:r>
          </w:p>
        </w:tc>
        <w:tc>
          <w:tcPr>
            <w:tcW w:w="1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925,026</w:t>
            </w:r>
          </w:p>
        </w:tc>
        <w:tc>
          <w:tcPr>
            <w:tcW w:w="2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60"/>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910,446</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CIVEO CORPORATION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CONSOLIDATED STATEMENTS OF</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CHANGES IN SHAREHOLDERS’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29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2500" w:type="dxa"/>
            <w:vAlign w:val="bottom"/>
            <w:tcBorders>
              <w:bottom w:val="single" w:sz="8" w:color="auto"/>
            </w:tcBorders>
            <w:gridSpan w:val="8"/>
          </w:tcPr>
          <w:p>
            <w:pPr>
              <w:ind w:left="40"/>
              <w:spacing w:after="0"/>
              <w:rPr>
                <w:sz w:val="20"/>
                <w:szCs w:val="20"/>
                <w:color w:val="auto"/>
              </w:rPr>
            </w:pPr>
            <w:r>
              <w:rPr>
                <w:rFonts w:ascii="Arial" w:cs="Arial" w:eastAsia="Arial" w:hAnsi="Arial"/>
                <w:sz w:val="18"/>
                <w:szCs w:val="18"/>
                <w:b w:val="1"/>
                <w:bCs w:val="1"/>
                <w:color w:val="auto"/>
              </w:rPr>
              <w:t>Attributable to Civeo</w:t>
            </w:r>
          </w:p>
        </w:tc>
        <w:tc>
          <w:tcPr>
            <w:tcW w:w="4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40" w:type="dxa"/>
            <w:vAlign w:val="bottom"/>
            <w:gridSpan w:val="5"/>
          </w:tcPr>
          <w:p>
            <w:pPr>
              <w:jc w:val="right"/>
              <w:ind w:right="360"/>
              <w:spacing w:after="0"/>
              <w:rPr>
                <w:sz w:val="20"/>
                <w:szCs w:val="20"/>
                <w:color w:val="auto"/>
              </w:rPr>
            </w:pPr>
            <w:r>
              <w:rPr>
                <w:rFonts w:ascii="Arial" w:cs="Arial" w:eastAsia="Arial" w:hAnsi="Arial"/>
                <w:sz w:val="18"/>
                <w:szCs w:val="18"/>
                <w:b w:val="1"/>
                <w:bCs w:val="1"/>
                <w:color w:val="auto"/>
                <w:w w:val="95"/>
              </w:rPr>
              <w:t>Common Shares</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40" w:type="dxa"/>
            <w:vAlign w:val="bottom"/>
            <w:gridSpan w:val="3"/>
            <w:vMerge w:val="restart"/>
          </w:tcPr>
          <w:p>
            <w:pPr>
              <w:jc w:val="center"/>
              <w:ind w:right="140"/>
              <w:spacing w:after="0"/>
              <w:rPr>
                <w:sz w:val="20"/>
                <w:szCs w:val="20"/>
                <w:color w:val="auto"/>
              </w:rPr>
            </w:pPr>
            <w:r>
              <w:rPr>
                <w:rFonts w:ascii="Arial" w:cs="Arial" w:eastAsia="Arial" w:hAnsi="Arial"/>
                <w:sz w:val="18"/>
                <w:szCs w:val="18"/>
                <w:b w:val="1"/>
                <w:bCs w:val="1"/>
                <w:color w:val="auto"/>
                <w:w w:val="90"/>
              </w:rPr>
              <w:t>Accumulated</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29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60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gridSpan w:val="3"/>
            <w:vMerge w:val="continue"/>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gridSpan w:val="3"/>
          </w:tcPr>
          <w:p>
            <w:pPr>
              <w:jc w:val="right"/>
              <w:ind w:right="80"/>
              <w:spacing w:after="0"/>
              <w:rPr>
                <w:sz w:val="20"/>
                <w:szCs w:val="20"/>
                <w:color w:val="auto"/>
              </w:rPr>
            </w:pPr>
            <w:r>
              <w:rPr>
                <w:rFonts w:ascii="Arial" w:cs="Arial" w:eastAsia="Arial" w:hAnsi="Arial"/>
                <w:sz w:val="18"/>
                <w:szCs w:val="18"/>
                <w:b w:val="1"/>
                <w:bCs w:val="1"/>
                <w:color w:val="auto"/>
                <w:w w:val="93"/>
              </w:rPr>
              <w:t>Additional</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5"/>
              </w:rPr>
              <w:t>Other</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8"/>
              </w:rPr>
              <w:t>Total</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w w:val="96"/>
              </w:rPr>
              <w:t>Paid-in</w:t>
            </w:r>
          </w:p>
        </w:tc>
        <w:tc>
          <w:tcPr>
            <w:tcW w:w="1340" w:type="dxa"/>
            <w:vAlign w:val="bottom"/>
            <w:gridSpan w:val="4"/>
          </w:tcPr>
          <w:p>
            <w:pPr>
              <w:ind w:left="180"/>
              <w:spacing w:after="0"/>
              <w:rPr>
                <w:sz w:val="20"/>
                <w:szCs w:val="20"/>
                <w:color w:val="auto"/>
              </w:rPr>
            </w:pPr>
            <w:r>
              <w:rPr>
                <w:rFonts w:ascii="Arial" w:cs="Arial" w:eastAsia="Arial" w:hAnsi="Arial"/>
                <w:sz w:val="18"/>
                <w:szCs w:val="18"/>
                <w:b w:val="1"/>
                <w:bCs w:val="1"/>
                <w:color w:val="auto"/>
              </w:rPr>
              <w:t>Accumulated</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w w:val="89"/>
              </w:rPr>
              <w:t>Treasury</w:t>
            </w:r>
          </w:p>
        </w:tc>
        <w:tc>
          <w:tcPr>
            <w:tcW w:w="1280" w:type="dxa"/>
            <w:vAlign w:val="bottom"/>
            <w:gridSpan w:val="4"/>
          </w:tcPr>
          <w:p>
            <w:pPr>
              <w:spacing w:after="0"/>
              <w:rPr>
                <w:sz w:val="20"/>
                <w:szCs w:val="20"/>
                <w:color w:val="auto"/>
              </w:rPr>
            </w:pPr>
            <w:r>
              <w:rPr>
                <w:rFonts w:ascii="Arial" w:cs="Arial" w:eastAsia="Arial" w:hAnsi="Arial"/>
                <w:sz w:val="18"/>
                <w:szCs w:val="18"/>
                <w:b w:val="1"/>
                <w:bCs w:val="1"/>
                <w:color w:val="auto"/>
                <w:w w:val="93"/>
              </w:rPr>
              <w:t>Comprehensive</w:t>
            </w:r>
          </w:p>
        </w:tc>
        <w:tc>
          <w:tcPr>
            <w:tcW w:w="1420" w:type="dxa"/>
            <w:vAlign w:val="bottom"/>
            <w:gridSpan w:val="5"/>
          </w:tcPr>
          <w:p>
            <w:pPr>
              <w:ind w:left="120"/>
              <w:spacing w:after="0"/>
              <w:rPr>
                <w:sz w:val="20"/>
                <w:szCs w:val="20"/>
                <w:color w:val="auto"/>
              </w:rPr>
            </w:pPr>
            <w:r>
              <w:rPr>
                <w:rFonts w:ascii="Arial" w:cs="Arial" w:eastAsia="Arial" w:hAnsi="Arial"/>
                <w:sz w:val="18"/>
                <w:szCs w:val="18"/>
                <w:b w:val="1"/>
                <w:bCs w:val="1"/>
                <w:color w:val="auto"/>
                <w:w w:val="99"/>
              </w:rPr>
              <w:t>Noncontrolling</w:t>
            </w:r>
          </w:p>
        </w:tc>
        <w:tc>
          <w:tcPr>
            <w:tcW w:w="80" w:type="dxa"/>
            <w:vAlign w:val="bottom"/>
          </w:tcPr>
          <w:p>
            <w:pPr>
              <w:spacing w:after="0"/>
              <w:rPr>
                <w:sz w:val="18"/>
                <w:szCs w:val="18"/>
                <w:color w:val="auto"/>
              </w:rPr>
            </w:pPr>
          </w:p>
        </w:tc>
        <w:tc>
          <w:tcPr>
            <w:tcW w:w="118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89"/>
              </w:rPr>
              <w:t>Shareholders’</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9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5"/>
              </w:rPr>
              <w:t>Par Value</w:t>
            </w:r>
          </w:p>
        </w:tc>
        <w:tc>
          <w:tcPr>
            <w:tcW w:w="2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6"/>
              </w:rPr>
              <w:t>Capital</w:t>
            </w: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Deficit</w:t>
            </w: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6"/>
              </w:rPr>
              <w:t>Shares</w:t>
            </w:r>
          </w:p>
        </w:tc>
        <w:tc>
          <w:tcPr>
            <w:tcW w:w="220" w:type="dxa"/>
            <w:vAlign w:val="bottom"/>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88"/>
              </w:rPr>
              <w:t>Income (Loss)</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w w:val="89"/>
              </w:rPr>
              <w:t>Interest</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94"/>
              </w:rPr>
              <w:t>Equity</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920" w:type="dxa"/>
            <w:vAlign w:val="bottom"/>
          </w:tcPr>
          <w:p>
            <w:pPr>
              <w:spacing w:after="0"/>
              <w:rPr>
                <w:sz w:val="18"/>
                <w:szCs w:val="18"/>
                <w:color w:val="auto"/>
              </w:rPr>
            </w:pPr>
          </w:p>
        </w:tc>
        <w:tc>
          <w:tcPr>
            <w:tcW w:w="280" w:type="dxa"/>
            <w:vAlign w:val="bottom"/>
            <w:gridSpan w:val="2"/>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spacing w:after="0"/>
              <w:rPr>
                <w:sz w:val="18"/>
                <w:szCs w:val="18"/>
                <w:color w:val="auto"/>
              </w:rPr>
            </w:pPr>
          </w:p>
        </w:tc>
        <w:tc>
          <w:tcPr>
            <w:tcW w:w="360" w:type="dxa"/>
            <w:vAlign w:val="bottom"/>
            <w:gridSpan w:val="2"/>
          </w:tcPr>
          <w:p>
            <w:pPr>
              <w:spacing w:after="0"/>
              <w:rPr>
                <w:sz w:val="18"/>
                <w:szCs w:val="18"/>
                <w:color w:val="auto"/>
              </w:rPr>
            </w:pPr>
          </w:p>
        </w:tc>
        <w:tc>
          <w:tcPr>
            <w:tcW w:w="980" w:type="dxa"/>
            <w:vAlign w:val="bottom"/>
            <w:gridSpan w:val="2"/>
          </w:tcPr>
          <w:p>
            <w:pPr>
              <w:spacing w:after="0"/>
              <w:rPr>
                <w:sz w:val="18"/>
                <w:szCs w:val="18"/>
                <w:color w:val="auto"/>
              </w:rPr>
            </w:pPr>
          </w:p>
        </w:tc>
        <w:tc>
          <w:tcPr>
            <w:tcW w:w="160" w:type="dxa"/>
            <w:vAlign w:val="bottom"/>
            <w:gridSpan w:val="2"/>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spacing w:after="0"/>
              <w:rPr>
                <w:sz w:val="18"/>
                <w:szCs w:val="18"/>
                <w:color w:val="auto"/>
              </w:rPr>
            </w:pPr>
          </w:p>
        </w:tc>
        <w:tc>
          <w:tcPr>
            <w:tcW w:w="32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2"/>
          </w:tcPr>
          <w:p>
            <w:pPr>
              <w:spacing w:after="0"/>
              <w:rPr>
                <w:sz w:val="18"/>
                <w:szCs w:val="18"/>
                <w:color w:val="auto"/>
              </w:rPr>
            </w:pPr>
          </w:p>
        </w:tc>
        <w:tc>
          <w:tcPr>
            <w:tcW w:w="260" w:type="dxa"/>
            <w:vAlign w:val="bottom"/>
            <w:gridSpan w:val="2"/>
          </w:tcPr>
          <w:p>
            <w:pPr>
              <w:spacing w:after="0"/>
              <w:rPr>
                <w:sz w:val="18"/>
                <w:szCs w:val="18"/>
                <w:color w:val="auto"/>
              </w:rPr>
            </w:pPr>
          </w:p>
        </w:tc>
        <w:tc>
          <w:tcPr>
            <w:tcW w:w="10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9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December 31, 2015</w:t>
            </w:r>
          </w:p>
        </w:tc>
        <w:tc>
          <w:tcPr>
            <w:tcW w:w="28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w w:val="92"/>
              </w:rPr>
              <w:t>1,305,930</w:t>
            </w:r>
          </w:p>
        </w:tc>
        <w:tc>
          <w:tcPr>
            <w:tcW w:w="360" w:type="dxa"/>
            <w:vAlign w:val="bottom"/>
            <w:gridSpan w:val="2"/>
            <w:shd w:val="clear" w:color="auto" w:fill="CCEEFF"/>
          </w:tcPr>
          <w:p>
            <w:pPr>
              <w:ind w:left="180"/>
              <w:spacing w:after="0"/>
              <w:rPr>
                <w:sz w:val="20"/>
                <w:szCs w:val="20"/>
                <w:color w:val="auto"/>
              </w:rPr>
            </w:pPr>
            <w:r>
              <w:rPr>
                <w:rFonts w:ascii="Arial" w:cs="Arial" w:eastAsia="Arial" w:hAnsi="Arial"/>
                <w:sz w:val="18"/>
                <w:szCs w:val="18"/>
                <w:b w:val="1"/>
                <w:bCs w:val="1"/>
                <w:color w:val="auto"/>
              </w:rPr>
              <w:t>$</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(376,376)</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220" w:type="dxa"/>
            <w:vAlign w:val="bottom"/>
            <w:shd w:val="clear" w:color="auto" w:fill="CCEEFF"/>
          </w:tcPr>
          <w:p>
            <w:pPr>
              <w:spacing w:after="0"/>
              <w:rPr>
                <w:sz w:val="18"/>
                <w:szCs w:val="18"/>
                <w:color w:val="auto"/>
              </w:rPr>
            </w:pPr>
          </w:p>
        </w:tc>
        <w:tc>
          <w:tcPr>
            <w:tcW w:w="2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(366,309)</w:t>
            </w:r>
          </w:p>
        </w:tc>
        <w:tc>
          <w:tcPr>
            <w:tcW w:w="320" w:type="dxa"/>
            <w:vAlign w:val="bottom"/>
            <w:gridSpan w:val="2"/>
            <w:shd w:val="clear" w:color="auto" w:fill="CCEEFF"/>
          </w:tcPr>
          <w:p>
            <w:pPr>
              <w:ind w:left="120"/>
              <w:spacing w:after="0"/>
              <w:rPr>
                <w:sz w:val="20"/>
                <w:szCs w:val="20"/>
                <w:color w:val="auto"/>
              </w:rPr>
            </w:pPr>
            <w:r>
              <w:rPr>
                <w:rFonts w:ascii="Arial" w:cs="Arial" w:eastAsia="Arial" w:hAnsi="Arial"/>
                <w:sz w:val="18"/>
                <w:szCs w:val="18"/>
                <w:b w:val="1"/>
                <w:bCs w:val="1"/>
                <w:color w:val="auto"/>
              </w:rPr>
              <w:t>$</w:t>
            </w: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525</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563,770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20" w:type="dxa"/>
            <w:vAlign w:val="bottom"/>
          </w:tcPr>
          <w:p>
            <w:pPr>
              <w:spacing w:after="0"/>
              <w:rPr>
                <w:sz w:val="20"/>
                <w:szCs w:val="20"/>
                <w:color w:val="auto"/>
              </w:rPr>
            </w:pPr>
            <w:r>
              <w:rPr>
                <w:rFonts w:ascii="Arial" w:cs="Arial" w:eastAsia="Arial" w:hAnsi="Arial"/>
                <w:sz w:val="18"/>
                <w:szCs w:val="18"/>
                <w:color w:val="auto"/>
              </w:rPr>
              <w:t>Net income (loss)</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(26,822)</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148</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(26,674)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20" w:type="dxa"/>
            <w:vAlign w:val="bottom"/>
            <w:shd w:val="clear" w:color="auto" w:fill="CCEEFF"/>
          </w:tcPr>
          <w:p>
            <w:pPr>
              <w:spacing w:after="0"/>
              <w:rPr>
                <w:sz w:val="20"/>
                <w:szCs w:val="20"/>
                <w:color w:val="auto"/>
              </w:rPr>
            </w:pPr>
            <w:r>
              <w:rPr>
                <w:rFonts w:ascii="Arial" w:cs="Arial" w:eastAsia="Arial" w:hAnsi="Arial"/>
                <w:sz w:val="18"/>
                <w:szCs w:val="18"/>
                <w:color w:val="auto"/>
              </w:rPr>
              <w:t>Currency translation adjustment</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29,356</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29,399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20" w:type="dxa"/>
            <w:vAlign w:val="bottom"/>
          </w:tcPr>
          <w:p>
            <w:pPr>
              <w:spacing w:after="0"/>
              <w:rPr>
                <w:sz w:val="20"/>
                <w:szCs w:val="20"/>
                <w:color w:val="auto"/>
              </w:rPr>
            </w:pPr>
            <w:r>
              <w:rPr>
                <w:rFonts w:ascii="Arial" w:cs="Arial" w:eastAsia="Arial" w:hAnsi="Arial"/>
                <w:sz w:val="18"/>
                <w:szCs w:val="18"/>
                <w:color w:val="auto"/>
              </w:rPr>
              <w:t>Share-based compensation</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1,115</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(52)</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1,063</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29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 March 31, 2016</w:t>
            </w:r>
          </w:p>
        </w:tc>
        <w:tc>
          <w:tcPr>
            <w:tcW w:w="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2"/>
              </w:rPr>
              <w:t>1,307,045</w:t>
            </w:r>
          </w:p>
        </w:tc>
        <w:tc>
          <w:tcPr>
            <w:tcW w:w="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(403,198</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74"/>
              </w:rPr>
              <w:t>)</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(52)</w:t>
            </w:r>
          </w:p>
        </w:tc>
        <w:tc>
          <w:tcPr>
            <w:tcW w:w="2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(336,953)</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80" w:type="dxa"/>
            <w:vAlign w:val="bottom"/>
            <w:tcBorders>
              <w:top w:val="single" w:sz="8" w:color="auto"/>
              <w:bottom w:val="single" w:sz="8" w:color="auto"/>
            </w:tcBorders>
            <w:shd w:val="clear" w:color="auto" w:fill="CCEEFF"/>
          </w:tcPr>
          <w:p>
            <w:pPr>
              <w:spacing w:after="0"/>
              <w:rPr>
                <w:sz w:val="21"/>
                <w:szCs w:val="21"/>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716</w:t>
            </w:r>
          </w:p>
        </w:tc>
        <w:tc>
          <w:tcPr>
            <w:tcW w:w="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ind w:right="20"/>
              <w:spacing w:after="0"/>
              <w:rPr>
                <w:sz w:val="20"/>
                <w:szCs w:val="20"/>
                <w:color w:val="auto"/>
              </w:rPr>
            </w:pPr>
            <w:r>
              <w:rPr>
                <w:rFonts w:ascii="Arial" w:cs="Arial" w:eastAsia="Arial" w:hAnsi="Arial"/>
                <w:sz w:val="15"/>
                <w:szCs w:val="15"/>
                <w:b w:val="1"/>
                <w:bCs w:val="1"/>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567,558</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940" w:type="dxa"/>
            <w:vAlign w:val="bottom"/>
            <w:gridSpan w:val="2"/>
          </w:tcPr>
          <w:p>
            <w:pPr>
              <w:spacing w:after="0"/>
              <w:rPr>
                <w:sz w:val="17"/>
                <w:szCs w:val="17"/>
                <w:color w:val="auto"/>
              </w:rPr>
            </w:pPr>
          </w:p>
        </w:tc>
        <w:tc>
          <w:tcPr>
            <w:tcW w:w="280" w:type="dxa"/>
            <w:vAlign w:val="bottom"/>
            <w:gridSpan w:val="2"/>
          </w:tcPr>
          <w:p>
            <w:pPr>
              <w:spacing w:after="0"/>
              <w:rPr>
                <w:sz w:val="17"/>
                <w:szCs w:val="17"/>
                <w:color w:val="auto"/>
              </w:rPr>
            </w:pPr>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gridSpan w:val="2"/>
          </w:tcPr>
          <w:p>
            <w:pPr>
              <w:spacing w:after="0"/>
              <w:rPr>
                <w:sz w:val="17"/>
                <w:szCs w:val="17"/>
                <w:color w:val="auto"/>
              </w:rPr>
            </w:pPr>
          </w:p>
        </w:tc>
        <w:tc>
          <w:tcPr>
            <w:tcW w:w="360" w:type="dxa"/>
            <w:vAlign w:val="bottom"/>
            <w:gridSpan w:val="2"/>
          </w:tcPr>
          <w:p>
            <w:pPr>
              <w:spacing w:after="0"/>
              <w:rPr>
                <w:sz w:val="17"/>
                <w:szCs w:val="17"/>
                <w:color w:val="auto"/>
              </w:rPr>
            </w:pPr>
          </w:p>
        </w:tc>
        <w:tc>
          <w:tcPr>
            <w:tcW w:w="980" w:type="dxa"/>
            <w:vAlign w:val="bottom"/>
            <w:gridSpan w:val="2"/>
          </w:tcPr>
          <w:p>
            <w:pPr>
              <w:spacing w:after="0"/>
              <w:rPr>
                <w:sz w:val="17"/>
                <w:szCs w:val="17"/>
                <w:color w:val="auto"/>
              </w:rPr>
            </w:pPr>
          </w:p>
        </w:tc>
        <w:tc>
          <w:tcPr>
            <w:tcW w:w="160" w:type="dxa"/>
            <w:vAlign w:val="bottom"/>
            <w:gridSpan w:val="2"/>
          </w:tcPr>
          <w:p>
            <w:pPr>
              <w:spacing w:after="0"/>
              <w:rPr>
                <w:sz w:val="17"/>
                <w:szCs w:val="17"/>
                <w:color w:val="auto"/>
              </w:rPr>
            </w:pPr>
          </w:p>
        </w:tc>
        <w:tc>
          <w:tcPr>
            <w:tcW w:w="1000" w:type="dxa"/>
            <w:vAlign w:val="bottom"/>
            <w:gridSpan w:val="2"/>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gridSpan w:val="2"/>
          </w:tcPr>
          <w:p>
            <w:pPr>
              <w:spacing w:after="0"/>
              <w:rPr>
                <w:sz w:val="17"/>
                <w:szCs w:val="17"/>
                <w:color w:val="auto"/>
              </w:rPr>
            </w:pPr>
          </w:p>
        </w:tc>
        <w:tc>
          <w:tcPr>
            <w:tcW w:w="320" w:type="dxa"/>
            <w:vAlign w:val="bottom"/>
            <w:gridSpan w:val="2"/>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gridSpan w:val="2"/>
          </w:tcPr>
          <w:p>
            <w:pPr>
              <w:spacing w:after="0"/>
              <w:rPr>
                <w:sz w:val="17"/>
                <w:szCs w:val="17"/>
                <w:color w:val="auto"/>
              </w:rPr>
            </w:pPr>
          </w:p>
        </w:tc>
        <w:tc>
          <w:tcPr>
            <w:tcW w:w="260" w:type="dxa"/>
            <w:vAlign w:val="bottom"/>
            <w:gridSpan w:val="2"/>
          </w:tcPr>
          <w:p>
            <w:pPr>
              <w:spacing w:after="0"/>
              <w:rPr>
                <w:sz w:val="17"/>
                <w:szCs w:val="17"/>
                <w:color w:val="auto"/>
              </w:rPr>
            </w:pPr>
          </w:p>
        </w:tc>
        <w:tc>
          <w:tcPr>
            <w:tcW w:w="100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920" w:type="dxa"/>
            <w:vAlign w:val="bottom"/>
            <w:shd w:val="clear" w:color="auto" w:fill="CCEEFF"/>
          </w:tcPr>
          <w:p>
            <w:pPr>
              <w:spacing w:after="0"/>
              <w:rPr>
                <w:sz w:val="18"/>
                <w:szCs w:val="18"/>
                <w:color w:val="auto"/>
              </w:rPr>
            </w:pPr>
          </w:p>
        </w:tc>
        <w:tc>
          <w:tcPr>
            <w:tcW w:w="280" w:type="dxa"/>
            <w:vAlign w:val="bottom"/>
            <w:gridSpan w:val="2"/>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spacing w:after="0"/>
              <w:rPr>
                <w:sz w:val="18"/>
                <w:szCs w:val="18"/>
                <w:color w:val="auto"/>
              </w:rPr>
            </w:pPr>
          </w:p>
        </w:tc>
        <w:tc>
          <w:tcPr>
            <w:tcW w:w="360" w:type="dxa"/>
            <w:vAlign w:val="bottom"/>
            <w:gridSpan w:val="2"/>
            <w:shd w:val="clear" w:color="auto" w:fill="CCEEFF"/>
          </w:tcPr>
          <w:p>
            <w:pPr>
              <w:spacing w:after="0"/>
              <w:rPr>
                <w:sz w:val="18"/>
                <w:szCs w:val="18"/>
                <w:color w:val="auto"/>
              </w:rPr>
            </w:pPr>
          </w:p>
        </w:tc>
        <w:tc>
          <w:tcPr>
            <w:tcW w:w="980" w:type="dxa"/>
            <w:vAlign w:val="bottom"/>
            <w:gridSpan w:val="2"/>
            <w:shd w:val="clear" w:color="auto" w:fill="CCEEFF"/>
          </w:tcPr>
          <w:p>
            <w:pPr>
              <w:spacing w:after="0"/>
              <w:rPr>
                <w:sz w:val="18"/>
                <w:szCs w:val="18"/>
                <w:color w:val="auto"/>
              </w:rPr>
            </w:pPr>
          </w:p>
        </w:tc>
        <w:tc>
          <w:tcPr>
            <w:tcW w:w="160" w:type="dxa"/>
            <w:vAlign w:val="bottom"/>
            <w:gridSpan w:val="2"/>
            <w:shd w:val="clear" w:color="auto" w:fill="CCEEFF"/>
          </w:tcPr>
          <w:p>
            <w:pPr>
              <w:spacing w:after="0"/>
              <w:rPr>
                <w:sz w:val="18"/>
                <w:szCs w:val="18"/>
                <w:color w:val="auto"/>
              </w:rPr>
            </w:pPr>
          </w:p>
        </w:tc>
        <w:tc>
          <w:tcPr>
            <w:tcW w:w="1000" w:type="dxa"/>
            <w:vAlign w:val="bottom"/>
            <w:gridSpan w:val="2"/>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spacing w:after="0"/>
              <w:rPr>
                <w:sz w:val="18"/>
                <w:szCs w:val="18"/>
                <w:color w:val="auto"/>
              </w:rPr>
            </w:pPr>
          </w:p>
        </w:tc>
        <w:tc>
          <w:tcPr>
            <w:tcW w:w="320" w:type="dxa"/>
            <w:vAlign w:val="bottom"/>
            <w:gridSpan w:val="2"/>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spacing w:after="0"/>
              <w:rPr>
                <w:sz w:val="18"/>
                <w:szCs w:val="18"/>
                <w:color w:val="auto"/>
              </w:rPr>
            </w:pPr>
          </w:p>
        </w:tc>
        <w:tc>
          <w:tcPr>
            <w:tcW w:w="260" w:type="dxa"/>
            <w:vAlign w:val="bottom"/>
            <w:gridSpan w:val="2"/>
            <w:shd w:val="clear" w:color="auto" w:fill="CCEEFF"/>
          </w:tcPr>
          <w:p>
            <w:pPr>
              <w:spacing w:after="0"/>
              <w:rPr>
                <w:sz w:val="18"/>
                <w:szCs w:val="18"/>
                <w:color w:val="auto"/>
              </w:rPr>
            </w:pPr>
          </w:p>
        </w:tc>
        <w:tc>
          <w:tcPr>
            <w:tcW w:w="100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920" w:type="dxa"/>
            <w:vAlign w:val="bottom"/>
          </w:tcPr>
          <w:p>
            <w:pPr>
              <w:spacing w:after="0"/>
              <w:rPr>
                <w:sz w:val="20"/>
                <w:szCs w:val="20"/>
                <w:color w:val="auto"/>
              </w:rPr>
            </w:pPr>
            <w:r>
              <w:rPr>
                <w:rFonts w:ascii="Arial" w:cs="Arial" w:eastAsia="Arial" w:hAnsi="Arial"/>
                <w:sz w:val="18"/>
                <w:szCs w:val="18"/>
                <w:b w:val="1"/>
                <w:bCs w:val="1"/>
                <w:color w:val="auto"/>
              </w:rPr>
              <w:t>Balance, December 31, 2016</w:t>
            </w:r>
          </w:p>
        </w:tc>
        <w:tc>
          <w:tcPr>
            <w:tcW w:w="280" w:type="dxa"/>
            <w:vAlign w:val="bottom"/>
            <w:gridSpan w:val="2"/>
          </w:tcPr>
          <w:p>
            <w:pPr>
              <w:jc w:val="right"/>
              <w:ind w:right="30"/>
              <w:spacing w:after="0"/>
              <w:rPr>
                <w:sz w:val="20"/>
                <w:szCs w:val="20"/>
                <w:color w:val="auto"/>
              </w:rPr>
            </w:pPr>
            <w:r>
              <w:rPr>
                <w:rFonts w:ascii="Arial" w:cs="Arial" w:eastAsia="Arial" w:hAnsi="Arial"/>
                <w:sz w:val="18"/>
                <w:szCs w:val="18"/>
                <w:b w:val="1"/>
                <w:bCs w:val="1"/>
                <w:color w:val="auto"/>
              </w:rPr>
              <w:t>$</w:t>
            </w:r>
          </w:p>
        </w:tc>
        <w:tc>
          <w:tcPr>
            <w:tcW w:w="60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80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w w:val="92"/>
              </w:rPr>
              <w:t>1,311,226</w:t>
            </w:r>
          </w:p>
        </w:tc>
        <w:tc>
          <w:tcPr>
            <w:tcW w:w="360" w:type="dxa"/>
            <w:vAlign w:val="bottom"/>
            <w:gridSpan w:val="2"/>
          </w:tcPr>
          <w:p>
            <w:pPr>
              <w:ind w:left="180"/>
              <w:spacing w:after="0"/>
              <w:rPr>
                <w:sz w:val="20"/>
                <w:szCs w:val="20"/>
                <w:color w:val="auto"/>
              </w:rPr>
            </w:pPr>
            <w:r>
              <w:rPr>
                <w:rFonts w:ascii="Arial" w:cs="Arial" w:eastAsia="Arial" w:hAnsi="Arial"/>
                <w:sz w:val="18"/>
                <w:szCs w:val="18"/>
                <w:b w:val="1"/>
                <w:bCs w:val="1"/>
                <w:color w:val="auto"/>
              </w:rPr>
              <w:t>$</w:t>
            </w:r>
          </w:p>
        </w:tc>
        <w:tc>
          <w:tcPr>
            <w:tcW w:w="980" w:type="dxa"/>
            <w:vAlign w:val="bottom"/>
            <w:gridSpan w:val="2"/>
          </w:tcPr>
          <w:p>
            <w:pPr>
              <w:jc w:val="right"/>
              <w:spacing w:after="0"/>
              <w:rPr>
                <w:sz w:val="20"/>
                <w:szCs w:val="20"/>
                <w:color w:val="auto"/>
              </w:rPr>
            </w:pPr>
            <w:r>
              <w:rPr>
                <w:rFonts w:ascii="Arial" w:cs="Arial" w:eastAsia="Arial" w:hAnsi="Arial"/>
                <w:sz w:val="18"/>
                <w:szCs w:val="18"/>
                <w:b w:val="1"/>
                <w:bCs w:val="1"/>
                <w:color w:val="auto"/>
              </w:rPr>
              <w:t>(472,764)</w:t>
            </w:r>
          </w:p>
        </w:tc>
        <w:tc>
          <w:tcPr>
            <w:tcW w:w="16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100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(65)</w:t>
            </w:r>
          </w:p>
        </w:tc>
        <w:tc>
          <w:tcPr>
            <w:tcW w:w="240" w:type="dxa"/>
            <w:vAlign w:val="bottom"/>
            <w:gridSpan w:val="2"/>
          </w:tcPr>
          <w:p>
            <w:pPr>
              <w:spacing w:after="0"/>
              <w:rPr>
                <w:sz w:val="20"/>
                <w:szCs w:val="20"/>
                <w:color w:val="auto"/>
              </w:rPr>
            </w:pPr>
            <w:r>
              <w:rPr>
                <w:rFonts w:ascii="Arial" w:cs="Arial" w:eastAsia="Arial" w:hAnsi="Arial"/>
                <w:sz w:val="18"/>
                <w:szCs w:val="18"/>
                <w:b w:val="1"/>
                <w:bCs w:val="1"/>
                <w:color w:val="auto"/>
              </w:rPr>
              <w:t>$</w:t>
            </w:r>
          </w:p>
        </w:tc>
        <w:tc>
          <w:tcPr>
            <w:tcW w:w="104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(362,930)</w:t>
            </w:r>
          </w:p>
        </w:tc>
        <w:tc>
          <w:tcPr>
            <w:tcW w:w="320" w:type="dxa"/>
            <w:vAlign w:val="bottom"/>
            <w:gridSpan w:val="2"/>
          </w:tcPr>
          <w:p>
            <w:pPr>
              <w:ind w:left="120"/>
              <w:spacing w:after="0"/>
              <w:rPr>
                <w:sz w:val="20"/>
                <w:szCs w:val="20"/>
                <w:color w:val="auto"/>
              </w:rPr>
            </w:pPr>
            <w:r>
              <w:rPr>
                <w:rFonts w:ascii="Arial" w:cs="Arial" w:eastAsia="Arial" w:hAnsi="Arial"/>
                <w:sz w:val="18"/>
                <w:szCs w:val="18"/>
                <w:b w:val="1"/>
                <w:bCs w:val="1"/>
                <w:color w:val="auto"/>
              </w:rPr>
              <w:t>$</w:t>
            </w:r>
          </w:p>
        </w:tc>
        <w:tc>
          <w:tcPr>
            <w:tcW w:w="8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523</w:t>
            </w:r>
          </w:p>
        </w:tc>
        <w:tc>
          <w:tcPr>
            <w:tcW w:w="26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475,990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2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(20,987)</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121</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(20,866)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20" w:type="dxa"/>
            <w:vAlign w:val="bottom"/>
          </w:tcPr>
          <w:p>
            <w:pPr>
              <w:spacing w:after="0"/>
              <w:rPr>
                <w:sz w:val="20"/>
                <w:szCs w:val="20"/>
                <w:color w:val="auto"/>
              </w:rPr>
            </w:pPr>
            <w:r>
              <w:rPr>
                <w:rFonts w:ascii="Arial" w:cs="Arial" w:eastAsia="Arial" w:hAnsi="Arial"/>
                <w:sz w:val="18"/>
                <w:szCs w:val="18"/>
                <w:color w:val="auto"/>
              </w:rPr>
              <w:t>Currency translation adjustment</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17,687</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348</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18,035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20" w:type="dxa"/>
            <w:vAlign w:val="bottom"/>
            <w:shd w:val="clear" w:color="auto" w:fill="CCEEFF"/>
          </w:tcPr>
          <w:p>
            <w:pPr>
              <w:spacing w:after="0"/>
              <w:rPr>
                <w:sz w:val="20"/>
                <w:szCs w:val="20"/>
                <w:color w:val="auto"/>
              </w:rPr>
            </w:pPr>
            <w:r>
              <w:rPr>
                <w:rFonts w:ascii="Arial" w:cs="Arial" w:eastAsia="Arial" w:hAnsi="Arial"/>
                <w:sz w:val="18"/>
                <w:szCs w:val="18"/>
                <w:color w:val="auto"/>
              </w:rPr>
              <w:t>Dividends paid</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(868)</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(868)</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920" w:type="dxa"/>
            <w:vAlign w:val="bottom"/>
          </w:tcPr>
          <w:p>
            <w:pPr>
              <w:spacing w:after="0" w:line="201" w:lineRule="exact"/>
              <w:rPr>
                <w:sz w:val="20"/>
                <w:szCs w:val="20"/>
                <w:color w:val="auto"/>
              </w:rPr>
            </w:pPr>
            <w:r>
              <w:rPr>
                <w:rFonts w:ascii="Arial" w:cs="Arial" w:eastAsia="Arial" w:hAnsi="Arial"/>
                <w:sz w:val="18"/>
                <w:szCs w:val="18"/>
                <w:color w:val="auto"/>
                <w:w w:val="94"/>
              </w:rPr>
              <w:t>Cumulative effect of implementation of</w:t>
            </w: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920" w:type="dxa"/>
            <w:vAlign w:val="bottom"/>
          </w:tcPr>
          <w:p>
            <w:pPr>
              <w:ind w:left="160"/>
              <w:spacing w:after="0"/>
              <w:rPr>
                <w:sz w:val="20"/>
                <w:szCs w:val="20"/>
                <w:color w:val="auto"/>
              </w:rPr>
            </w:pPr>
            <w:r>
              <w:rPr>
                <w:rFonts w:ascii="Arial" w:cs="Arial" w:eastAsia="Arial" w:hAnsi="Arial"/>
                <w:sz w:val="18"/>
                <w:szCs w:val="18"/>
                <w:color w:val="auto"/>
              </w:rPr>
              <w:t>ASU 2016-09</w:t>
            </w: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636</w:t>
            </w: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(636)</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20" w:type="dxa"/>
            <w:vAlign w:val="bottom"/>
            <w:shd w:val="clear" w:color="auto" w:fill="CCEEFF"/>
          </w:tcPr>
          <w:p>
            <w:pPr>
              <w:spacing w:after="0"/>
              <w:rPr>
                <w:sz w:val="20"/>
                <w:szCs w:val="20"/>
                <w:color w:val="auto"/>
              </w:rPr>
            </w:pPr>
            <w:r>
              <w:rPr>
                <w:rFonts w:ascii="Arial" w:cs="Arial" w:eastAsia="Arial" w:hAnsi="Arial"/>
                <w:sz w:val="18"/>
                <w:szCs w:val="18"/>
                <w:color w:val="auto"/>
              </w:rPr>
              <w:t>Equity offering</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64,847</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64,847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20" w:type="dxa"/>
            <w:vAlign w:val="bottom"/>
          </w:tcPr>
          <w:p>
            <w:pPr>
              <w:spacing w:after="0"/>
              <w:rPr>
                <w:sz w:val="20"/>
                <w:szCs w:val="20"/>
                <w:color w:val="auto"/>
              </w:rPr>
            </w:pPr>
            <w:r>
              <w:rPr>
                <w:rFonts w:ascii="Arial" w:cs="Arial" w:eastAsia="Arial" w:hAnsi="Arial"/>
                <w:sz w:val="18"/>
                <w:szCs w:val="18"/>
                <w:color w:val="auto"/>
              </w:rPr>
              <w:t>Share-based compensation</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1,867</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(279)</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1,588</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29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 March 31, 2017</w:t>
            </w:r>
          </w:p>
        </w:tc>
        <w:tc>
          <w:tcPr>
            <w:tcW w:w="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2"/>
              </w:rPr>
              <w:t>1,378,576</w:t>
            </w:r>
          </w:p>
        </w:tc>
        <w:tc>
          <w:tcPr>
            <w:tcW w:w="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(494,387</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74"/>
              </w:rPr>
              <w:t>)</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(344)</w:t>
            </w:r>
          </w:p>
        </w:tc>
        <w:tc>
          <w:tcPr>
            <w:tcW w:w="2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(345,243)</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80" w:type="dxa"/>
            <w:vAlign w:val="bottom"/>
            <w:tcBorders>
              <w:top w:val="single" w:sz="8" w:color="auto"/>
              <w:bottom w:val="single" w:sz="8" w:color="auto"/>
            </w:tcBorders>
            <w:shd w:val="clear" w:color="auto" w:fill="CCEEFF"/>
          </w:tcPr>
          <w:p>
            <w:pPr>
              <w:spacing w:after="0"/>
              <w:rPr>
                <w:sz w:val="21"/>
                <w:szCs w:val="21"/>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124</w:t>
            </w:r>
          </w:p>
        </w:tc>
        <w:tc>
          <w:tcPr>
            <w:tcW w:w="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ind w:right="20"/>
              <w:spacing w:after="0"/>
              <w:rPr>
                <w:sz w:val="20"/>
                <w:szCs w:val="20"/>
                <w:color w:val="auto"/>
              </w:rPr>
            </w:pPr>
            <w:r>
              <w:rPr>
                <w:rFonts w:ascii="Arial" w:cs="Arial" w:eastAsia="Arial" w:hAnsi="Arial"/>
                <w:sz w:val="15"/>
                <w:szCs w:val="15"/>
                <w:b w:val="1"/>
                <w:bCs w:val="1"/>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538,726</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664"/>
        </w:trPr>
        <w:tc>
          <w:tcPr>
            <w:tcW w:w="2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gridSpan w:val="2"/>
          </w:tcPr>
          <w:p>
            <w:pPr>
              <w:jc w:val="center"/>
              <w:ind w:left="30"/>
              <w:spacing w:after="0"/>
              <w:rPr>
                <w:sz w:val="20"/>
                <w:szCs w:val="20"/>
                <w:color w:val="auto"/>
              </w:rPr>
            </w:pPr>
            <w:r>
              <w:rPr>
                <w:rFonts w:ascii="Arial" w:cs="Arial" w:eastAsia="Arial" w:hAnsi="Arial"/>
                <w:sz w:val="18"/>
                <w:szCs w:val="18"/>
                <w:b w:val="1"/>
                <w:bCs w:val="1"/>
                <w:color w:val="auto"/>
                <w:w w:val="92"/>
              </w:rPr>
              <w:t>Common</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center"/>
              <w:ind w:left="30"/>
              <w:spacing w:after="0"/>
              <w:rPr>
                <w:sz w:val="20"/>
                <w:szCs w:val="20"/>
                <w:color w:val="auto"/>
              </w:rPr>
            </w:pPr>
            <w:r>
              <w:rPr>
                <w:rFonts w:ascii="Arial" w:cs="Arial" w:eastAsia="Arial" w:hAnsi="Arial"/>
                <w:sz w:val="18"/>
                <w:szCs w:val="18"/>
                <w:b w:val="1"/>
                <w:bCs w:val="1"/>
                <w:color w:val="auto"/>
                <w:w w:val="89"/>
              </w:rPr>
              <w:t>Stock (in</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9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gridSpan w:val="2"/>
          </w:tcPr>
          <w:p>
            <w:pPr>
              <w:jc w:val="center"/>
              <w:ind w:left="30"/>
              <w:spacing w:after="0"/>
              <w:rPr>
                <w:sz w:val="20"/>
                <w:szCs w:val="20"/>
                <w:color w:val="auto"/>
              </w:rPr>
            </w:pPr>
            <w:r>
              <w:rPr>
                <w:rFonts w:ascii="Arial" w:cs="Arial" w:eastAsia="Arial" w:hAnsi="Arial"/>
                <w:sz w:val="18"/>
                <w:szCs w:val="18"/>
                <w:b w:val="1"/>
                <w:bCs w:val="1"/>
                <w:color w:val="auto"/>
                <w:w w:val="86"/>
              </w:rPr>
              <w:t>thousands)</w:t>
            </w:r>
          </w:p>
        </w:tc>
        <w:tc>
          <w:tcPr>
            <w:tcW w:w="1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9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December 31, 2016</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60" w:type="dxa"/>
            <w:vAlign w:val="bottom"/>
            <w:gridSpan w:val="4"/>
            <w:shd w:val="clear" w:color="auto" w:fill="CCEEFF"/>
          </w:tcPr>
          <w:p>
            <w:pPr>
              <w:jc w:val="right"/>
              <w:spacing w:after="0"/>
              <w:rPr>
                <w:sz w:val="20"/>
                <w:szCs w:val="20"/>
                <w:color w:val="auto"/>
              </w:rPr>
            </w:pPr>
            <w:r>
              <w:rPr>
                <w:rFonts w:ascii="Arial" w:cs="Arial" w:eastAsia="Arial" w:hAnsi="Arial"/>
                <w:sz w:val="18"/>
                <w:szCs w:val="18"/>
                <w:b w:val="1"/>
                <w:bCs w:val="1"/>
                <w:color w:val="auto"/>
              </w:rPr>
              <w:t>108,103</w:t>
            </w:r>
          </w:p>
        </w:tc>
        <w:tc>
          <w:tcPr>
            <w:tcW w:w="80" w:type="dxa"/>
            <w:vAlign w:val="bottom"/>
            <w:shd w:val="clear" w:color="auto" w:fill="CCEEFF"/>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20" w:type="dxa"/>
            <w:vAlign w:val="bottom"/>
          </w:tcPr>
          <w:p>
            <w:pPr>
              <w:spacing w:after="0"/>
              <w:rPr>
                <w:sz w:val="20"/>
                <w:szCs w:val="20"/>
                <w:color w:val="auto"/>
              </w:rPr>
            </w:pPr>
            <w:r>
              <w:rPr>
                <w:rFonts w:ascii="Arial" w:cs="Arial" w:eastAsia="Arial" w:hAnsi="Arial"/>
                <w:sz w:val="18"/>
                <w:szCs w:val="18"/>
                <w:color w:val="auto"/>
              </w:rPr>
              <w:t>Issuance of common shares</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gridSpan w:val="5"/>
          </w:tcPr>
          <w:p>
            <w:pPr>
              <w:jc w:val="right"/>
              <w:ind w:right="80"/>
              <w:spacing w:after="0"/>
              <w:rPr>
                <w:sz w:val="20"/>
                <w:szCs w:val="20"/>
                <w:color w:val="auto"/>
              </w:rPr>
            </w:pPr>
            <w:r>
              <w:rPr>
                <w:rFonts w:ascii="Arial" w:cs="Arial" w:eastAsia="Arial" w:hAnsi="Arial"/>
                <w:sz w:val="18"/>
                <w:szCs w:val="18"/>
                <w:color w:val="auto"/>
              </w:rPr>
              <w:t>23,000</w:t>
            </w: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Stock-based compensation.</w:t>
            </w:r>
          </w:p>
        </w:tc>
        <w:tc>
          <w:tcPr>
            <w:tcW w:w="6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6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3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9"/>
              </w:rPr>
              <w:t>906</w:t>
            </w:r>
          </w:p>
        </w:tc>
        <w:tc>
          <w:tcPr>
            <w:tcW w:w="80" w:type="dxa"/>
            <w:vAlign w:val="bottom"/>
            <w:tcBorders>
              <w:bottom w:val="single" w:sz="8" w:color="CCEEFF"/>
            </w:tcBorders>
            <w:shd w:val="clear" w:color="auto" w:fill="CCEEFF"/>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920" w:type="dxa"/>
            <w:vAlign w:val="bottom"/>
          </w:tcPr>
          <w:p>
            <w:pPr>
              <w:spacing w:after="0"/>
              <w:rPr>
                <w:sz w:val="20"/>
                <w:szCs w:val="20"/>
                <w:color w:val="auto"/>
              </w:rPr>
            </w:pPr>
            <w:r>
              <w:rPr>
                <w:rFonts w:ascii="Arial" w:cs="Arial" w:eastAsia="Arial" w:hAnsi="Arial"/>
                <w:sz w:val="18"/>
                <w:szCs w:val="18"/>
                <w:b w:val="1"/>
                <w:bCs w:val="1"/>
                <w:color w:val="auto"/>
              </w:rPr>
              <w:t>Balance, March 31, 2017</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rPr>
              <w:t>132,009</w:t>
            </w: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CIVEO CORPORATION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CONSOLIDATED STATEMENTS OF CASH FLOWS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8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300" w:type="dxa"/>
            <w:vAlign w:val="bottom"/>
            <w:gridSpan w:val="7"/>
          </w:tcPr>
          <w:p>
            <w:pPr>
              <w:jc w:val="right"/>
              <w:ind w:right="620"/>
              <w:spacing w:after="0"/>
              <w:rPr>
                <w:sz w:val="20"/>
                <w:szCs w:val="20"/>
                <w:color w:val="auto"/>
              </w:rPr>
            </w:pPr>
            <w:r>
              <w:rPr>
                <w:rFonts w:ascii="Arial" w:cs="Arial" w:eastAsia="Arial" w:hAnsi="Arial"/>
                <w:sz w:val="18"/>
                <w:szCs w:val="18"/>
                <w:b w:val="1"/>
                <w:bCs w:val="1"/>
                <w:color w:val="auto"/>
              </w:rPr>
              <w:t>THREE MONTHS ENDED</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8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gridSpan w:val="4"/>
          </w:tcPr>
          <w:p>
            <w:pPr>
              <w:jc w:val="right"/>
              <w:ind w:right="100"/>
              <w:spacing w:after="0"/>
              <w:rPr>
                <w:sz w:val="20"/>
                <w:szCs w:val="20"/>
                <w:color w:val="auto"/>
              </w:rPr>
            </w:pPr>
            <w:r>
              <w:rPr>
                <w:rFonts w:ascii="Arial" w:cs="Arial" w:eastAsia="Arial" w:hAnsi="Arial"/>
                <w:sz w:val="18"/>
                <w:szCs w:val="18"/>
                <w:b w:val="1"/>
                <w:bCs w:val="1"/>
                <w:color w:val="auto"/>
              </w:rPr>
              <w:t>MARCH 31,</w:t>
            </w:r>
          </w:p>
        </w:tc>
        <w:tc>
          <w:tcPr>
            <w:tcW w:w="10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8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2017</w:t>
            </w:r>
          </w:p>
        </w:tc>
        <w:tc>
          <w:tcPr>
            <w:tcW w:w="56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8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1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tcPr>
          <w:p>
            <w:pPr>
              <w:spacing w:after="0"/>
              <w:rPr>
                <w:sz w:val="20"/>
                <w:szCs w:val="20"/>
                <w:color w:val="auto"/>
              </w:rPr>
            </w:pPr>
            <w:r>
              <w:rPr>
                <w:rFonts w:ascii="Arial" w:cs="Arial" w:eastAsia="Arial" w:hAnsi="Arial"/>
                <w:sz w:val="18"/>
                <w:szCs w:val="18"/>
                <w:color w:val="auto"/>
              </w:rPr>
              <w:t>Net loss</w:t>
            </w:r>
          </w:p>
        </w:tc>
        <w:tc>
          <w:tcPr>
            <w:tcW w:w="2200" w:type="dxa"/>
            <w:vAlign w:val="bottom"/>
            <w:gridSpan w:val="2"/>
          </w:tcPr>
          <w:p>
            <w:pPr>
              <w:jc w:val="right"/>
              <w:ind w:right="75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80"/>
              <w:spacing w:after="0"/>
              <w:rPr>
                <w:sz w:val="20"/>
                <w:szCs w:val="20"/>
                <w:color w:val="auto"/>
              </w:rPr>
            </w:pPr>
            <w:r>
              <w:rPr>
                <w:rFonts w:ascii="Arial" w:cs="Arial" w:eastAsia="Arial" w:hAnsi="Arial"/>
                <w:sz w:val="18"/>
                <w:szCs w:val="18"/>
                <w:color w:val="auto"/>
                <w:w w:val="89"/>
              </w:rPr>
              <w:t>(20,866)</w:t>
            </w:r>
          </w:p>
        </w:tc>
        <w:tc>
          <w:tcPr>
            <w:tcW w:w="54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(26,674)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loss to net cash provided by operating activities:</w:t>
            </w:r>
          </w:p>
        </w:tc>
        <w:tc>
          <w:tcPr>
            <w:tcW w:w="1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tcPr>
          <w:p>
            <w:pPr>
              <w:ind w:left="160"/>
              <w:spacing w:after="0"/>
              <w:rPr>
                <w:sz w:val="20"/>
                <w:szCs w:val="20"/>
                <w:color w:val="auto"/>
              </w:rPr>
            </w:pPr>
            <w:r>
              <w:rPr>
                <w:rFonts w:ascii="Arial" w:cs="Arial" w:eastAsia="Arial" w:hAnsi="Arial"/>
                <w:sz w:val="18"/>
                <w:szCs w:val="18"/>
                <w:color w:val="auto"/>
              </w:rPr>
              <w:t>Depreciation and amortization</w:t>
            </w:r>
          </w:p>
        </w:tc>
        <w:tc>
          <w:tcPr>
            <w:tcW w:w="1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32,829</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33,555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Impairment charge</w:t>
            </w:r>
          </w:p>
        </w:tc>
        <w:tc>
          <w:tcPr>
            <w:tcW w:w="1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8,400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tcPr>
          <w:p>
            <w:pPr>
              <w:ind w:left="160"/>
              <w:spacing w:after="0"/>
              <w:rPr>
                <w:sz w:val="20"/>
                <w:szCs w:val="20"/>
                <w:color w:val="auto"/>
              </w:rPr>
            </w:pPr>
            <w:r>
              <w:rPr>
                <w:rFonts w:ascii="Arial" w:cs="Arial" w:eastAsia="Arial" w:hAnsi="Arial"/>
                <w:sz w:val="18"/>
                <w:szCs w:val="18"/>
                <w:color w:val="auto"/>
              </w:rPr>
              <w:t>Loss on extinguishment of debt</w:t>
            </w:r>
          </w:p>
        </w:tc>
        <w:tc>
          <w:tcPr>
            <w:tcW w:w="1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842</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302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Deferred income tax benefit</w:t>
            </w:r>
          </w:p>
        </w:tc>
        <w:tc>
          <w:tcPr>
            <w:tcW w:w="1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(3,120)</w:t>
            </w: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(7,592)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tcPr>
          <w:p>
            <w:pPr>
              <w:ind w:left="160"/>
              <w:spacing w:after="0"/>
              <w:rPr>
                <w:sz w:val="20"/>
                <w:szCs w:val="20"/>
                <w:color w:val="auto"/>
              </w:rPr>
            </w:pPr>
            <w:r>
              <w:rPr>
                <w:rFonts w:ascii="Arial" w:cs="Arial" w:eastAsia="Arial" w:hAnsi="Arial"/>
                <w:sz w:val="18"/>
                <w:szCs w:val="18"/>
                <w:color w:val="auto"/>
              </w:rPr>
              <w:t>Non-cash compensation charge</w:t>
            </w:r>
          </w:p>
        </w:tc>
        <w:tc>
          <w:tcPr>
            <w:tcW w:w="1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1,867</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1,115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Gains on disposals of assets</w:t>
            </w:r>
          </w:p>
        </w:tc>
        <w:tc>
          <w:tcPr>
            <w:tcW w:w="1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(416)</w:t>
            </w: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tcPr>
          <w:p>
            <w:pPr>
              <w:ind w:left="160"/>
              <w:spacing w:after="0"/>
              <w:rPr>
                <w:sz w:val="20"/>
                <w:szCs w:val="20"/>
                <w:color w:val="auto"/>
              </w:rPr>
            </w:pPr>
            <w:r>
              <w:rPr>
                <w:rFonts w:ascii="Arial" w:cs="Arial" w:eastAsia="Arial" w:hAnsi="Arial"/>
                <w:sz w:val="18"/>
                <w:szCs w:val="18"/>
                <w:color w:val="auto"/>
              </w:rPr>
              <w:t>Provision for loss on receivables, net of recoveries</w:t>
            </w:r>
          </w:p>
        </w:tc>
        <w:tc>
          <w:tcPr>
            <w:tcW w:w="1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8"/>
                <w:szCs w:val="18"/>
                <w:color w:val="auto"/>
              </w:rPr>
              <w:t>(60)</w:t>
            </w: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(135)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Other, net</w:t>
            </w:r>
          </w:p>
        </w:tc>
        <w:tc>
          <w:tcPr>
            <w:tcW w:w="1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795</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tcPr>
          <w:p>
            <w:pPr>
              <w:ind w:left="160"/>
              <w:spacing w:after="0"/>
              <w:rPr>
                <w:sz w:val="20"/>
                <w:szCs w:val="20"/>
                <w:color w:val="auto"/>
              </w:rPr>
            </w:pPr>
            <w:r>
              <w:rPr>
                <w:rFonts w:ascii="Arial" w:cs="Arial" w:eastAsia="Arial" w:hAnsi="Arial"/>
                <w:sz w:val="18"/>
                <w:szCs w:val="18"/>
                <w:color w:val="auto"/>
              </w:rPr>
              <w:t>Changes in operating assets and liabilities:</w:t>
            </w:r>
          </w:p>
        </w:tc>
        <w:tc>
          <w:tcPr>
            <w:tcW w:w="1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Accounts receivable</w:t>
            </w:r>
          </w:p>
        </w:tc>
        <w:tc>
          <w:tcPr>
            <w:tcW w:w="1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3,258</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tcPr>
          <w:p>
            <w:pPr>
              <w:ind w:left="320"/>
              <w:spacing w:after="0"/>
              <w:rPr>
                <w:sz w:val="20"/>
                <w:szCs w:val="20"/>
                <w:color w:val="auto"/>
              </w:rPr>
            </w:pPr>
            <w:r>
              <w:rPr>
                <w:rFonts w:ascii="Arial" w:cs="Arial" w:eastAsia="Arial" w:hAnsi="Arial"/>
                <w:sz w:val="18"/>
                <w:szCs w:val="18"/>
                <w:color w:val="auto"/>
              </w:rPr>
              <w:t>Inventories</w:t>
            </w:r>
          </w:p>
        </w:tc>
        <w:tc>
          <w:tcPr>
            <w:tcW w:w="1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8"/>
                <w:szCs w:val="18"/>
                <w:color w:val="auto"/>
              </w:rPr>
              <w:t>(440)</w:t>
            </w: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792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Accounts payable and accrued liabilities</w:t>
            </w:r>
          </w:p>
        </w:tc>
        <w:tc>
          <w:tcPr>
            <w:tcW w:w="1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(4,521)</w:t>
            </w: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tcPr>
          <w:p>
            <w:pPr>
              <w:ind w:left="320"/>
              <w:spacing w:after="0"/>
              <w:rPr>
                <w:sz w:val="20"/>
                <w:szCs w:val="20"/>
                <w:color w:val="auto"/>
              </w:rPr>
            </w:pPr>
            <w:r>
              <w:rPr>
                <w:rFonts w:ascii="Arial" w:cs="Arial" w:eastAsia="Arial" w:hAnsi="Arial"/>
                <w:sz w:val="18"/>
                <w:szCs w:val="18"/>
                <w:color w:val="auto"/>
              </w:rPr>
              <w:t>Taxes payable</w:t>
            </w:r>
          </w:p>
        </w:tc>
        <w:tc>
          <w:tcPr>
            <w:tcW w:w="1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320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(2,395)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Other current assets and liabilities, net</w:t>
            </w:r>
          </w:p>
        </w:tc>
        <w:tc>
          <w:tcPr>
            <w:tcW w:w="1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(640)</w:t>
            </w: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(1,184)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84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Net cash flows provided by operating activities</w:t>
            </w:r>
          </w:p>
        </w:tc>
        <w:tc>
          <w:tcPr>
            <w:tcW w:w="1260" w:type="dxa"/>
            <w:vAlign w:val="bottom"/>
            <w:tcBorders>
              <w:top w:val="single" w:sz="8" w:color="CCEEFF"/>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9,848</w:t>
            </w: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11,330</w:t>
            </w: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8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40" w:type="dxa"/>
            <w:vAlign w:val="bottom"/>
          </w:tcPr>
          <w:p>
            <w:pPr>
              <w:spacing w:after="0"/>
              <w:rPr>
                <w:sz w:val="20"/>
                <w:szCs w:val="20"/>
                <w:color w:val="auto"/>
              </w:rPr>
            </w:pPr>
            <w:r>
              <w:rPr>
                <w:rFonts w:ascii="Arial" w:cs="Arial" w:eastAsia="Arial" w:hAnsi="Arial"/>
                <w:sz w:val="18"/>
                <w:szCs w:val="18"/>
                <w:color w:val="auto"/>
              </w:rPr>
              <w:t>Cash flows from investing activities:</w:t>
            </w:r>
          </w:p>
        </w:tc>
        <w:tc>
          <w:tcPr>
            <w:tcW w:w="1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Capital expenditures, including capitalized interest</w:t>
            </w:r>
          </w:p>
        </w:tc>
        <w:tc>
          <w:tcPr>
            <w:tcW w:w="1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(3,883)</w:t>
            </w: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(4,761)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tcPr>
          <w:p>
            <w:pPr>
              <w:ind w:left="160"/>
              <w:spacing w:after="0"/>
              <w:rPr>
                <w:sz w:val="20"/>
                <w:szCs w:val="20"/>
                <w:color w:val="auto"/>
              </w:rPr>
            </w:pPr>
            <w:r>
              <w:rPr>
                <w:rFonts w:ascii="Arial" w:cs="Arial" w:eastAsia="Arial" w:hAnsi="Arial"/>
                <w:sz w:val="18"/>
                <w:szCs w:val="18"/>
                <w:color w:val="auto"/>
              </w:rPr>
              <w:t>Proceeds from disposition of property, plant and equipment</w:t>
            </w:r>
          </w:p>
        </w:tc>
        <w:tc>
          <w:tcPr>
            <w:tcW w:w="1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578</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1,599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Other, net</w:t>
            </w:r>
          </w:p>
        </w:tc>
        <w:tc>
          <w:tcPr>
            <w:tcW w:w="1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(302)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40" w:type="dxa"/>
            <w:vAlign w:val="bottom"/>
            <w:shd w:val="clear" w:color="auto" w:fill="CCEEFF"/>
          </w:tcPr>
          <w:p>
            <w:pPr>
              <w:spacing w:after="0" w:line="20" w:lineRule="exact"/>
              <w:rPr>
                <w:sz w:val="1"/>
                <w:szCs w:val="1"/>
                <w:color w:val="auto"/>
              </w:rPr>
            </w:pPr>
          </w:p>
        </w:tc>
        <w:tc>
          <w:tcPr>
            <w:tcW w:w="1260" w:type="dxa"/>
            <w:vAlign w:val="bottom"/>
            <w:shd w:val="clear" w:color="auto" w:fill="CCEEFF"/>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840" w:type="dxa"/>
            <w:vAlign w:val="bottom"/>
          </w:tcPr>
          <w:p>
            <w:pPr>
              <w:ind w:left="320"/>
              <w:spacing w:after="0"/>
              <w:rPr>
                <w:sz w:val="20"/>
                <w:szCs w:val="20"/>
                <w:color w:val="auto"/>
              </w:rPr>
            </w:pPr>
            <w:r>
              <w:rPr>
                <w:rFonts w:ascii="Arial" w:cs="Arial" w:eastAsia="Arial" w:hAnsi="Arial"/>
                <w:sz w:val="18"/>
                <w:szCs w:val="18"/>
                <w:color w:val="auto"/>
              </w:rPr>
              <w:t>Net cash flows used in investing activities</w:t>
            </w:r>
          </w:p>
        </w:tc>
        <w:tc>
          <w:tcPr>
            <w:tcW w:w="1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8"/>
                <w:szCs w:val="18"/>
                <w:color w:val="auto"/>
              </w:rPr>
              <w:t>(3,305)</w:t>
            </w: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(3,464)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8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40" w:type="dxa"/>
            <w:vAlign w:val="bottom"/>
          </w:tcPr>
          <w:p>
            <w:pPr>
              <w:spacing w:after="0"/>
              <w:rPr>
                <w:sz w:val="20"/>
                <w:szCs w:val="20"/>
                <w:color w:val="auto"/>
              </w:rPr>
            </w:pPr>
            <w:r>
              <w:rPr>
                <w:rFonts w:ascii="Arial" w:cs="Arial" w:eastAsia="Arial" w:hAnsi="Arial"/>
                <w:sz w:val="18"/>
                <w:szCs w:val="18"/>
                <w:color w:val="auto"/>
              </w:rPr>
              <w:t>Cash flows from financing activities:</w:t>
            </w:r>
          </w:p>
        </w:tc>
        <w:tc>
          <w:tcPr>
            <w:tcW w:w="1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Proceeds from issuance of common shares, net</w:t>
            </w:r>
          </w:p>
        </w:tc>
        <w:tc>
          <w:tcPr>
            <w:tcW w:w="1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64,847</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tcPr>
          <w:p>
            <w:pPr>
              <w:ind w:left="160"/>
              <w:spacing w:after="0"/>
              <w:rPr>
                <w:sz w:val="20"/>
                <w:szCs w:val="20"/>
                <w:color w:val="auto"/>
              </w:rPr>
            </w:pPr>
            <w:r>
              <w:rPr>
                <w:rFonts w:ascii="Arial" w:cs="Arial" w:eastAsia="Arial" w:hAnsi="Arial"/>
                <w:sz w:val="18"/>
                <w:szCs w:val="18"/>
                <w:color w:val="auto"/>
              </w:rPr>
              <w:t>Revolving credit borrowings</w:t>
            </w:r>
          </w:p>
        </w:tc>
        <w:tc>
          <w:tcPr>
            <w:tcW w:w="1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34,904</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117,106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Revolving credit repayments</w:t>
            </w:r>
          </w:p>
        </w:tc>
        <w:tc>
          <w:tcPr>
            <w:tcW w:w="1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9"/>
              </w:rPr>
              <w:t>(74,868)</w:t>
            </w: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(99,021)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tcPr>
          <w:p>
            <w:pPr>
              <w:ind w:left="160"/>
              <w:spacing w:after="0"/>
              <w:rPr>
                <w:sz w:val="20"/>
                <w:szCs w:val="20"/>
                <w:color w:val="auto"/>
              </w:rPr>
            </w:pPr>
            <w:r>
              <w:rPr>
                <w:rFonts w:ascii="Arial" w:cs="Arial" w:eastAsia="Arial" w:hAnsi="Arial"/>
                <w:sz w:val="18"/>
                <w:szCs w:val="18"/>
                <w:color w:val="auto"/>
              </w:rPr>
              <w:t>Term loan repayments</w:t>
            </w:r>
          </w:p>
        </w:tc>
        <w:tc>
          <w:tcPr>
            <w:tcW w:w="1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8"/>
                <w:szCs w:val="18"/>
                <w:color w:val="auto"/>
              </w:rPr>
              <w:t>(3,947)</w:t>
            </w: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(29,055)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Debt issuance costs</w:t>
            </w:r>
          </w:p>
        </w:tc>
        <w:tc>
          <w:tcPr>
            <w:tcW w:w="1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(1,772)</w:t>
            </w: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tcPr>
          <w:p>
            <w:pPr>
              <w:ind w:left="160"/>
              <w:spacing w:after="0"/>
              <w:rPr>
                <w:sz w:val="20"/>
                <w:szCs w:val="20"/>
                <w:color w:val="auto"/>
              </w:rPr>
            </w:pPr>
            <w:r>
              <w:rPr>
                <w:rFonts w:ascii="Arial" w:cs="Arial" w:eastAsia="Arial" w:hAnsi="Arial"/>
                <w:sz w:val="18"/>
                <w:szCs w:val="18"/>
                <w:color w:val="auto"/>
              </w:rPr>
              <w:t>Other, net</w:t>
            </w:r>
          </w:p>
        </w:tc>
        <w:tc>
          <w:tcPr>
            <w:tcW w:w="1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8"/>
                <w:szCs w:val="18"/>
                <w:color w:val="auto"/>
              </w:rPr>
              <w:t>(279)</w:t>
            </w: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8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Net cash flows provided by (used in) financing activities</w:t>
            </w:r>
          </w:p>
        </w:tc>
        <w:tc>
          <w:tcPr>
            <w:tcW w:w="1260" w:type="dxa"/>
            <w:vAlign w:val="bottom"/>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18,885</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(13,057)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8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0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2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Effect of exchange rate changes on cash</w:t>
            </w:r>
          </w:p>
        </w:tc>
        <w:tc>
          <w:tcPr>
            <w:tcW w:w="1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(77)</w:t>
            </w: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322</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840" w:type="dxa"/>
            <w:vAlign w:val="bottom"/>
            <w:shd w:val="clear" w:color="auto" w:fill="CCEEFF"/>
          </w:tcPr>
          <w:p>
            <w:pPr>
              <w:spacing w:after="0" w:line="20" w:lineRule="exact"/>
              <w:rPr>
                <w:sz w:val="1"/>
                <w:szCs w:val="1"/>
                <w:color w:val="auto"/>
              </w:rPr>
            </w:pPr>
          </w:p>
        </w:tc>
        <w:tc>
          <w:tcPr>
            <w:tcW w:w="1260" w:type="dxa"/>
            <w:vAlign w:val="bottom"/>
            <w:shd w:val="clear" w:color="auto" w:fill="CCEEFF"/>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6840" w:type="dxa"/>
            <w:vAlign w:val="bottom"/>
          </w:tcPr>
          <w:p>
            <w:pPr>
              <w:spacing w:after="0"/>
              <w:rPr>
                <w:sz w:val="20"/>
                <w:szCs w:val="20"/>
                <w:color w:val="auto"/>
              </w:rPr>
            </w:pPr>
            <w:r>
              <w:rPr>
                <w:rFonts w:ascii="Arial" w:cs="Arial" w:eastAsia="Arial" w:hAnsi="Arial"/>
                <w:sz w:val="18"/>
                <w:szCs w:val="18"/>
                <w:color w:val="auto"/>
              </w:rPr>
              <w:t>Net change in cash and cash equivalents</w:t>
            </w:r>
          </w:p>
        </w:tc>
        <w:tc>
          <w:tcPr>
            <w:tcW w:w="1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25,351</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(4,869)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and cash equivalents, beginning of period</w:t>
            </w:r>
          </w:p>
        </w:tc>
        <w:tc>
          <w:tcPr>
            <w:tcW w:w="126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1,785</w:t>
            </w: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7,837</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840" w:type="dxa"/>
            <w:vAlign w:val="bottom"/>
          </w:tcPr>
          <w:p>
            <w:pPr>
              <w:spacing w:after="0"/>
              <w:rPr>
                <w:sz w:val="18"/>
                <w:szCs w:val="18"/>
                <w:color w:val="auto"/>
              </w:rPr>
            </w:pPr>
          </w:p>
        </w:tc>
        <w:tc>
          <w:tcPr>
            <w:tcW w:w="2200" w:type="dxa"/>
            <w:vAlign w:val="bottom"/>
            <w:gridSpan w:val="2"/>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gridSpan w:val="2"/>
          </w:tcPr>
          <w:p>
            <w:pPr>
              <w:spacing w:after="0"/>
              <w:rPr>
                <w:sz w:val="18"/>
                <w:szCs w:val="18"/>
                <w:color w:val="auto"/>
              </w:rPr>
            </w:pPr>
          </w:p>
        </w:tc>
        <w:tc>
          <w:tcPr>
            <w:tcW w:w="112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20" w:type="dxa"/>
            <w:vAlign w:val="bottom"/>
            <w:vMerge w:val="continue"/>
          </w:tcPr>
          <w:p>
            <w:pPr>
              <w:spacing w:after="0"/>
              <w:rPr>
                <w:sz w:val="20"/>
                <w:szCs w:val="20"/>
                <w:color w:val="auto"/>
              </w:rPr>
            </w:pPr>
          </w:p>
        </w:tc>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end of period</w:t>
            </w:r>
          </w:p>
        </w:tc>
        <w:tc>
          <w:tcPr>
            <w:tcW w:w="1260" w:type="dxa"/>
            <w:vAlign w:val="bottom"/>
            <w:shd w:val="clear" w:color="auto" w:fill="CCEEFF"/>
          </w:tcPr>
          <w:p>
            <w:pPr>
              <w:spacing w:after="0"/>
              <w:rPr>
                <w:sz w:val="20"/>
                <w:szCs w:val="20"/>
                <w:color w:val="auto"/>
              </w:rPr>
            </w:pPr>
          </w:p>
        </w:tc>
        <w:tc>
          <w:tcPr>
            <w:tcW w:w="940" w:type="dxa"/>
            <w:vAlign w:val="bottom"/>
            <w:shd w:val="clear" w:color="auto" w:fill="CCEEFF"/>
          </w:tcPr>
          <w:p>
            <w:pPr>
              <w:jc w:val="right"/>
              <w:ind w:right="750"/>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27,136</w:t>
            </w:r>
          </w:p>
        </w:tc>
        <w:tc>
          <w:tcPr>
            <w:tcW w:w="140" w:type="dxa"/>
            <w:vAlign w:val="bottom"/>
            <w:shd w:val="clear" w:color="auto" w:fill="CCEEFF"/>
          </w:tcPr>
          <w:p>
            <w:pPr>
              <w:spacing w:after="0"/>
              <w:rPr>
                <w:sz w:val="20"/>
                <w:szCs w:val="20"/>
                <w:color w:val="auto"/>
              </w:rPr>
            </w:pPr>
          </w:p>
        </w:tc>
        <w:tc>
          <w:tcPr>
            <w:tcW w:w="5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2,968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40" w:type="dxa"/>
            <w:vAlign w:val="bottom"/>
            <w:tcBorders>
              <w:top w:val="single" w:sz="8" w:color="CCEEFF"/>
            </w:tcBorders>
            <w:shd w:val="clear" w:color="auto" w:fill="CCEEFF"/>
          </w:tcPr>
          <w:p>
            <w:pPr>
              <w:spacing w:after="0" w:line="20" w:lineRule="exact"/>
              <w:rPr>
                <w:sz w:val="1"/>
                <w:szCs w:val="1"/>
                <w:color w:val="auto"/>
              </w:rPr>
            </w:pPr>
          </w:p>
        </w:tc>
        <w:tc>
          <w:tcPr>
            <w:tcW w:w="126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7" w:name="page8"/>
    <w:bookmarkEnd w:id="7"/>
    <w:p>
      <w:pPr>
        <w:jc w:val="center"/>
        <w:ind w:right="-19"/>
        <w:spacing w:after="0"/>
        <w:rPr>
          <w:sz w:val="20"/>
          <w:szCs w:val="20"/>
          <w:color w:val="auto"/>
        </w:rPr>
      </w:pPr>
      <w:r>
        <w:rPr>
          <w:rFonts w:ascii="Arial" w:cs="Arial" w:eastAsia="Arial" w:hAnsi="Arial"/>
          <w:sz w:val="18"/>
          <w:szCs w:val="18"/>
          <w:b w:val="1"/>
          <w:bCs w:val="1"/>
          <w:color w:val="auto"/>
        </w:rPr>
        <w:t>CIVEO CORPORATION</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UNAUDITED CONSOLIDATED</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FINANCIAL STATEMENTS</w:t>
      </w:r>
    </w:p>
    <w:p>
      <w:pPr>
        <w:spacing w:after="0" w:line="207" w:lineRule="exact"/>
        <w:rPr>
          <w:sz w:val="20"/>
          <w:szCs w:val="20"/>
          <w:color w:val="auto"/>
        </w:rPr>
      </w:pPr>
    </w:p>
    <w:p>
      <w:pPr>
        <w:ind w:left="340" w:hanging="332"/>
        <w:spacing w:after="0"/>
        <w:tabs>
          <w:tab w:leader="none" w:pos="34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DESCRIPTION OF BUSINESS AND BASIS OF PRESENTATION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Description of the Business and Certain Recent Developments</w:t>
      </w:r>
    </w:p>
    <w:p>
      <w:pPr>
        <w:spacing w:after="0" w:line="225" w:lineRule="exact"/>
        <w:rPr>
          <w:sz w:val="20"/>
          <w:szCs w:val="20"/>
          <w:color w:val="auto"/>
        </w:rPr>
      </w:pPr>
    </w:p>
    <w:p>
      <w:pPr>
        <w:ind w:right="20" w:firstLine="324"/>
        <w:spacing w:after="0" w:line="255" w:lineRule="auto"/>
        <w:rPr>
          <w:sz w:val="20"/>
          <w:szCs w:val="20"/>
          <w:color w:val="auto"/>
        </w:rPr>
      </w:pPr>
      <w:r>
        <w:rPr>
          <w:rFonts w:ascii="Arial" w:cs="Arial" w:eastAsia="Arial" w:hAnsi="Arial"/>
          <w:sz w:val="18"/>
          <w:szCs w:val="18"/>
          <w:color w:val="auto"/>
        </w:rPr>
        <w:t>We are one of the largest integrated providers of workforce accommodations, logistics and facility management services to the natural resource industry. Our scalable modular facilities provide long-term and temporary accommodations where traditional accommodations and related infrastructure is insufficient, inaccessible or not cost effective. Once facilities are deployed in the field, we also provide catering and food services, housekeeping, laundry, facility management, water and wastewater treatment, power generation, communications and redeployment logistics. Our accommodations support our customers’ employees and contractors in the Canadian oil sands and in a variety of oil and natural gas drilling, mining and related natural resource applications as well as disaster relief efforts, primarily in Canada, Australia and the United States. We operate in three principal reportable business segments – Canada, Australia and U.S.</w:t>
      </w:r>
    </w:p>
    <w:p>
      <w:pPr>
        <w:spacing w:after="0" w:line="189" w:lineRule="exact"/>
        <w:rPr>
          <w:sz w:val="20"/>
          <w:szCs w:val="20"/>
          <w:color w:val="auto"/>
        </w:rPr>
      </w:pPr>
    </w:p>
    <w:p>
      <w:pPr>
        <w:jc w:val="both"/>
        <w:ind w:right="40" w:firstLine="259"/>
        <w:spacing w:after="0" w:line="264" w:lineRule="auto"/>
        <w:rPr>
          <w:sz w:val="20"/>
          <w:szCs w:val="20"/>
          <w:color w:val="auto"/>
        </w:rPr>
      </w:pPr>
      <w:r>
        <w:rPr>
          <w:rFonts w:ascii="Arial" w:cs="Arial" w:eastAsia="Arial" w:hAnsi="Arial"/>
          <w:sz w:val="18"/>
          <w:szCs w:val="18"/>
          <w:color w:val="auto"/>
        </w:rPr>
        <w:t>On February 7, 2017, we closed a public offering of 23,000,000 common shares at $3.00 per share. We used a portion of the net proceeds of $64.8 million from the offering to repay amounts outstanding under several revolving credit facilities provided by our primary credit agreement (the Credit Agreement) and expect to use the remaining proceeds for general corporate purposes.</w:t>
      </w:r>
    </w:p>
    <w:p>
      <w:pPr>
        <w:spacing w:after="0" w:line="181" w:lineRule="exact"/>
        <w:rPr>
          <w:sz w:val="20"/>
          <w:szCs w:val="20"/>
          <w:color w:val="auto"/>
        </w:rPr>
      </w:pPr>
    </w:p>
    <w:p>
      <w:pPr>
        <w:ind w:right="440" w:firstLine="324"/>
        <w:spacing w:after="0" w:line="312" w:lineRule="auto"/>
        <w:rPr>
          <w:sz w:val="20"/>
          <w:szCs w:val="20"/>
          <w:color w:val="auto"/>
        </w:rPr>
      </w:pPr>
      <w:r>
        <w:rPr>
          <w:rFonts w:ascii="Arial" w:cs="Arial" w:eastAsia="Arial" w:hAnsi="Arial"/>
          <w:sz w:val="16"/>
          <w:szCs w:val="16"/>
          <w:color w:val="auto"/>
        </w:rPr>
        <w:t>On February 17, 2017, the third amendment to the Credit Agreement (as so amended, the Amended Credit Agreement) became effective, which: (i) reduced the aggregate revolving loan commitments; (ii) added one additional level to the total leverage-based grid for determining interest rates; and (iii) increased the maximum leverage ratio allowed under the Amended Credit Agreement. For further information, please see Note 7 – Debt.</w:t>
      </w:r>
    </w:p>
    <w:p>
      <w:pPr>
        <w:spacing w:after="0" w:line="147" w:lineRule="exact"/>
        <w:rPr>
          <w:sz w:val="20"/>
          <w:szCs w:val="20"/>
          <w:color w:val="auto"/>
        </w:rPr>
      </w:pPr>
    </w:p>
    <w:p>
      <w:pPr>
        <w:ind w:right="80" w:firstLine="324"/>
        <w:spacing w:after="0" w:line="259" w:lineRule="auto"/>
        <w:rPr>
          <w:sz w:val="20"/>
          <w:szCs w:val="20"/>
          <w:color w:val="auto"/>
        </w:rPr>
      </w:pPr>
      <w:r>
        <w:rPr>
          <w:rFonts w:ascii="Arial" w:cs="Arial" w:eastAsia="Arial" w:hAnsi="Arial"/>
          <w:sz w:val="18"/>
          <w:szCs w:val="18"/>
          <w:color w:val="auto"/>
        </w:rPr>
        <w:t>During the quarter ended March 31, 2017, we incurred costs related to the third amendment to the Credit Agreement totaling $1.8 million, of which $1.7 million has been capitalized as debt issuance costs, and the remaining $0.1 million was included in interest expense. During the quarter ended March 31, 2016, we incurred costs related to a prior amendment to the Credit Agreement totaling $2.1 million, of which $2.0 million has been capitalized as debt issuance costs, and the remaining $0.1 million was included in interest expense.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225" w:lineRule="exact"/>
        <w:rPr>
          <w:sz w:val="20"/>
          <w:szCs w:val="20"/>
          <w:color w:val="auto"/>
        </w:rPr>
      </w:pPr>
    </w:p>
    <w:p>
      <w:pPr>
        <w:ind w:right="260" w:firstLine="324"/>
        <w:spacing w:after="0" w:line="308" w:lineRule="auto"/>
        <w:rPr>
          <w:sz w:val="20"/>
          <w:szCs w:val="20"/>
          <w:color w:val="auto"/>
        </w:rPr>
      </w:pPr>
      <w:r>
        <w:rPr>
          <w:rFonts w:ascii="Arial" w:cs="Arial" w:eastAsia="Arial" w:hAnsi="Arial"/>
          <w:sz w:val="17"/>
          <w:szCs w:val="17"/>
          <w:color w:val="auto"/>
        </w:rPr>
        <w:t>Unless otherwise stated or the context otherwise indicates: (i) all references in these consolidated financial statements to “Civeo,” “us,” “our” or “we” refer to Civeo Corporation and its consolidated subsidiaries; and (ii) all references in this report to “dollars” or “$” are to U.S. dollars.</w:t>
      </w:r>
    </w:p>
    <w:p>
      <w:pPr>
        <w:spacing w:after="0" w:line="147" w:lineRule="exact"/>
        <w:rPr>
          <w:sz w:val="20"/>
          <w:szCs w:val="20"/>
          <w:color w:val="auto"/>
        </w:rPr>
      </w:pPr>
    </w:p>
    <w:p>
      <w:pPr>
        <w:ind w:firstLine="324"/>
        <w:spacing w:after="0" w:line="273" w:lineRule="auto"/>
        <w:rPr>
          <w:sz w:val="20"/>
          <w:szCs w:val="20"/>
          <w:color w:val="auto"/>
        </w:rPr>
      </w:pPr>
      <w:r>
        <w:rPr>
          <w:rFonts w:ascii="Arial" w:cs="Arial" w:eastAsia="Arial" w:hAnsi="Arial"/>
          <w:sz w:val="17"/>
          <w:szCs w:val="17"/>
          <w:color w:val="auto"/>
        </w:rPr>
        <w:t>The accompanying unaudited consolidated financial statements of Civeo have been prepared pursuant to the rules and regulations of the Securities and Exchange Commission (the SEC) pertaining to interim financial information. Certain information in footnote disclosures normally included in financial statements prepared in accordance with Generally Accepted Accounting Principles (GAAP) has been condensed or omitted pursuant to those rules and regulations. The unaudited financial statements included in this report reflect all the adjustments, consisting of normal recurring adjustments, which Civeo considers necessary for a fair presentation of the results of operations for the interim periods covered and for the financial condition of Civeo at the date of the interim balance sheet. Results for the interim periods are not necessarily indicative of results for the full year.</w:t>
      </w:r>
    </w:p>
    <w:p>
      <w:pPr>
        <w:spacing w:after="0" w:line="178" w:lineRule="exact"/>
        <w:rPr>
          <w:sz w:val="20"/>
          <w:szCs w:val="20"/>
          <w:color w:val="auto"/>
        </w:rPr>
      </w:pPr>
    </w:p>
    <w:p>
      <w:pPr>
        <w:ind w:right="480" w:firstLine="324"/>
        <w:spacing w:after="0" w:line="257" w:lineRule="auto"/>
        <w:rPr>
          <w:sz w:val="20"/>
          <w:szCs w:val="20"/>
          <w:color w:val="auto"/>
        </w:rPr>
      </w:pPr>
      <w:r>
        <w:rPr>
          <w:rFonts w:ascii="Arial" w:cs="Arial" w:eastAsia="Arial" w:hAnsi="Arial"/>
          <w:sz w:val="18"/>
          <w:szCs w:val="18"/>
          <w:color w:val="auto"/>
        </w:rPr>
        <w:t>The preparation of consolidated financial statements in conformity with GAAP requires the use of estimates and assumptions by management in determining the reported amounts of assets and liabilities and disclosures of contingent assets and liabilities at the date of the consolidated financial statements and the reported amounts of revenues and expenses during the reporting period. If the underlying estimates and assumptions upon which the financial statements are based change in future periods, actual amounts may differ from those included in the accompanying consolidated financial statements.</w:t>
      </w:r>
    </w:p>
    <w:p>
      <w:pPr>
        <w:spacing w:after="0" w:line="188" w:lineRule="exact"/>
        <w:rPr>
          <w:sz w:val="20"/>
          <w:szCs w:val="20"/>
          <w:color w:val="auto"/>
        </w:rPr>
      </w:pPr>
    </w:p>
    <w:p>
      <w:pPr>
        <w:ind w:right="120" w:firstLine="324"/>
        <w:spacing w:after="0" w:line="277" w:lineRule="auto"/>
        <w:rPr>
          <w:sz w:val="20"/>
          <w:szCs w:val="20"/>
          <w:color w:val="auto"/>
        </w:rPr>
      </w:pPr>
      <w:r>
        <w:rPr>
          <w:rFonts w:ascii="Arial" w:cs="Arial" w:eastAsia="Arial" w:hAnsi="Arial"/>
          <w:sz w:val="18"/>
          <w:szCs w:val="18"/>
          <w:color w:val="auto"/>
        </w:rPr>
        <w:t>The financial statements included in this report should be read in conjunction with our audited financial statements and accompanying notes included in our Annual Report on Form 10-K for the year ended December 31, 2016.</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00"/>
          </w:cols>
          <w:pgMar w:left="240" w:top="580" w:right="259" w:bottom="1440" w:gutter="0" w:footer="0" w:header="0"/>
        </w:sectPr>
      </w:pPr>
    </w:p>
    <w:bookmarkStart w:id="8" w:name="page9"/>
    <w:bookmarkEnd w:id="8"/>
    <w:p>
      <w:pPr>
        <w:jc w:val="center"/>
        <w:ind w:right="-19"/>
        <w:spacing w:after="0"/>
        <w:rPr>
          <w:sz w:val="20"/>
          <w:szCs w:val="20"/>
          <w:color w:val="auto"/>
        </w:rPr>
      </w:pPr>
      <w:r>
        <w:rPr>
          <w:rFonts w:ascii="Arial" w:cs="Arial" w:eastAsia="Arial" w:hAnsi="Arial"/>
          <w:sz w:val="18"/>
          <w:szCs w:val="18"/>
          <w:b w:val="1"/>
          <w:bCs w:val="1"/>
          <w:color w:val="auto"/>
        </w:rPr>
        <w:t>CIVEO CORPORATION</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UNAUDITED CONSOLIDATED</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(Continued)</w:t>
      </w:r>
    </w:p>
    <w:p>
      <w:pPr>
        <w:spacing w:after="0" w:line="207" w:lineRule="exact"/>
        <w:rPr>
          <w:sz w:val="20"/>
          <w:szCs w:val="20"/>
          <w:color w:val="auto"/>
        </w:rPr>
      </w:pPr>
    </w:p>
    <w:p>
      <w:pPr>
        <w:ind w:left="340" w:hanging="332"/>
        <w:spacing w:after="0"/>
        <w:tabs>
          <w:tab w:leader="none" w:pos="34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RECENT ACCOUNTING PRONOUNCEMENTS</w:t>
      </w:r>
    </w:p>
    <w:p>
      <w:pPr>
        <w:spacing w:after="0" w:line="229" w:lineRule="exact"/>
        <w:rPr>
          <w:sz w:val="20"/>
          <w:szCs w:val="20"/>
          <w:color w:val="auto"/>
        </w:rPr>
      </w:pPr>
    </w:p>
    <w:p>
      <w:pPr>
        <w:jc w:val="both"/>
        <w:ind w:right="120" w:firstLine="324"/>
        <w:spacing w:after="0" w:line="286" w:lineRule="auto"/>
        <w:rPr>
          <w:sz w:val="20"/>
          <w:szCs w:val="20"/>
          <w:color w:val="auto"/>
        </w:rPr>
      </w:pPr>
      <w:r>
        <w:rPr>
          <w:rFonts w:ascii="Arial" w:cs="Arial" w:eastAsia="Arial" w:hAnsi="Arial"/>
          <w:sz w:val="17"/>
          <w:szCs w:val="17"/>
          <w:color w:val="auto"/>
        </w:rPr>
        <w:t>From time to time, new accounting pronouncements are issued by the Financial Accounting Standards Board (the FASB), which are adopted by us as of the specified effective date. Unless otherwise discussed, management believes that the impact of recently issued standards or other guidance updates, which are not yet effective, will not have a material impact on our consolidated financial statements upon adoption.</w:t>
      </w:r>
    </w:p>
    <w:p>
      <w:pPr>
        <w:spacing w:after="0" w:line="166" w:lineRule="exact"/>
        <w:rPr>
          <w:sz w:val="20"/>
          <w:szCs w:val="20"/>
          <w:color w:val="auto"/>
        </w:rPr>
      </w:pPr>
    </w:p>
    <w:p>
      <w:pPr>
        <w:ind w:right="60" w:firstLine="324"/>
        <w:spacing w:after="0" w:line="279" w:lineRule="auto"/>
        <w:rPr>
          <w:sz w:val="20"/>
          <w:szCs w:val="20"/>
          <w:color w:val="auto"/>
        </w:rPr>
      </w:pPr>
      <w:r>
        <w:rPr>
          <w:rFonts w:ascii="Arial" w:cs="Arial" w:eastAsia="Arial" w:hAnsi="Arial"/>
          <w:sz w:val="17"/>
          <w:szCs w:val="17"/>
          <w:color w:val="auto"/>
        </w:rPr>
        <w:t>In June 2016, the FASB issued Accounting Standards Update (ASU) 2016-13, “Financial Instruments – Credit Losses” (ASU 2016-13). This new standard changes how companies will measure credit losses for most financial assets and certain other instruments that are not measured at fair value through net income. ASU 2016-13 is effective for financial statements issued for reporting periods beginning after December 15, 2019 and interim periods within the reporting periods. We are currently evaluating the impact of this new standard on our consolidated financial statements.</w:t>
      </w:r>
    </w:p>
    <w:p>
      <w:pPr>
        <w:spacing w:after="0" w:line="171" w:lineRule="exact"/>
        <w:rPr>
          <w:sz w:val="20"/>
          <w:szCs w:val="20"/>
          <w:color w:val="auto"/>
        </w:rPr>
      </w:pPr>
    </w:p>
    <w:p>
      <w:pPr>
        <w:ind w:firstLine="324"/>
        <w:spacing w:after="0" w:line="269" w:lineRule="auto"/>
        <w:rPr>
          <w:sz w:val="20"/>
          <w:szCs w:val="20"/>
          <w:color w:val="auto"/>
        </w:rPr>
      </w:pPr>
      <w:r>
        <w:rPr>
          <w:rFonts w:ascii="Arial" w:cs="Arial" w:eastAsia="Arial" w:hAnsi="Arial"/>
          <w:sz w:val="17"/>
          <w:szCs w:val="17"/>
          <w:color w:val="auto"/>
        </w:rPr>
        <w:t>In March 2016, the FASB issued ASU 2016-09, “Improvements to Employee Share-Based Payment Accounting” (ASU 2016-09). This new standard requires companies to recognize the income tax effects of awards in the income statement when the awards vest or are settled. ASU 2016-09 is effective for financial statements issued for reporting periods beginning after December 15, 2016 and interim periods within the reporting periods. The changes to the accounting for forfeitures and excess tax benefits or deficiencies should be applied using a modified retrospective transition method with a cumulative-effect adjustment to retained earnings. Effective with this quarterly report on Form 10-Q, we have adopted this standard effective January 1, 2017. Upon adoption of this standard, we no longer estimate forfeitures in advance and now recognize forfeitures as they occur and have reflected a cumulative effect adjustment of $0.6 million to accumulated deficit in the accompanying unaudited consolidated balance sheet as of March 31, 2017. In addition, this new standard requires that companies classify the cash paid to a tax authority when shares are withheld to satisfy the employer’s statutory income tax withholding obligation as a financing activity. As a result of our withholding of shares for tax-withholding purposes, during the year ended December 31, 2016, we withheld approximately 68,000 shares at a total value of $0.1 million. As a result of our adoption of ASU 2016-09, we reclassified $0.1 million of tax-withholdings from operating activities to financing activities on the accompanying unaudited consolidated statement of cash flows for the three months ended March 31, 2016.</w:t>
      </w:r>
    </w:p>
    <w:p>
      <w:pPr>
        <w:spacing w:after="0" w:line="180" w:lineRule="exact"/>
        <w:rPr>
          <w:sz w:val="20"/>
          <w:szCs w:val="20"/>
          <w:color w:val="auto"/>
        </w:rPr>
      </w:pPr>
    </w:p>
    <w:p>
      <w:pPr>
        <w:ind w:right="60" w:firstLine="324"/>
        <w:spacing w:after="0" w:line="276" w:lineRule="auto"/>
        <w:rPr>
          <w:sz w:val="20"/>
          <w:szCs w:val="20"/>
          <w:color w:val="auto"/>
        </w:rPr>
      </w:pPr>
      <w:r>
        <w:rPr>
          <w:rFonts w:ascii="Arial" w:cs="Arial" w:eastAsia="Arial" w:hAnsi="Arial"/>
          <w:sz w:val="17"/>
          <w:szCs w:val="17"/>
          <w:color w:val="auto"/>
        </w:rPr>
        <w:t>In February 2016, the FASB issued ASU 2016-02, “Leases” (Topic 842), which replaces the existing guidance for lease accounting, Leases (Topic 840). ASU 2016-02 requires lessees to recognize a lease liability and a right-of-use asset for all leases with terms longer than 12 months. The guidance is effective for financial statements issued for reporting periods beginning after December 15, 2018 and interim periods within the reporting periods. An entity will be required to recognize and measure leases at the beginning of the earliest period presented using a modified retrospective approach. We are currently evaluating the impact of this new standard on our consolidated financial statements.</w:t>
      </w:r>
    </w:p>
    <w:p>
      <w:pPr>
        <w:spacing w:after="0" w:line="173" w:lineRule="exact"/>
        <w:rPr>
          <w:sz w:val="20"/>
          <w:szCs w:val="20"/>
          <w:color w:val="auto"/>
        </w:rPr>
      </w:pPr>
    </w:p>
    <w:p>
      <w:pPr>
        <w:ind w:right="80" w:firstLine="324"/>
        <w:spacing w:after="0" w:line="271" w:lineRule="auto"/>
        <w:rPr>
          <w:sz w:val="20"/>
          <w:szCs w:val="20"/>
          <w:color w:val="auto"/>
        </w:rPr>
      </w:pPr>
      <w:r>
        <w:rPr>
          <w:rFonts w:ascii="Arial" w:cs="Arial" w:eastAsia="Arial" w:hAnsi="Arial"/>
          <w:sz w:val="17"/>
          <w:szCs w:val="17"/>
          <w:color w:val="auto"/>
        </w:rPr>
        <w:t>In May 2014, the FASB issued ASU 2014-09 establishing Accounting Standards Codification (ASC) Topic 606, “Revenue from Contracts with Customers” (ASC 606). ASC 606 establishes a comprehensive new revenue recognition model designed to depict the transfer of goods or services to a customer in an amount that reflects the consideration the entity expects to be entitled to receive in exchange for those goods or services and requires significantly enhanced revenue disclosures. The standard is effective for annual and interim reporting periods beginning after December 15, 2017. Accordingly, we plan to adopt this standard in the first quarter of 2018. ASC 606 allows either full retrospective or modified retrospective transition, and we currently plan to use the modified retrospective method of adoption. We are continuing to evaluate the impact of this new standard on our consolidated financial statements upon adoption. Our approach includes performing a detailed review of key contracts representative of our different businesses and comparing historical accounting policies and practices to the new standard.</w:t>
      </w: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00"/>
          </w:cols>
          <w:pgMar w:left="240" w:top="580" w:right="259" w:bottom="1440" w:gutter="0" w:footer="0" w:header="0"/>
        </w:sectPr>
      </w:pPr>
    </w:p>
    <w:bookmarkStart w:id="9" w:name="page10"/>
    <w:bookmarkEnd w:id="9"/>
    <w:p>
      <w:pPr>
        <w:jc w:val="center"/>
        <w:ind w:right="40"/>
        <w:spacing w:after="0"/>
        <w:rPr>
          <w:sz w:val="20"/>
          <w:szCs w:val="20"/>
          <w:color w:val="auto"/>
        </w:rPr>
      </w:pPr>
      <w:r>
        <w:rPr>
          <w:rFonts w:ascii="Arial" w:cs="Arial" w:eastAsia="Arial" w:hAnsi="Arial"/>
          <w:sz w:val="18"/>
          <w:szCs w:val="18"/>
          <w:b w:val="1"/>
          <w:bCs w:val="1"/>
          <w:color w:val="auto"/>
        </w:rPr>
        <w:t>CIVEO CORPORATION</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NOTES TO UNAUDITED CONSOLIDATED</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FINANCIAL STATEMENTS</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(Continued)</w:t>
      </w:r>
    </w:p>
    <w:p>
      <w:pPr>
        <w:spacing w:after="0" w:line="207" w:lineRule="exact"/>
        <w:rPr>
          <w:sz w:val="20"/>
          <w:szCs w:val="20"/>
          <w:color w:val="auto"/>
        </w:rPr>
      </w:pPr>
    </w:p>
    <w:p>
      <w:pPr>
        <w:ind w:left="340" w:hanging="332"/>
        <w:spacing w:after="0"/>
        <w:tabs>
          <w:tab w:leader="none" w:pos="34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MEASUREMENTS</w:t>
      </w:r>
    </w:p>
    <w:p>
      <w:pPr>
        <w:spacing w:after="0" w:line="229" w:lineRule="exact"/>
        <w:rPr>
          <w:sz w:val="20"/>
          <w:szCs w:val="20"/>
          <w:color w:val="auto"/>
        </w:rPr>
      </w:pPr>
    </w:p>
    <w:p>
      <w:pPr>
        <w:ind w:right="260" w:firstLine="324"/>
        <w:spacing w:after="0" w:line="277" w:lineRule="auto"/>
        <w:rPr>
          <w:sz w:val="20"/>
          <w:szCs w:val="20"/>
          <w:color w:val="auto"/>
        </w:rPr>
      </w:pPr>
      <w:r>
        <w:rPr>
          <w:rFonts w:ascii="Arial" w:cs="Arial" w:eastAsia="Arial" w:hAnsi="Arial"/>
          <w:sz w:val="18"/>
          <w:szCs w:val="18"/>
          <w:color w:val="auto"/>
        </w:rPr>
        <w:t>Our financial instruments consist of cash and cash equivalents, receivables, payables and debt instruments. We believe that the carrying values of these instruments on the accompanying consolidated balance sheets approximate their fair values.</w:t>
      </w:r>
    </w:p>
    <w:p>
      <w:pPr>
        <w:spacing w:after="0" w:line="170" w:lineRule="exact"/>
        <w:rPr>
          <w:sz w:val="20"/>
          <w:szCs w:val="20"/>
          <w:color w:val="auto"/>
        </w:rPr>
      </w:pPr>
    </w:p>
    <w:p>
      <w:pPr>
        <w:ind w:right="180" w:firstLine="324"/>
        <w:spacing w:after="0" w:line="259" w:lineRule="auto"/>
        <w:rPr>
          <w:sz w:val="20"/>
          <w:szCs w:val="20"/>
          <w:color w:val="auto"/>
        </w:rPr>
      </w:pPr>
      <w:r>
        <w:rPr>
          <w:rFonts w:ascii="Arial" w:cs="Arial" w:eastAsia="Arial" w:hAnsi="Arial"/>
          <w:sz w:val="18"/>
          <w:szCs w:val="18"/>
          <w:color w:val="auto"/>
        </w:rPr>
        <w:t>As of March 31, 2017 and December 31, 2016, we believe the carrying value of our floating-rate debt outstanding under our term loans and revolving credit facilities approximates fair value because the terms include short-term interest rates and exclude penalties for prepayment. We estimated the fair value of our floating-rate term loan and revolving credit facilities using significant other observable inputs, representative of a Level 2 fair value measurement, including terms and credit spreads for these loans.</w:t>
      </w:r>
    </w:p>
    <w:p>
      <w:pPr>
        <w:spacing w:after="0" w:line="187" w:lineRule="exact"/>
        <w:rPr>
          <w:sz w:val="20"/>
          <w:szCs w:val="20"/>
          <w:color w:val="auto"/>
        </w:rPr>
      </w:pPr>
    </w:p>
    <w:p>
      <w:pPr>
        <w:ind w:right="120" w:firstLine="324"/>
        <w:spacing w:after="0" w:line="302" w:lineRule="auto"/>
        <w:rPr>
          <w:sz w:val="20"/>
          <w:szCs w:val="20"/>
          <w:color w:val="auto"/>
        </w:rPr>
      </w:pPr>
      <w:r>
        <w:rPr>
          <w:rFonts w:ascii="Arial" w:cs="Arial" w:eastAsia="Arial" w:hAnsi="Arial"/>
          <w:sz w:val="16"/>
          <w:szCs w:val="16"/>
          <w:color w:val="auto"/>
        </w:rPr>
        <w:t>During the first quarter of 2016, we wrote down certain long-lived assets to fair value. Our estimates of fair value required us to use significant unobservable inputs, representative of Level 3 fair value measurements, including numerous assumptions with respect to future circumstances that might directly impact each of the relevant asset groups’ operations in the future and are therefore uncertain. These assumptions with respect to future circumstances included future oil, coal and natural gas prices, anticipated spending by our customers, the cost of capital, and industry and/or local market conditions.</w:t>
      </w:r>
    </w:p>
    <w:p>
      <w:pPr>
        <w:spacing w:after="0" w:line="150" w:lineRule="exact"/>
        <w:rPr>
          <w:sz w:val="20"/>
          <w:szCs w:val="20"/>
          <w:color w:val="auto"/>
        </w:rPr>
      </w:pPr>
    </w:p>
    <w:p>
      <w:pPr>
        <w:ind w:left="340" w:hanging="332"/>
        <w:spacing w:after="0"/>
        <w:tabs>
          <w:tab w:leader="none" w:pos="34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DETAILS OF SELECTED BALANCE SHEET ACCOUNTS</w:t>
      </w:r>
    </w:p>
    <w:p>
      <w:pPr>
        <w:spacing w:after="0" w:line="229"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7"/>
          <w:szCs w:val="17"/>
          <w:color w:val="auto"/>
        </w:rPr>
        <w:t>Additional information regarding selected balance sheet accounts at March 31, 2017 and December 31, 2016 is presented below (in thousands):</w:t>
      </w:r>
    </w:p>
    <w:p>
      <w:pPr>
        <w:spacing w:after="0" w:line="233" w:lineRule="exact"/>
        <w:rPr>
          <w:sz w:val="20"/>
          <w:szCs w:val="20"/>
          <w:color w:val="auto"/>
        </w:rPr>
      </w:pPr>
    </w:p>
    <w:tbl>
      <w:tblPr>
        <w:tblLayout w:type="fixed"/>
        <w:tblInd w:w="114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406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4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w w:val="95"/>
              </w:rPr>
              <w:t>March 31, 2017</w:t>
            </w:r>
          </w:p>
        </w:tc>
        <w:tc>
          <w:tcPr>
            <w:tcW w:w="60" w:type="dxa"/>
            <w:vAlign w:val="bottom"/>
          </w:tcPr>
          <w:p>
            <w:pPr>
              <w:spacing w:after="0"/>
              <w:rPr>
                <w:sz w:val="20"/>
                <w:szCs w:val="20"/>
                <w:color w:val="auto"/>
              </w:rPr>
            </w:pPr>
          </w:p>
        </w:tc>
        <w:tc>
          <w:tcPr>
            <w:tcW w:w="1620" w:type="dxa"/>
            <w:vAlign w:val="bottom"/>
            <w:gridSpan w:val="3"/>
          </w:tcPr>
          <w:p>
            <w:pPr>
              <w:jc w:val="right"/>
              <w:ind w:right="140"/>
              <w:spacing w:after="0"/>
              <w:rPr>
                <w:sz w:val="20"/>
                <w:szCs w:val="20"/>
                <w:color w:val="auto"/>
              </w:rPr>
            </w:pPr>
            <w:r>
              <w:rPr>
                <w:rFonts w:ascii="Arial" w:cs="Arial" w:eastAsia="Arial" w:hAnsi="Arial"/>
                <w:sz w:val="18"/>
                <w:szCs w:val="18"/>
                <w:b w:val="1"/>
                <w:bCs w:val="1"/>
                <w:color w:val="auto"/>
                <w:w w:val="90"/>
              </w:rPr>
              <w:t>December 31, 2016</w:t>
            </w:r>
          </w:p>
        </w:tc>
      </w:tr>
      <w:tr>
        <w:trPr>
          <w:trHeight w:val="210"/>
        </w:trPr>
        <w:tc>
          <w:tcPr>
            <w:tcW w:w="20" w:type="dxa"/>
            <w:vAlign w:val="bottom"/>
          </w:tcPr>
          <w:p>
            <w:pPr>
              <w:spacing w:after="0"/>
              <w:rPr>
                <w:sz w:val="18"/>
                <w:szCs w:val="18"/>
                <w:color w:val="auto"/>
              </w:rPr>
            </w:pPr>
          </w:p>
        </w:tc>
        <w:tc>
          <w:tcPr>
            <w:tcW w:w="40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Accounts receivable, net:</w:t>
            </w:r>
          </w:p>
        </w:tc>
        <w:tc>
          <w:tcPr>
            <w:tcW w:w="170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42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060" w:type="dxa"/>
            <w:vAlign w:val="bottom"/>
          </w:tcPr>
          <w:p>
            <w:pPr>
              <w:spacing w:after="0"/>
              <w:rPr>
                <w:sz w:val="20"/>
                <w:szCs w:val="20"/>
                <w:color w:val="auto"/>
              </w:rPr>
            </w:pPr>
            <w:r>
              <w:rPr>
                <w:rFonts w:ascii="Arial" w:cs="Arial" w:eastAsia="Arial" w:hAnsi="Arial"/>
                <w:sz w:val="18"/>
                <w:szCs w:val="18"/>
                <w:color w:val="auto"/>
              </w:rPr>
              <w:t>Trade</w:t>
            </w:r>
          </w:p>
        </w:tc>
        <w:tc>
          <w:tcPr>
            <w:tcW w:w="18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36,209</w:t>
            </w:r>
          </w:p>
        </w:tc>
        <w:tc>
          <w:tcPr>
            <w:tcW w:w="120" w:type="dxa"/>
            <w:vAlign w:val="bottom"/>
          </w:tcPr>
          <w:p>
            <w:pPr>
              <w:spacing w:after="0"/>
              <w:rPr>
                <w:sz w:val="18"/>
                <w:szCs w:val="18"/>
                <w:color w:val="auto"/>
              </w:rPr>
            </w:pPr>
          </w:p>
        </w:tc>
        <w:tc>
          <w:tcPr>
            <w:tcW w:w="620" w:type="dxa"/>
            <w:vAlign w:val="bottom"/>
            <w:gridSpan w:val="2"/>
          </w:tcPr>
          <w:p>
            <w:pPr>
              <w:jc w:val="right"/>
              <w:ind w:right="397"/>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39,442</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Unbilled revenue</w:t>
            </w:r>
          </w:p>
        </w:tc>
        <w:tc>
          <w:tcPr>
            <w:tcW w:w="1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17,624</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16,063</w:t>
            </w: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060" w:type="dxa"/>
            <w:vAlign w:val="bottom"/>
          </w:tcPr>
          <w:p>
            <w:pPr>
              <w:spacing w:after="0"/>
              <w:rPr>
                <w:sz w:val="20"/>
                <w:szCs w:val="20"/>
                <w:color w:val="auto"/>
              </w:rPr>
            </w:pPr>
            <w:r>
              <w:rPr>
                <w:rFonts w:ascii="Arial" w:cs="Arial" w:eastAsia="Arial" w:hAnsi="Arial"/>
                <w:sz w:val="18"/>
                <w:szCs w:val="18"/>
                <w:color w:val="auto"/>
              </w:rPr>
              <w:t>Other</w:t>
            </w:r>
          </w:p>
        </w:tc>
        <w:tc>
          <w:tcPr>
            <w:tcW w:w="17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787</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1,435</w:t>
            </w:r>
          </w:p>
        </w:tc>
        <w:tc>
          <w:tcPr>
            <w:tcW w:w="8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40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Total accounts receivable</w:t>
            </w:r>
          </w:p>
        </w:tc>
        <w:tc>
          <w:tcPr>
            <w:tcW w:w="1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54,620</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56,940</w:t>
            </w: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060" w:type="dxa"/>
            <w:vAlign w:val="bottom"/>
          </w:tcPr>
          <w:p>
            <w:pPr>
              <w:spacing w:after="0"/>
              <w:rPr>
                <w:sz w:val="20"/>
                <w:szCs w:val="20"/>
                <w:color w:val="auto"/>
              </w:rPr>
            </w:pPr>
            <w:r>
              <w:rPr>
                <w:rFonts w:ascii="Arial" w:cs="Arial" w:eastAsia="Arial" w:hAnsi="Arial"/>
                <w:sz w:val="18"/>
                <w:szCs w:val="18"/>
                <w:color w:val="auto"/>
              </w:rPr>
              <w:t>Allowance for doubtful accounts</w:t>
            </w:r>
          </w:p>
        </w:tc>
        <w:tc>
          <w:tcPr>
            <w:tcW w:w="1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gridSpan w:val="2"/>
          </w:tcPr>
          <w:p>
            <w:pPr>
              <w:jc w:val="right"/>
              <w:ind w:right="60"/>
              <w:spacing w:after="0"/>
              <w:rPr>
                <w:sz w:val="20"/>
                <w:szCs w:val="20"/>
                <w:color w:val="auto"/>
              </w:rPr>
            </w:pPr>
            <w:r>
              <w:rPr>
                <w:rFonts w:ascii="Arial" w:cs="Arial" w:eastAsia="Arial" w:hAnsi="Arial"/>
                <w:sz w:val="18"/>
                <w:szCs w:val="18"/>
                <w:color w:val="auto"/>
              </w:rPr>
              <w:t>(586)</w:t>
            </w:r>
          </w:p>
        </w:tc>
        <w:tc>
          <w:tcPr>
            <w:tcW w:w="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(638)</w:t>
            </w:r>
          </w:p>
        </w:tc>
      </w:tr>
      <w:tr>
        <w:trPr>
          <w:trHeight w:val="250"/>
        </w:trPr>
        <w:tc>
          <w:tcPr>
            <w:tcW w:w="20" w:type="dxa"/>
            <w:vAlign w:val="bottom"/>
          </w:tcPr>
          <w:p>
            <w:pPr>
              <w:spacing w:after="0"/>
              <w:rPr>
                <w:sz w:val="21"/>
                <w:szCs w:val="21"/>
                <w:color w:val="auto"/>
              </w:rPr>
            </w:pPr>
          </w:p>
        </w:tc>
        <w:tc>
          <w:tcPr>
            <w:tcW w:w="40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accounts receivable, net</w:t>
            </w:r>
          </w:p>
        </w:tc>
        <w:tc>
          <w:tcPr>
            <w:tcW w:w="17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54,034</w:t>
            </w:r>
          </w:p>
        </w:tc>
        <w:tc>
          <w:tcPr>
            <w:tcW w:w="1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top w:val="single" w:sz="8" w:color="auto"/>
              <w:bottom w:val="single" w:sz="8" w:color="auto"/>
            </w:tcBorders>
            <w:shd w:val="clear" w:color="auto" w:fill="CCEEFF"/>
          </w:tcPr>
          <w:p>
            <w:pPr>
              <w:jc w:val="right"/>
              <w:ind w:right="397"/>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56,302</w:t>
            </w:r>
          </w:p>
        </w:tc>
        <w:tc>
          <w:tcPr>
            <w:tcW w:w="80" w:type="dxa"/>
            <w:vAlign w:val="bottom"/>
            <w:tcBorders>
              <w:bottom w:val="single" w:sz="8" w:color="CCEEFF"/>
            </w:tcBorders>
            <w:shd w:val="clear" w:color="auto" w:fill="CCEEFF"/>
          </w:tcPr>
          <w:p>
            <w:pPr>
              <w:spacing w:after="0"/>
              <w:rPr>
                <w:sz w:val="21"/>
                <w:szCs w:val="21"/>
                <w:color w:val="auto"/>
              </w:rPr>
            </w:pPr>
          </w:p>
        </w:tc>
      </w:tr>
    </w:tbl>
    <w:p>
      <w:pPr>
        <w:spacing w:after="0" w:line="200" w:lineRule="exact"/>
        <w:rPr>
          <w:sz w:val="20"/>
          <w:szCs w:val="20"/>
          <w:color w:val="auto"/>
        </w:rPr>
      </w:pPr>
    </w:p>
    <w:p>
      <w:pPr>
        <w:spacing w:after="0" w:line="214" w:lineRule="exact"/>
        <w:rPr>
          <w:sz w:val="20"/>
          <w:szCs w:val="20"/>
          <w:color w:val="auto"/>
        </w:rPr>
      </w:pPr>
    </w:p>
    <w:tbl>
      <w:tblPr>
        <w:tblLayout w:type="fixed"/>
        <w:tblInd w:w="114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430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98"/>
              </w:rPr>
              <w:t>March 31, 2017</w:t>
            </w:r>
          </w:p>
        </w:tc>
        <w:tc>
          <w:tcPr>
            <w:tcW w:w="180" w:type="dxa"/>
            <w:vAlign w:val="bottom"/>
          </w:tcPr>
          <w:p>
            <w:pPr>
              <w:spacing w:after="0"/>
              <w:rPr>
                <w:sz w:val="20"/>
                <w:szCs w:val="20"/>
                <w:color w:val="auto"/>
              </w:rPr>
            </w:pPr>
          </w:p>
        </w:tc>
        <w:tc>
          <w:tcPr>
            <w:tcW w:w="15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0"/>
              </w:rPr>
              <w:t>December 31, 2016</w:t>
            </w:r>
          </w:p>
        </w:tc>
        <w:tc>
          <w:tcPr>
            <w:tcW w:w="80" w:type="dxa"/>
            <w:vAlign w:val="bottom"/>
          </w:tcPr>
          <w:p>
            <w:pPr>
              <w:spacing w:after="0"/>
              <w:rPr>
                <w:sz w:val="20"/>
                <w:szCs w:val="20"/>
                <w:color w:val="auto"/>
              </w:rPr>
            </w:pPr>
          </w:p>
        </w:tc>
      </w:tr>
      <w:tr>
        <w:trPr>
          <w:trHeight w:val="210"/>
        </w:trPr>
        <w:tc>
          <w:tcPr>
            <w:tcW w:w="20" w:type="dxa"/>
            <w:vAlign w:val="bottom"/>
          </w:tcPr>
          <w:p>
            <w:pPr>
              <w:spacing w:after="0"/>
              <w:rPr>
                <w:sz w:val="18"/>
                <w:szCs w:val="18"/>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Inventories:</w:t>
            </w:r>
          </w:p>
        </w:tc>
        <w:tc>
          <w:tcPr>
            <w:tcW w:w="1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300" w:type="dxa"/>
            <w:vAlign w:val="bottom"/>
          </w:tcPr>
          <w:p>
            <w:pPr>
              <w:spacing w:after="0"/>
              <w:rPr>
                <w:sz w:val="20"/>
                <w:szCs w:val="20"/>
                <w:color w:val="auto"/>
              </w:rPr>
            </w:pPr>
            <w:r>
              <w:rPr>
                <w:rFonts w:ascii="Arial" w:cs="Arial" w:eastAsia="Arial" w:hAnsi="Arial"/>
                <w:sz w:val="18"/>
                <w:szCs w:val="18"/>
                <w:color w:val="auto"/>
              </w:rPr>
              <w:t>Finished goods and purchased products</w:t>
            </w:r>
          </w:p>
        </w:tc>
        <w:tc>
          <w:tcPr>
            <w:tcW w:w="162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1,963</w:t>
            </w:r>
          </w:p>
        </w:tc>
        <w:tc>
          <w:tcPr>
            <w:tcW w:w="780" w:type="dxa"/>
            <w:vAlign w:val="bottom"/>
            <w:gridSpan w:val="2"/>
          </w:tcPr>
          <w:p>
            <w:pPr>
              <w:jc w:val="right"/>
              <w:ind w:right="437"/>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1,700</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Work in process</w:t>
            </w:r>
          </w:p>
        </w:tc>
        <w:tc>
          <w:tcPr>
            <w:tcW w:w="1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335</w:t>
            </w: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300" w:type="dxa"/>
            <w:vAlign w:val="bottom"/>
          </w:tcPr>
          <w:p>
            <w:pPr>
              <w:spacing w:after="0"/>
              <w:rPr>
                <w:sz w:val="20"/>
                <w:szCs w:val="20"/>
                <w:color w:val="auto"/>
              </w:rPr>
            </w:pPr>
            <w:r>
              <w:rPr>
                <w:rFonts w:ascii="Arial" w:cs="Arial" w:eastAsia="Arial" w:hAnsi="Arial"/>
                <w:sz w:val="18"/>
                <w:szCs w:val="18"/>
                <w:color w:val="auto"/>
              </w:rPr>
              <w:t>Raw materials</w:t>
            </w:r>
          </w:p>
        </w:tc>
        <w:tc>
          <w:tcPr>
            <w:tcW w:w="14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1,306</w:t>
            </w:r>
          </w:p>
        </w:tc>
        <w:tc>
          <w:tcPr>
            <w:tcW w:w="180" w:type="dxa"/>
            <w:vAlign w:val="bottom"/>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1,409</w:t>
            </w:r>
          </w:p>
        </w:tc>
        <w:tc>
          <w:tcPr>
            <w:tcW w:w="80" w:type="dxa"/>
            <w:vAlign w:val="bottom"/>
          </w:tcPr>
          <w:p>
            <w:pPr>
              <w:spacing w:after="0"/>
              <w:rPr>
                <w:sz w:val="18"/>
                <w:szCs w:val="18"/>
                <w:color w:val="auto"/>
              </w:rPr>
            </w:pPr>
          </w:p>
        </w:tc>
      </w:tr>
      <w:tr>
        <w:trPr>
          <w:trHeight w:val="250"/>
        </w:trPr>
        <w:tc>
          <w:tcPr>
            <w:tcW w:w="20" w:type="dxa"/>
            <w:vAlign w:val="bottom"/>
          </w:tcPr>
          <w:p>
            <w:pPr>
              <w:spacing w:after="0"/>
              <w:rPr>
                <w:sz w:val="21"/>
                <w:szCs w:val="21"/>
                <w:color w:val="auto"/>
              </w:rPr>
            </w:pPr>
          </w:p>
        </w:tc>
        <w:tc>
          <w:tcPr>
            <w:tcW w:w="43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inventories</w:t>
            </w:r>
          </w:p>
        </w:tc>
        <w:tc>
          <w:tcPr>
            <w:tcW w:w="14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3,604</w:t>
            </w:r>
          </w:p>
        </w:tc>
        <w:tc>
          <w:tcPr>
            <w:tcW w:w="1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auto"/>
            </w:tcBorders>
            <w:shd w:val="clear" w:color="auto" w:fill="CCEEFF"/>
          </w:tcPr>
          <w:p>
            <w:pPr>
              <w:jc w:val="right"/>
              <w:ind w:right="437"/>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3,112</w:t>
            </w:r>
          </w:p>
        </w:tc>
        <w:tc>
          <w:tcPr>
            <w:tcW w:w="80" w:type="dxa"/>
            <w:vAlign w:val="bottom"/>
            <w:tcBorders>
              <w:bottom w:val="single" w:sz="8" w:color="CCEEFF"/>
            </w:tcBorders>
            <w:shd w:val="clear" w:color="auto" w:fill="CCEEFF"/>
          </w:tcPr>
          <w:p>
            <w:pPr>
              <w:spacing w:after="0"/>
              <w:rPr>
                <w:sz w:val="21"/>
                <w:szCs w:val="21"/>
                <w:color w:val="auto"/>
              </w:rPr>
            </w:pPr>
          </w:p>
        </w:tc>
      </w:tr>
    </w:tbl>
    <w:p>
      <w:pPr>
        <w:spacing w:after="0" w:line="200" w:lineRule="exact"/>
        <w:rPr>
          <w:sz w:val="20"/>
          <w:szCs w:val="20"/>
          <w:color w:val="auto"/>
        </w:rPr>
      </w:pP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60" w:type="dxa"/>
            <w:vAlign w:val="bottom"/>
          </w:tcPr>
          <w:p>
            <w:pPr>
              <w:spacing w:after="0"/>
              <w:rPr>
                <w:sz w:val="18"/>
                <w:szCs w:val="18"/>
                <w:color w:val="auto"/>
              </w:rPr>
            </w:pPr>
          </w:p>
        </w:tc>
        <w:tc>
          <w:tcPr>
            <w:tcW w:w="3920" w:type="dxa"/>
            <w:vAlign w:val="bottom"/>
          </w:tcPr>
          <w:p>
            <w:pPr>
              <w:spacing w:after="0"/>
              <w:rPr>
                <w:sz w:val="18"/>
                <w:szCs w:val="18"/>
                <w:color w:val="auto"/>
              </w:rPr>
            </w:pPr>
          </w:p>
        </w:tc>
        <w:tc>
          <w:tcPr>
            <w:tcW w:w="1780" w:type="dxa"/>
            <w:vAlign w:val="bottom"/>
            <w:gridSpan w:val="3"/>
          </w:tcPr>
          <w:p>
            <w:pPr>
              <w:jc w:val="center"/>
              <w:spacing w:after="0"/>
              <w:rPr>
                <w:sz w:val="20"/>
                <w:szCs w:val="20"/>
                <w:color w:val="auto"/>
              </w:rPr>
            </w:pPr>
            <w:r>
              <w:rPr>
                <w:rFonts w:ascii="Arial" w:cs="Arial" w:eastAsia="Arial" w:hAnsi="Arial"/>
                <w:sz w:val="18"/>
                <w:szCs w:val="18"/>
                <w:b w:val="1"/>
                <w:bCs w:val="1"/>
                <w:color w:val="auto"/>
                <w:w w:val="90"/>
              </w:rPr>
              <w:t>Estimated</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3920" w:type="dxa"/>
            <w:vAlign w:val="bottom"/>
          </w:tcPr>
          <w:p>
            <w:pPr>
              <w:spacing w:after="0"/>
              <w:rPr>
                <w:sz w:val="18"/>
                <w:szCs w:val="18"/>
                <w:color w:val="auto"/>
              </w:rPr>
            </w:pPr>
          </w:p>
        </w:tc>
        <w:tc>
          <w:tcPr>
            <w:tcW w:w="1780" w:type="dxa"/>
            <w:vAlign w:val="bottom"/>
            <w:gridSpan w:val="3"/>
          </w:tcPr>
          <w:p>
            <w:pPr>
              <w:jc w:val="center"/>
              <w:spacing w:after="0"/>
              <w:rPr>
                <w:sz w:val="20"/>
                <w:szCs w:val="20"/>
                <w:color w:val="auto"/>
              </w:rPr>
            </w:pPr>
            <w:r>
              <w:rPr>
                <w:rFonts w:ascii="Arial" w:cs="Arial" w:eastAsia="Arial" w:hAnsi="Arial"/>
                <w:sz w:val="18"/>
                <w:szCs w:val="18"/>
                <w:b w:val="1"/>
                <w:bCs w:val="1"/>
                <w:color w:val="auto"/>
                <w:w w:val="91"/>
              </w:rPr>
              <w:t>Useful Life</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34"/>
        </w:trPr>
        <w:tc>
          <w:tcPr>
            <w:tcW w:w="1160" w:type="dxa"/>
            <w:vAlign w:val="bottom"/>
          </w:tcPr>
          <w:p>
            <w:pPr>
              <w:spacing w:after="0"/>
              <w:rPr>
                <w:sz w:val="20"/>
                <w:szCs w:val="20"/>
                <w:color w:val="auto"/>
              </w:rPr>
            </w:pPr>
          </w:p>
        </w:tc>
        <w:tc>
          <w:tcPr>
            <w:tcW w:w="3920" w:type="dxa"/>
            <w:vAlign w:val="bottom"/>
          </w:tcPr>
          <w:p>
            <w:pPr>
              <w:spacing w:after="0"/>
              <w:rPr>
                <w:sz w:val="20"/>
                <w:szCs w:val="20"/>
                <w:color w:val="auto"/>
              </w:rPr>
            </w:pPr>
          </w:p>
        </w:tc>
        <w:tc>
          <w:tcPr>
            <w:tcW w:w="1780" w:type="dxa"/>
            <w:vAlign w:val="bottom"/>
            <w:gridSpan w:val="3"/>
          </w:tcPr>
          <w:p>
            <w:pPr>
              <w:jc w:val="center"/>
              <w:spacing w:after="0"/>
              <w:rPr>
                <w:sz w:val="20"/>
                <w:szCs w:val="20"/>
                <w:color w:val="auto"/>
              </w:rPr>
            </w:pPr>
            <w:r>
              <w:rPr>
                <w:rFonts w:ascii="Arial" w:cs="Arial" w:eastAsia="Arial" w:hAnsi="Arial"/>
                <w:sz w:val="18"/>
                <w:szCs w:val="18"/>
                <w:b w:val="1"/>
                <w:bCs w:val="1"/>
                <w:color w:val="auto"/>
                <w:w w:val="89"/>
              </w:rPr>
              <w:t>(in years)</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2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w w:val="95"/>
              </w:rPr>
              <w:t>March 31, 2017</w:t>
            </w:r>
          </w:p>
        </w:tc>
        <w:tc>
          <w:tcPr>
            <w:tcW w:w="1600" w:type="dxa"/>
            <w:vAlign w:val="bottom"/>
            <w:gridSpan w:val="4"/>
          </w:tcPr>
          <w:p>
            <w:pPr>
              <w:ind w:left="60"/>
              <w:spacing w:after="0"/>
              <w:rPr>
                <w:sz w:val="20"/>
                <w:szCs w:val="20"/>
                <w:color w:val="auto"/>
              </w:rPr>
            </w:pPr>
            <w:r>
              <w:rPr>
                <w:rFonts w:ascii="Arial" w:cs="Arial" w:eastAsia="Arial" w:hAnsi="Arial"/>
                <w:sz w:val="18"/>
                <w:szCs w:val="18"/>
                <w:b w:val="1"/>
                <w:bCs w:val="1"/>
                <w:color w:val="auto"/>
                <w:w w:val="93"/>
              </w:rPr>
              <w:t>December 31, 2016</w:t>
            </w:r>
          </w:p>
        </w:tc>
        <w:tc>
          <w:tcPr>
            <w:tcW w:w="1180" w:type="dxa"/>
            <w:vAlign w:val="bottom"/>
          </w:tcPr>
          <w:p>
            <w:pPr>
              <w:spacing w:after="0"/>
              <w:rPr>
                <w:sz w:val="20"/>
                <w:szCs w:val="20"/>
                <w:color w:val="auto"/>
              </w:rPr>
            </w:pPr>
          </w:p>
        </w:tc>
      </w:tr>
      <w:tr>
        <w:trPr>
          <w:trHeight w:val="210"/>
        </w:trPr>
        <w:tc>
          <w:tcPr>
            <w:tcW w:w="1160" w:type="dxa"/>
            <w:vAlign w:val="bottom"/>
          </w:tcPr>
          <w:p>
            <w:pPr>
              <w:spacing w:after="0"/>
              <w:rPr>
                <w:sz w:val="18"/>
                <w:szCs w:val="18"/>
                <w:color w:val="auto"/>
              </w:rPr>
            </w:pPr>
          </w:p>
        </w:tc>
        <w:tc>
          <w:tcPr>
            <w:tcW w:w="39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Property, plant and equipment, net:</w:t>
            </w:r>
          </w:p>
        </w:tc>
        <w:tc>
          <w:tcPr>
            <w:tcW w:w="8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4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8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3920" w:type="dxa"/>
            <w:vAlign w:val="bottom"/>
          </w:tcPr>
          <w:p>
            <w:pPr>
              <w:spacing w:after="0"/>
              <w:rPr>
                <w:sz w:val="20"/>
                <w:szCs w:val="20"/>
                <w:color w:val="auto"/>
              </w:rPr>
            </w:pPr>
            <w:r>
              <w:rPr>
                <w:rFonts w:ascii="Arial" w:cs="Arial" w:eastAsia="Arial" w:hAnsi="Arial"/>
                <w:sz w:val="18"/>
                <w:szCs w:val="18"/>
                <w:color w:val="auto"/>
              </w:rPr>
              <w:t>Land</w:t>
            </w: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42,801</w:t>
            </w:r>
          </w:p>
        </w:tc>
        <w:tc>
          <w:tcPr>
            <w:tcW w:w="100" w:type="dxa"/>
            <w:vAlign w:val="bottom"/>
          </w:tcPr>
          <w:p>
            <w:pPr>
              <w:spacing w:after="0"/>
              <w:rPr>
                <w:sz w:val="18"/>
                <w:szCs w:val="18"/>
                <w:color w:val="auto"/>
              </w:rPr>
            </w:pPr>
          </w:p>
        </w:tc>
        <w:tc>
          <w:tcPr>
            <w:tcW w:w="48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41,122</w:t>
            </w:r>
          </w:p>
        </w:tc>
        <w:tc>
          <w:tcPr>
            <w:tcW w:w="8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Accommodations assets</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ind w:left="80"/>
              <w:spacing w:after="0"/>
              <w:rPr>
                <w:sz w:val="20"/>
                <w:szCs w:val="20"/>
                <w:color w:val="auto"/>
              </w:rPr>
            </w:pPr>
            <w:r>
              <w:rPr>
                <w:rFonts w:ascii="Arial" w:cs="Arial" w:eastAsia="Arial" w:hAnsi="Arial"/>
                <w:sz w:val="18"/>
                <w:szCs w:val="18"/>
                <w:color w:val="auto"/>
              </w:rPr>
              <w:t>15</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1,578,066</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1,542,806</w:t>
            </w:r>
          </w:p>
        </w:tc>
        <w:tc>
          <w:tcPr>
            <w:tcW w:w="80" w:type="dxa"/>
            <w:vAlign w:val="bottom"/>
            <w:shd w:val="clear" w:color="auto" w:fill="CCEEFF"/>
          </w:tcPr>
          <w:p>
            <w:pPr>
              <w:spacing w:after="0"/>
              <w:rPr>
                <w:sz w:val="18"/>
                <w:szCs w:val="18"/>
                <w:color w:val="auto"/>
              </w:rPr>
            </w:pPr>
          </w:p>
        </w:tc>
        <w:tc>
          <w:tcPr>
            <w:tcW w:w="118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3920" w:type="dxa"/>
            <w:vAlign w:val="bottom"/>
          </w:tcPr>
          <w:p>
            <w:pPr>
              <w:spacing w:after="0"/>
              <w:rPr>
                <w:sz w:val="20"/>
                <w:szCs w:val="20"/>
                <w:color w:val="auto"/>
              </w:rPr>
            </w:pPr>
            <w:r>
              <w:rPr>
                <w:rFonts w:ascii="Arial" w:cs="Arial" w:eastAsia="Arial" w:hAnsi="Arial"/>
                <w:sz w:val="18"/>
                <w:szCs w:val="18"/>
                <w:color w:val="auto"/>
              </w:rPr>
              <w:t>Buildings and leasehold improvements</w:t>
            </w:r>
          </w:p>
        </w:tc>
        <w:tc>
          <w:tcPr>
            <w:tcW w:w="820" w:type="dxa"/>
            <w:vAlign w:val="bottom"/>
          </w:tcPr>
          <w:p>
            <w:pPr>
              <w:jc w:val="right"/>
              <w:spacing w:after="0"/>
              <w:rPr>
                <w:sz w:val="20"/>
                <w:szCs w:val="20"/>
                <w:color w:val="auto"/>
              </w:rPr>
            </w:pPr>
            <w:r>
              <w:rPr>
                <w:rFonts w:ascii="Arial" w:cs="Arial" w:eastAsia="Arial" w:hAnsi="Arial"/>
                <w:sz w:val="18"/>
                <w:szCs w:val="18"/>
                <w:color w:val="auto"/>
              </w:rPr>
              <w:t>5</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ind w:left="80"/>
              <w:spacing w:after="0"/>
              <w:rPr>
                <w:sz w:val="20"/>
                <w:szCs w:val="20"/>
                <w:color w:val="auto"/>
              </w:rPr>
            </w:pPr>
            <w:r>
              <w:rPr>
                <w:rFonts w:ascii="Arial" w:cs="Arial" w:eastAsia="Arial" w:hAnsi="Arial"/>
                <w:sz w:val="18"/>
                <w:szCs w:val="18"/>
                <w:color w:val="auto"/>
              </w:rPr>
              <w:t>20</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27,879</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28,104</w:t>
            </w:r>
          </w:p>
        </w:tc>
        <w:tc>
          <w:tcPr>
            <w:tcW w:w="8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Machinery and equipment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ind w:left="80"/>
              <w:spacing w:after="0"/>
              <w:rPr>
                <w:sz w:val="20"/>
                <w:szCs w:val="20"/>
                <w:color w:val="auto"/>
              </w:rPr>
            </w:pPr>
            <w:r>
              <w:rPr>
                <w:rFonts w:ascii="Arial" w:cs="Arial" w:eastAsia="Arial" w:hAnsi="Arial"/>
                <w:sz w:val="18"/>
                <w:szCs w:val="18"/>
                <w:color w:val="auto"/>
              </w:rPr>
              <w:t>15</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9,805</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9,667</w:t>
            </w:r>
          </w:p>
        </w:tc>
        <w:tc>
          <w:tcPr>
            <w:tcW w:w="80" w:type="dxa"/>
            <w:vAlign w:val="bottom"/>
            <w:shd w:val="clear" w:color="auto" w:fill="CCEEFF"/>
          </w:tcPr>
          <w:p>
            <w:pPr>
              <w:spacing w:after="0"/>
              <w:rPr>
                <w:sz w:val="18"/>
                <w:szCs w:val="18"/>
                <w:color w:val="auto"/>
              </w:rPr>
            </w:pPr>
          </w:p>
        </w:tc>
        <w:tc>
          <w:tcPr>
            <w:tcW w:w="118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3920" w:type="dxa"/>
            <w:vAlign w:val="bottom"/>
          </w:tcPr>
          <w:p>
            <w:pPr>
              <w:spacing w:after="0"/>
              <w:rPr>
                <w:sz w:val="20"/>
                <w:szCs w:val="20"/>
                <w:color w:val="auto"/>
              </w:rPr>
            </w:pPr>
            <w:r>
              <w:rPr>
                <w:rFonts w:ascii="Arial" w:cs="Arial" w:eastAsia="Arial" w:hAnsi="Arial"/>
                <w:sz w:val="18"/>
                <w:szCs w:val="18"/>
                <w:color w:val="auto"/>
              </w:rPr>
              <w:t>Office furniture and equipment</w:t>
            </w:r>
          </w:p>
        </w:tc>
        <w:tc>
          <w:tcPr>
            <w:tcW w:w="820" w:type="dxa"/>
            <w:vAlign w:val="bottom"/>
          </w:tcPr>
          <w:p>
            <w:pPr>
              <w:jc w:val="right"/>
              <w:spacing w:after="0"/>
              <w:rPr>
                <w:sz w:val="20"/>
                <w:szCs w:val="20"/>
                <w:color w:val="auto"/>
              </w:rPr>
            </w:pPr>
            <w:r>
              <w:rPr>
                <w:rFonts w:ascii="Arial" w:cs="Arial" w:eastAsia="Arial" w:hAnsi="Arial"/>
                <w:sz w:val="18"/>
                <w:szCs w:val="18"/>
                <w:color w:val="auto"/>
              </w:rPr>
              <w:t>3</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ind w:left="80"/>
              <w:spacing w:after="0"/>
              <w:rPr>
                <w:sz w:val="20"/>
                <w:szCs w:val="20"/>
                <w:color w:val="auto"/>
              </w:rPr>
            </w:pPr>
            <w:r>
              <w:rPr>
                <w:rFonts w:ascii="Arial" w:cs="Arial" w:eastAsia="Arial" w:hAnsi="Arial"/>
                <w:sz w:val="18"/>
                <w:szCs w:val="18"/>
                <w:color w:val="auto"/>
              </w:rPr>
              <w:t>7</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51,527</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29,948</w:t>
            </w:r>
          </w:p>
        </w:tc>
        <w:tc>
          <w:tcPr>
            <w:tcW w:w="8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Vehicles</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ind w:left="80"/>
              <w:spacing w:after="0"/>
              <w:rPr>
                <w:sz w:val="20"/>
                <w:szCs w:val="20"/>
                <w:color w:val="auto"/>
              </w:rPr>
            </w:pPr>
            <w:r>
              <w:rPr>
                <w:rFonts w:ascii="Arial" w:cs="Arial" w:eastAsia="Arial" w:hAnsi="Arial"/>
                <w:sz w:val="18"/>
                <w:szCs w:val="18"/>
                <w:color w:val="auto"/>
              </w:rPr>
              <w:t>5</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15,005</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14,725</w:t>
            </w:r>
          </w:p>
        </w:tc>
        <w:tc>
          <w:tcPr>
            <w:tcW w:w="80" w:type="dxa"/>
            <w:vAlign w:val="bottom"/>
            <w:shd w:val="clear" w:color="auto" w:fill="CCEEFF"/>
          </w:tcPr>
          <w:p>
            <w:pPr>
              <w:spacing w:after="0"/>
              <w:rPr>
                <w:sz w:val="18"/>
                <w:szCs w:val="18"/>
                <w:color w:val="auto"/>
              </w:rPr>
            </w:pPr>
          </w:p>
        </w:tc>
        <w:tc>
          <w:tcPr>
            <w:tcW w:w="118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3920" w:type="dxa"/>
            <w:vAlign w:val="bottom"/>
          </w:tcPr>
          <w:p>
            <w:pPr>
              <w:spacing w:after="0"/>
              <w:rPr>
                <w:sz w:val="20"/>
                <w:szCs w:val="20"/>
                <w:color w:val="auto"/>
              </w:rPr>
            </w:pPr>
            <w:r>
              <w:rPr>
                <w:rFonts w:ascii="Arial" w:cs="Arial" w:eastAsia="Arial" w:hAnsi="Arial"/>
                <w:sz w:val="18"/>
                <w:szCs w:val="18"/>
                <w:color w:val="auto"/>
              </w:rPr>
              <w:t>Construction in progress</w:t>
            </w: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17,382</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35,196</w:t>
            </w:r>
          </w:p>
        </w:tc>
        <w:tc>
          <w:tcPr>
            <w:tcW w:w="8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10"/>
        </w:trPr>
        <w:tc>
          <w:tcPr>
            <w:tcW w:w="1160" w:type="dxa"/>
            <w:vAlign w:val="bottom"/>
          </w:tcPr>
          <w:p>
            <w:pPr>
              <w:spacing w:after="0"/>
              <w:rPr>
                <w:sz w:val="18"/>
                <w:szCs w:val="18"/>
                <w:color w:val="auto"/>
              </w:rPr>
            </w:pPr>
          </w:p>
        </w:tc>
        <w:tc>
          <w:tcPr>
            <w:tcW w:w="39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Total property, plant and equipment</w:t>
            </w: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1,742,465</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1,701,568</w:t>
            </w:r>
          </w:p>
        </w:tc>
        <w:tc>
          <w:tcPr>
            <w:tcW w:w="80" w:type="dxa"/>
            <w:vAlign w:val="bottom"/>
            <w:shd w:val="clear" w:color="auto" w:fill="CCEEFF"/>
          </w:tcPr>
          <w:p>
            <w:pPr>
              <w:spacing w:after="0"/>
              <w:rPr>
                <w:sz w:val="18"/>
                <w:szCs w:val="18"/>
                <w:color w:val="auto"/>
              </w:rPr>
            </w:pPr>
          </w:p>
        </w:tc>
        <w:tc>
          <w:tcPr>
            <w:tcW w:w="118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3920" w:type="dxa"/>
            <w:vAlign w:val="bottom"/>
          </w:tcPr>
          <w:p>
            <w:pPr>
              <w:spacing w:after="0"/>
              <w:rPr>
                <w:sz w:val="20"/>
                <w:szCs w:val="20"/>
                <w:color w:val="auto"/>
              </w:rPr>
            </w:pPr>
            <w:r>
              <w:rPr>
                <w:rFonts w:ascii="Arial" w:cs="Arial" w:eastAsia="Arial" w:hAnsi="Arial"/>
                <w:sz w:val="18"/>
                <w:szCs w:val="18"/>
                <w:color w:val="auto"/>
              </w:rPr>
              <w:t>Accumulated depreciation</w:t>
            </w: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gridSpan w:val="2"/>
          </w:tcPr>
          <w:p>
            <w:pPr>
              <w:jc w:val="right"/>
              <w:ind w:right="40"/>
              <w:spacing w:after="0"/>
              <w:rPr>
                <w:sz w:val="20"/>
                <w:szCs w:val="20"/>
                <w:color w:val="auto"/>
              </w:rPr>
            </w:pPr>
            <w:r>
              <w:rPr>
                <w:rFonts w:ascii="Arial" w:cs="Arial" w:eastAsia="Arial" w:hAnsi="Arial"/>
                <w:sz w:val="18"/>
                <w:szCs w:val="18"/>
                <w:color w:val="auto"/>
              </w:rPr>
              <w:t>(960,322)</w:t>
            </w:r>
          </w:p>
        </w:tc>
        <w:tc>
          <w:tcPr>
            <w:tcW w:w="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(911,858)</w:t>
            </w:r>
          </w:p>
        </w:tc>
        <w:tc>
          <w:tcPr>
            <w:tcW w:w="1180" w:type="dxa"/>
            <w:vAlign w:val="bottom"/>
          </w:tcPr>
          <w:p>
            <w:pPr>
              <w:spacing w:after="0"/>
              <w:rPr>
                <w:sz w:val="18"/>
                <w:szCs w:val="18"/>
                <w:color w:val="auto"/>
              </w:rPr>
            </w:pPr>
          </w:p>
        </w:tc>
      </w:tr>
      <w:tr>
        <w:trPr>
          <w:trHeight w:val="250"/>
        </w:trPr>
        <w:tc>
          <w:tcPr>
            <w:tcW w:w="1160" w:type="dxa"/>
            <w:vAlign w:val="bottom"/>
          </w:tcPr>
          <w:p>
            <w:pPr>
              <w:spacing w:after="0"/>
              <w:rPr>
                <w:sz w:val="21"/>
                <w:szCs w:val="21"/>
                <w:color w:val="auto"/>
              </w:rPr>
            </w:pPr>
          </w:p>
        </w:tc>
        <w:tc>
          <w:tcPr>
            <w:tcW w:w="39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property, plant and equipment, net</w:t>
            </w:r>
          </w:p>
        </w:tc>
        <w:tc>
          <w:tcPr>
            <w:tcW w:w="8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782,143</w:t>
            </w:r>
          </w:p>
        </w:tc>
        <w:tc>
          <w:tcPr>
            <w:tcW w:w="10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789,710</w:t>
            </w:r>
          </w:p>
        </w:tc>
        <w:tc>
          <w:tcPr>
            <w:tcW w:w="80" w:type="dxa"/>
            <w:vAlign w:val="bottom"/>
            <w:tcBorders>
              <w:bottom w:val="single" w:sz="8" w:color="CCEEFF"/>
            </w:tcBorders>
            <w:shd w:val="clear" w:color="auto" w:fill="CCEEFF"/>
          </w:tcPr>
          <w:p>
            <w:pPr>
              <w:spacing w:after="0"/>
              <w:rPr>
                <w:sz w:val="21"/>
                <w:szCs w:val="21"/>
                <w:color w:val="auto"/>
              </w:rPr>
            </w:pPr>
          </w:p>
        </w:tc>
        <w:tc>
          <w:tcPr>
            <w:tcW w:w="1180" w:type="dxa"/>
            <w:vAlign w:val="bottom"/>
          </w:tcPr>
          <w:p>
            <w:pPr>
              <w:spacing w:after="0"/>
              <w:rPr>
                <w:sz w:val="21"/>
                <w:szCs w:val="21"/>
                <w:color w:val="auto"/>
              </w:rPr>
            </w:pPr>
          </w:p>
        </w:tc>
      </w:tr>
      <w:tr>
        <w:trPr>
          <w:trHeight w:val="656"/>
        </w:trPr>
        <w:tc>
          <w:tcPr>
            <w:tcW w:w="1160" w:type="dxa"/>
            <w:vAlign w:val="bottom"/>
          </w:tcPr>
          <w:p>
            <w:pPr>
              <w:spacing w:after="0"/>
              <w:rPr>
                <w:sz w:val="24"/>
                <w:szCs w:val="24"/>
                <w:color w:val="auto"/>
              </w:rPr>
            </w:pPr>
          </w:p>
        </w:tc>
        <w:tc>
          <w:tcPr>
            <w:tcW w:w="3920" w:type="dxa"/>
            <w:vAlign w:val="bottom"/>
          </w:tcPr>
          <w:p>
            <w:pPr>
              <w:spacing w:after="0"/>
              <w:rPr>
                <w:sz w:val="24"/>
                <w:szCs w:val="24"/>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10</w:t>
            </w: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105"/>
        </w:trPr>
        <w:tc>
          <w:tcPr>
            <w:tcW w:w="1160" w:type="dxa"/>
            <w:vAlign w:val="bottom"/>
          </w:tcPr>
          <w:p>
            <w:pPr>
              <w:spacing w:after="0"/>
              <w:rPr>
                <w:sz w:val="9"/>
                <w:szCs w:val="9"/>
                <w:color w:val="auto"/>
              </w:rPr>
            </w:pPr>
          </w:p>
        </w:tc>
        <w:tc>
          <w:tcPr>
            <w:tcW w:w="3920" w:type="dxa"/>
            <w:vAlign w:val="bottom"/>
          </w:tcPr>
          <w:p>
            <w:pPr>
              <w:spacing w:after="0"/>
              <w:rPr>
                <w:sz w:val="9"/>
                <w:szCs w:val="9"/>
                <w:color w:val="auto"/>
              </w:rPr>
            </w:pPr>
          </w:p>
        </w:tc>
        <w:tc>
          <w:tcPr>
            <w:tcW w:w="820" w:type="dxa"/>
            <w:vAlign w:val="bottom"/>
          </w:tcPr>
          <w:p>
            <w:pPr>
              <w:spacing w:after="0"/>
              <w:rPr>
                <w:sz w:val="9"/>
                <w:szCs w:val="9"/>
                <w:color w:val="auto"/>
              </w:rPr>
            </w:pPr>
          </w:p>
        </w:tc>
        <w:tc>
          <w:tcPr>
            <w:tcW w:w="220" w:type="dxa"/>
            <w:vAlign w:val="bottom"/>
          </w:tcPr>
          <w:p>
            <w:pPr>
              <w:spacing w:after="0"/>
              <w:rPr>
                <w:sz w:val="9"/>
                <w:szCs w:val="9"/>
                <w:color w:val="auto"/>
              </w:rPr>
            </w:pPr>
          </w:p>
        </w:tc>
        <w:tc>
          <w:tcPr>
            <w:tcW w:w="7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420" w:type="dxa"/>
            <w:vAlign w:val="bottom"/>
          </w:tcPr>
          <w:p>
            <w:pPr>
              <w:spacing w:after="0"/>
              <w:rPr>
                <w:sz w:val="9"/>
                <w:szCs w:val="9"/>
                <w:color w:val="auto"/>
              </w:rPr>
            </w:pPr>
          </w:p>
        </w:tc>
        <w:tc>
          <w:tcPr>
            <w:tcW w:w="1040" w:type="dxa"/>
            <w:vAlign w:val="bottom"/>
          </w:tcPr>
          <w:p>
            <w:pPr>
              <w:spacing w:after="0"/>
              <w:rPr>
                <w:sz w:val="9"/>
                <w:szCs w:val="9"/>
                <w:color w:val="auto"/>
              </w:rPr>
            </w:pPr>
          </w:p>
        </w:tc>
        <w:tc>
          <w:tcPr>
            <w:tcW w:w="80" w:type="dxa"/>
            <w:vAlign w:val="bottom"/>
          </w:tcPr>
          <w:p>
            <w:pPr>
              <w:spacing w:after="0"/>
              <w:rPr>
                <w:sz w:val="9"/>
                <w:szCs w:val="9"/>
                <w:color w:val="auto"/>
              </w:rPr>
            </w:pPr>
          </w:p>
        </w:tc>
        <w:tc>
          <w:tcPr>
            <w:tcW w:w="1180" w:type="dxa"/>
            <w:vAlign w:val="bottom"/>
          </w:tcPr>
          <w:p>
            <w:pPr>
              <w:spacing w:after="0"/>
              <w:rPr>
                <w:sz w:val="9"/>
                <w:szCs w:val="9"/>
                <w:color w:val="auto"/>
              </w:rPr>
            </w:pPr>
          </w:p>
        </w:tc>
      </w:tr>
      <w:tr>
        <w:trPr>
          <w:trHeight w:val="61"/>
        </w:trPr>
        <w:tc>
          <w:tcPr>
            <w:tcW w:w="1160" w:type="dxa"/>
            <w:vAlign w:val="bottom"/>
            <w:shd w:val="clear" w:color="auto" w:fill="808080"/>
          </w:tcPr>
          <w:p>
            <w:pPr>
              <w:spacing w:after="0"/>
              <w:rPr>
                <w:sz w:val="5"/>
                <w:szCs w:val="5"/>
                <w:color w:val="auto"/>
              </w:rPr>
            </w:pPr>
          </w:p>
        </w:tc>
        <w:tc>
          <w:tcPr>
            <w:tcW w:w="3920" w:type="dxa"/>
            <w:vAlign w:val="bottom"/>
            <w:shd w:val="clear" w:color="auto" w:fill="808080"/>
          </w:tcPr>
          <w:p>
            <w:pPr>
              <w:spacing w:after="0"/>
              <w:rPr>
                <w:sz w:val="5"/>
                <w:szCs w:val="5"/>
                <w:color w:val="auto"/>
              </w:rPr>
            </w:pPr>
          </w:p>
        </w:tc>
        <w:tc>
          <w:tcPr>
            <w:tcW w:w="820" w:type="dxa"/>
            <w:vAlign w:val="bottom"/>
            <w:shd w:val="clear" w:color="auto" w:fill="808080"/>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740" w:type="dxa"/>
            <w:vAlign w:val="bottom"/>
            <w:shd w:val="clear" w:color="auto" w:fill="808080"/>
          </w:tcPr>
          <w:p>
            <w:pPr>
              <w:spacing w:after="0"/>
              <w:rPr>
                <w:sz w:val="5"/>
                <w:szCs w:val="5"/>
                <w:color w:val="auto"/>
              </w:rPr>
            </w:pPr>
          </w:p>
        </w:tc>
        <w:tc>
          <w:tcPr>
            <w:tcW w:w="180" w:type="dxa"/>
            <w:vAlign w:val="bottom"/>
            <w:shd w:val="clear" w:color="auto" w:fill="808080"/>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1420" w:type="dxa"/>
            <w:vAlign w:val="bottom"/>
            <w:shd w:val="clear" w:color="auto" w:fill="808080"/>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60" w:type="dxa"/>
            <w:vAlign w:val="bottom"/>
            <w:shd w:val="clear" w:color="auto" w:fill="808080"/>
          </w:tcPr>
          <w:p>
            <w:pPr>
              <w:spacing w:after="0"/>
              <w:rPr>
                <w:sz w:val="5"/>
                <w:szCs w:val="5"/>
                <w:color w:val="auto"/>
              </w:rPr>
            </w:pPr>
          </w:p>
        </w:tc>
        <w:tc>
          <w:tcPr>
            <w:tcW w:w="420" w:type="dxa"/>
            <w:vAlign w:val="bottom"/>
            <w:shd w:val="clear" w:color="auto" w:fill="808080"/>
          </w:tcPr>
          <w:p>
            <w:pPr>
              <w:spacing w:after="0"/>
              <w:rPr>
                <w:sz w:val="5"/>
                <w:szCs w:val="5"/>
                <w:color w:val="auto"/>
              </w:rPr>
            </w:pPr>
          </w:p>
        </w:tc>
        <w:tc>
          <w:tcPr>
            <w:tcW w:w="1040" w:type="dxa"/>
            <w:vAlign w:val="bottom"/>
            <w:shd w:val="clear" w:color="auto" w:fill="808080"/>
          </w:tcPr>
          <w:p>
            <w:pPr>
              <w:spacing w:after="0"/>
              <w:rPr>
                <w:sz w:val="5"/>
                <w:szCs w:val="5"/>
                <w:color w:val="auto"/>
              </w:rPr>
            </w:pPr>
          </w:p>
        </w:tc>
        <w:tc>
          <w:tcPr>
            <w:tcW w:w="80" w:type="dxa"/>
            <w:vAlign w:val="bottom"/>
            <w:shd w:val="clear" w:color="auto" w:fill="808080"/>
          </w:tcPr>
          <w:p>
            <w:pPr>
              <w:spacing w:after="0"/>
              <w:rPr>
                <w:sz w:val="5"/>
                <w:szCs w:val="5"/>
                <w:color w:val="auto"/>
              </w:rPr>
            </w:pPr>
          </w:p>
        </w:tc>
        <w:tc>
          <w:tcPr>
            <w:tcW w:w="1180" w:type="dxa"/>
            <w:vAlign w:val="bottom"/>
            <w:shd w:val="clear" w:color="auto" w:fill="808080"/>
          </w:tcPr>
          <w:p>
            <w:pPr>
              <w:spacing w:after="0"/>
              <w:rPr>
                <w:sz w:val="5"/>
                <w:szCs w:val="5"/>
                <w:color w:val="auto"/>
              </w:rPr>
            </w:pPr>
          </w:p>
        </w:tc>
      </w:tr>
    </w:tbl>
    <w:p>
      <w:pPr>
        <w:sectPr>
          <w:pgSz w:w="11900" w:h="16838" w:orient="portrait"/>
          <w:cols w:equalWidth="0" w:num="1">
            <w:col w:w="11460"/>
          </w:cols>
          <w:pgMar w:left="240" w:top="580" w:right="199" w:bottom="1440" w:gutter="0" w:footer="0" w:header="0"/>
        </w:sectPr>
      </w:pPr>
    </w:p>
    <w:bookmarkStart w:id="10" w:name="page11"/>
    <w:bookmarkEnd w:id="10"/>
    <w:p>
      <w:pPr>
        <w:spacing w:after="0" w:line="1" w:lineRule="exact"/>
        <w:rPr>
          <w:sz w:val="20"/>
          <w:szCs w:val="20"/>
          <w:color w:val="auto"/>
        </w:rPr>
      </w:pPr>
    </w:p>
    <w:tbl>
      <w:tblPr>
        <w:tblLayout w:type="fixed"/>
        <w:tblInd w:w="114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3120" w:type="dxa"/>
            <w:vAlign w:val="bottom"/>
          </w:tcPr>
          <w:p>
            <w:pPr>
              <w:spacing w:after="0"/>
              <w:rPr>
                <w:sz w:val="20"/>
                <w:szCs w:val="20"/>
                <w:color w:val="auto"/>
              </w:rPr>
            </w:pPr>
          </w:p>
        </w:tc>
        <w:tc>
          <w:tcPr>
            <w:tcW w:w="2880" w:type="dxa"/>
            <w:vAlign w:val="bottom"/>
            <w:gridSpan w:val="2"/>
          </w:tcPr>
          <w:p>
            <w:pPr>
              <w:jc w:val="center"/>
              <w:spacing w:after="0"/>
              <w:rPr>
                <w:sz w:val="20"/>
                <w:szCs w:val="20"/>
                <w:color w:val="auto"/>
              </w:rPr>
            </w:pPr>
            <w:r>
              <w:rPr>
                <w:rFonts w:ascii="Arial" w:cs="Arial" w:eastAsia="Arial" w:hAnsi="Arial"/>
                <w:sz w:val="18"/>
                <w:szCs w:val="18"/>
                <w:b w:val="1"/>
                <w:bCs w:val="1"/>
                <w:color w:val="auto"/>
              </w:rPr>
              <w:t>CIVEO CORPORATION</w:t>
            </w:r>
          </w:p>
        </w:tc>
        <w:tc>
          <w:tcPr>
            <w:tcW w:w="1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14"/>
        </w:trPr>
        <w:tc>
          <w:tcPr>
            <w:tcW w:w="20" w:type="dxa"/>
            <w:vAlign w:val="bottom"/>
          </w:tcPr>
          <w:p>
            <w:pPr>
              <w:spacing w:after="0"/>
              <w:rPr>
                <w:sz w:val="24"/>
                <w:szCs w:val="24"/>
                <w:color w:val="auto"/>
              </w:rPr>
            </w:pPr>
          </w:p>
        </w:tc>
        <w:tc>
          <w:tcPr>
            <w:tcW w:w="7320" w:type="dxa"/>
            <w:vAlign w:val="bottom"/>
            <w:gridSpan w:val="4"/>
          </w:tcPr>
          <w:p>
            <w:pPr>
              <w:jc w:val="center"/>
              <w:ind w:left="1690"/>
              <w:spacing w:after="0"/>
              <w:rPr>
                <w:sz w:val="20"/>
                <w:szCs w:val="20"/>
                <w:color w:val="auto"/>
              </w:rPr>
            </w:pPr>
            <w:r>
              <w:rPr>
                <w:rFonts w:ascii="Arial" w:cs="Arial" w:eastAsia="Arial" w:hAnsi="Arial"/>
                <w:sz w:val="18"/>
                <w:szCs w:val="18"/>
                <w:b w:val="1"/>
                <w:bCs w:val="1"/>
                <w:color w:val="auto"/>
              </w:rPr>
              <w:t>NOTES TO UNAUDITED CONSOLIDATED</w:t>
            </w: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16"/>
        </w:trPr>
        <w:tc>
          <w:tcPr>
            <w:tcW w:w="20" w:type="dxa"/>
            <w:vAlign w:val="bottom"/>
          </w:tcPr>
          <w:p>
            <w:pPr>
              <w:spacing w:after="0"/>
              <w:rPr>
                <w:sz w:val="18"/>
                <w:szCs w:val="18"/>
                <w:color w:val="auto"/>
              </w:rPr>
            </w:pPr>
          </w:p>
        </w:tc>
        <w:tc>
          <w:tcPr>
            <w:tcW w:w="3120" w:type="dxa"/>
            <w:vAlign w:val="bottom"/>
          </w:tcPr>
          <w:p>
            <w:pPr>
              <w:spacing w:after="0"/>
              <w:rPr>
                <w:sz w:val="18"/>
                <w:szCs w:val="18"/>
                <w:color w:val="auto"/>
              </w:rPr>
            </w:pPr>
          </w:p>
        </w:tc>
        <w:tc>
          <w:tcPr>
            <w:tcW w:w="2880" w:type="dxa"/>
            <w:vAlign w:val="bottom"/>
            <w:gridSpan w:val="2"/>
          </w:tcPr>
          <w:p>
            <w:pPr>
              <w:jc w:val="center"/>
              <w:ind w:right="20"/>
              <w:spacing w:after="0"/>
              <w:rPr>
                <w:sz w:val="20"/>
                <w:szCs w:val="20"/>
                <w:color w:val="auto"/>
              </w:rPr>
            </w:pPr>
            <w:r>
              <w:rPr>
                <w:rFonts w:ascii="Arial" w:cs="Arial" w:eastAsia="Arial" w:hAnsi="Arial"/>
                <w:sz w:val="18"/>
                <w:szCs w:val="18"/>
                <w:b w:val="1"/>
                <w:bCs w:val="1"/>
                <w:color w:val="auto"/>
              </w:rPr>
              <w:t>FINANCIAL STATEMENTS</w:t>
            </w:r>
          </w:p>
        </w:tc>
        <w:tc>
          <w:tcPr>
            <w:tcW w:w="1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4"/>
        </w:trPr>
        <w:tc>
          <w:tcPr>
            <w:tcW w:w="20" w:type="dxa"/>
            <w:vAlign w:val="bottom"/>
          </w:tcPr>
          <w:p>
            <w:pPr>
              <w:spacing w:after="0"/>
              <w:rPr>
                <w:sz w:val="20"/>
                <w:szCs w:val="20"/>
                <w:color w:val="auto"/>
              </w:rPr>
            </w:pPr>
          </w:p>
        </w:tc>
        <w:tc>
          <w:tcPr>
            <w:tcW w:w="3120" w:type="dxa"/>
            <w:vAlign w:val="bottom"/>
          </w:tcPr>
          <w:p>
            <w:pPr>
              <w:spacing w:after="0"/>
              <w:rPr>
                <w:sz w:val="20"/>
                <w:szCs w:val="20"/>
                <w:color w:val="auto"/>
              </w:rPr>
            </w:pPr>
          </w:p>
        </w:tc>
        <w:tc>
          <w:tcPr>
            <w:tcW w:w="2880" w:type="dxa"/>
            <w:vAlign w:val="bottom"/>
            <w:gridSpan w:val="2"/>
          </w:tcPr>
          <w:p>
            <w:pPr>
              <w:jc w:val="center"/>
              <w:ind w:right="20"/>
              <w:spacing w:after="0"/>
              <w:rPr>
                <w:sz w:val="20"/>
                <w:szCs w:val="20"/>
                <w:color w:val="auto"/>
              </w:rPr>
            </w:pPr>
            <w:r>
              <w:rPr>
                <w:rFonts w:ascii="Arial" w:cs="Arial" w:eastAsia="Arial" w:hAnsi="Arial"/>
                <w:sz w:val="18"/>
                <w:szCs w:val="18"/>
                <w:b w:val="1"/>
                <w:bCs w:val="1"/>
                <w:color w:val="auto"/>
                <w:w w:val="93"/>
              </w:rPr>
              <w:t>(Continued)</w:t>
            </w:r>
          </w:p>
        </w:tc>
        <w:tc>
          <w:tcPr>
            <w:tcW w:w="1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14"/>
        </w:trPr>
        <w:tc>
          <w:tcPr>
            <w:tcW w:w="2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20" w:type="dxa"/>
            <w:vAlign w:val="bottom"/>
          </w:tcPr>
          <w:p>
            <w:pPr>
              <w:jc w:val="right"/>
              <w:ind w:right="290"/>
              <w:spacing w:after="0"/>
              <w:rPr>
                <w:sz w:val="20"/>
                <w:szCs w:val="20"/>
                <w:color w:val="auto"/>
              </w:rPr>
            </w:pPr>
            <w:r>
              <w:rPr>
                <w:rFonts w:ascii="Arial" w:cs="Arial" w:eastAsia="Arial" w:hAnsi="Arial"/>
                <w:sz w:val="18"/>
                <w:szCs w:val="18"/>
                <w:b w:val="1"/>
                <w:bCs w:val="1"/>
                <w:color w:val="auto"/>
              </w:rPr>
              <w:t>March 31,</w:t>
            </w: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80" w:type="dxa"/>
            <w:vAlign w:val="bottom"/>
          </w:tcPr>
          <w:p>
            <w:pPr>
              <w:jc w:val="right"/>
              <w:ind w:right="170"/>
              <w:spacing w:after="0"/>
              <w:rPr>
                <w:sz w:val="20"/>
                <w:szCs w:val="20"/>
                <w:color w:val="auto"/>
              </w:rPr>
            </w:pPr>
            <w:r>
              <w:rPr>
                <w:rFonts w:ascii="Arial" w:cs="Arial" w:eastAsia="Arial" w:hAnsi="Arial"/>
                <w:sz w:val="18"/>
                <w:szCs w:val="18"/>
                <w:b w:val="1"/>
                <w:bCs w:val="1"/>
                <w:color w:val="auto"/>
                <w:w w:val="93"/>
              </w:rPr>
              <w:t>December 31,</w:t>
            </w:r>
          </w:p>
        </w:tc>
        <w:tc>
          <w:tcPr>
            <w:tcW w:w="80" w:type="dxa"/>
            <w:vAlign w:val="bottom"/>
          </w:tcPr>
          <w:p>
            <w:pPr>
              <w:spacing w:after="0"/>
              <w:rPr>
                <w:sz w:val="24"/>
                <w:szCs w:val="24"/>
                <w:color w:val="auto"/>
              </w:rPr>
            </w:pPr>
          </w:p>
        </w:tc>
      </w:tr>
      <w:tr>
        <w:trPr>
          <w:trHeight w:val="234"/>
        </w:trPr>
        <w:tc>
          <w:tcPr>
            <w:tcW w:w="20" w:type="dxa"/>
            <w:vAlign w:val="bottom"/>
          </w:tcPr>
          <w:p>
            <w:pPr>
              <w:spacing w:after="0"/>
              <w:rPr>
                <w:sz w:val="20"/>
                <w:szCs w:val="20"/>
                <w:color w:val="auto"/>
              </w:rPr>
            </w:pPr>
          </w:p>
        </w:tc>
        <w:tc>
          <w:tcPr>
            <w:tcW w:w="3120" w:type="dxa"/>
            <w:vAlign w:val="bottom"/>
          </w:tcPr>
          <w:p>
            <w:pPr>
              <w:spacing w:after="0"/>
              <w:rPr>
                <w:sz w:val="20"/>
                <w:szCs w:val="20"/>
                <w:color w:val="auto"/>
              </w:rPr>
            </w:pPr>
          </w:p>
        </w:tc>
        <w:tc>
          <w:tcPr>
            <w:tcW w:w="26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2017</w:t>
            </w:r>
          </w:p>
        </w:tc>
        <w:tc>
          <w:tcPr>
            <w:tcW w:w="1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2016</w:t>
            </w:r>
          </w:p>
        </w:tc>
        <w:tc>
          <w:tcPr>
            <w:tcW w:w="80" w:type="dxa"/>
            <w:vAlign w:val="bottom"/>
          </w:tcPr>
          <w:p>
            <w:pPr>
              <w:spacing w:after="0"/>
              <w:rPr>
                <w:sz w:val="20"/>
                <w:szCs w:val="20"/>
                <w:color w:val="auto"/>
              </w:rPr>
            </w:pPr>
          </w:p>
        </w:tc>
      </w:tr>
      <w:tr>
        <w:trPr>
          <w:trHeight w:val="210"/>
        </w:trPr>
        <w:tc>
          <w:tcPr>
            <w:tcW w:w="20" w:type="dxa"/>
            <w:vAlign w:val="bottom"/>
          </w:tcPr>
          <w:p>
            <w:pPr>
              <w:spacing w:after="0"/>
              <w:rPr>
                <w:sz w:val="18"/>
                <w:szCs w:val="18"/>
                <w:color w:val="auto"/>
              </w:rPr>
            </w:pPr>
          </w:p>
        </w:tc>
        <w:tc>
          <w:tcPr>
            <w:tcW w:w="31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Accrued liabilities:</w:t>
            </w:r>
          </w:p>
        </w:tc>
        <w:tc>
          <w:tcPr>
            <w:tcW w:w="26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120" w:type="dxa"/>
            <w:vAlign w:val="bottom"/>
          </w:tcPr>
          <w:p>
            <w:pPr>
              <w:spacing w:after="0"/>
              <w:rPr>
                <w:sz w:val="20"/>
                <w:szCs w:val="20"/>
                <w:color w:val="auto"/>
              </w:rPr>
            </w:pPr>
            <w:r>
              <w:rPr>
                <w:rFonts w:ascii="Arial" w:cs="Arial" w:eastAsia="Arial" w:hAnsi="Arial"/>
                <w:sz w:val="18"/>
                <w:szCs w:val="18"/>
                <w:color w:val="auto"/>
              </w:rPr>
              <w:t>Accrued compensation</w:t>
            </w:r>
          </w:p>
        </w:tc>
        <w:tc>
          <w:tcPr>
            <w:tcW w:w="28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7,580</w:t>
            </w:r>
          </w:p>
        </w:tc>
        <w:tc>
          <w:tcPr>
            <w:tcW w:w="3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11,879</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120" w:type="dxa"/>
            <w:vAlign w:val="bottom"/>
            <w:shd w:val="clear" w:color="auto" w:fill="CCEEFF"/>
          </w:tcPr>
          <w:p>
            <w:pPr>
              <w:spacing w:after="0"/>
              <w:rPr>
                <w:sz w:val="20"/>
                <w:szCs w:val="20"/>
                <w:color w:val="auto"/>
              </w:rPr>
            </w:pPr>
            <w:r>
              <w:rPr>
                <w:rFonts w:ascii="Arial" w:cs="Arial" w:eastAsia="Arial" w:hAnsi="Arial"/>
                <w:sz w:val="18"/>
                <w:szCs w:val="18"/>
                <w:color w:val="auto"/>
                <w:w w:val="98"/>
              </w:rPr>
              <w:t>Accrued taxes, other than income taxes</w:t>
            </w:r>
          </w:p>
        </w:tc>
        <w:tc>
          <w:tcPr>
            <w:tcW w:w="26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2,078</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727</w:t>
            </w: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120" w:type="dxa"/>
            <w:vAlign w:val="bottom"/>
          </w:tcPr>
          <w:p>
            <w:pPr>
              <w:spacing w:after="0"/>
              <w:rPr>
                <w:sz w:val="20"/>
                <w:szCs w:val="20"/>
                <w:color w:val="auto"/>
              </w:rPr>
            </w:pPr>
            <w:r>
              <w:rPr>
                <w:rFonts w:ascii="Arial" w:cs="Arial" w:eastAsia="Arial" w:hAnsi="Arial"/>
                <w:sz w:val="18"/>
                <w:szCs w:val="18"/>
                <w:color w:val="auto"/>
              </w:rPr>
              <w:t>Accrued interest</w:t>
            </w:r>
          </w:p>
        </w:tc>
        <w:tc>
          <w:tcPr>
            <w:tcW w:w="2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9</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194</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1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w:t>
            </w:r>
          </w:p>
        </w:tc>
        <w:tc>
          <w:tcPr>
            <w:tcW w:w="264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696</w:t>
            </w:r>
          </w:p>
        </w:tc>
        <w:tc>
          <w:tcPr>
            <w:tcW w:w="1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1,578</w:t>
            </w:r>
          </w:p>
        </w:tc>
        <w:tc>
          <w:tcPr>
            <w:tcW w:w="80" w:type="dxa"/>
            <w:vAlign w:val="bottom"/>
            <w:tcBorders>
              <w:bottom w:val="single" w:sz="8" w:color="CCEEFF"/>
            </w:tcBorders>
            <w:shd w:val="clear" w:color="auto" w:fill="CCEEFF"/>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3120" w:type="dxa"/>
            <w:vAlign w:val="bottom"/>
          </w:tcPr>
          <w:p>
            <w:pPr>
              <w:spacing w:after="0"/>
              <w:rPr>
                <w:sz w:val="20"/>
                <w:szCs w:val="20"/>
                <w:color w:val="auto"/>
              </w:rPr>
            </w:pPr>
            <w:r>
              <w:rPr>
                <w:rFonts w:ascii="Arial" w:cs="Arial" w:eastAsia="Arial" w:hAnsi="Arial"/>
                <w:sz w:val="18"/>
                <w:szCs w:val="18"/>
                <w:color w:val="auto"/>
              </w:rPr>
              <w:t>Total accrued liabilities</w:t>
            </w:r>
          </w:p>
        </w:tc>
        <w:tc>
          <w:tcPr>
            <w:tcW w:w="28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10,363</w:t>
            </w:r>
          </w:p>
        </w:tc>
        <w:tc>
          <w:tcPr>
            <w:tcW w:w="3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14,378</w:t>
            </w:r>
          </w:p>
        </w:tc>
        <w:tc>
          <w:tcPr>
            <w:tcW w:w="8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b w:val="1"/>
          <w:bCs w:val="1"/>
          <w:color w:val="auto"/>
        </w:rPr>
        <w:t>5.</w:t>
        <w:tab/>
        <w:t>IMPAIRMENT CHARGES</w:t>
      </w:r>
    </w:p>
    <w:p>
      <w:pPr>
        <w:spacing w:after="0" w:line="229" w:lineRule="exact"/>
        <w:rPr>
          <w:sz w:val="20"/>
          <w:szCs w:val="20"/>
          <w:color w:val="auto"/>
        </w:rPr>
      </w:pPr>
    </w:p>
    <w:p>
      <w:pPr>
        <w:ind w:right="100" w:firstLine="324"/>
        <w:spacing w:after="0" w:line="257" w:lineRule="auto"/>
        <w:rPr>
          <w:sz w:val="20"/>
          <w:szCs w:val="20"/>
          <w:color w:val="auto"/>
        </w:rPr>
      </w:pPr>
      <w:r>
        <w:rPr>
          <w:rFonts w:ascii="Arial" w:cs="Arial" w:eastAsia="Arial" w:hAnsi="Arial"/>
          <w:sz w:val="18"/>
          <w:szCs w:val="18"/>
          <w:b w:val="1"/>
          <w:bCs w:val="1"/>
          <w:i w:val="1"/>
          <w:iCs w:val="1"/>
          <w:color w:val="auto"/>
        </w:rPr>
        <w:t xml:space="preserve">Quarter ended March 31, 2016. </w:t>
      </w:r>
      <w:r>
        <w:rPr>
          <w:rFonts w:ascii="Arial" w:cs="Arial" w:eastAsia="Arial" w:hAnsi="Arial"/>
          <w:sz w:val="18"/>
          <w:szCs w:val="18"/>
          <w:color w:val="auto"/>
        </w:rPr>
        <w:t>During the first quarter of 2016, we recorded an impairment expense of $8.4 million, resulting from the impairment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fixed assets in our U.S. segment, due to a continued reduction of U.S. drilling activity in the Bakken Shale region. These fixed assets were written down to fair value of $3.8 million. We assessed the carrying values of the relevant asset groups to determine if they continued to be recoverable based on estimated future cash flows. Based on that assessment, the carrying values were determined to not be recoverable, and we proceeded to compare the fair value of those assets groups to the respective carrying values.</w:t>
      </w:r>
    </w:p>
    <w:p>
      <w:pPr>
        <w:spacing w:after="0" w:line="184" w:lineRule="exact"/>
        <w:rPr>
          <w:sz w:val="20"/>
          <w:szCs w:val="20"/>
          <w:color w:val="auto"/>
        </w:rPr>
      </w:pPr>
    </w:p>
    <w:p>
      <w:pPr>
        <w:ind w:left="340" w:hanging="332"/>
        <w:spacing w:after="0"/>
        <w:tabs>
          <w:tab w:leader="none" w:pos="34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EARNINGS PER SHARE</w:t>
      </w:r>
    </w:p>
    <w:p>
      <w:pPr>
        <w:spacing w:after="0" w:line="229"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7"/>
          <w:szCs w:val="17"/>
          <w:color w:val="auto"/>
        </w:rPr>
        <w:t>The calculation of earnings per share attributable to Civeo is presented below for the periods indicated (in thousands, except per share amounts):</w:t>
      </w:r>
    </w:p>
    <w:p>
      <w:pPr>
        <w:spacing w:after="0" w:line="233"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360" w:type="dxa"/>
            <w:vAlign w:val="bottom"/>
            <w:gridSpan w:val="7"/>
          </w:tcPr>
          <w:p>
            <w:pPr>
              <w:jc w:val="right"/>
              <w:ind w:right="640"/>
              <w:spacing w:after="0"/>
              <w:rPr>
                <w:sz w:val="20"/>
                <w:szCs w:val="20"/>
                <w:color w:val="auto"/>
              </w:rPr>
            </w:pPr>
            <w:r>
              <w:rPr>
                <w:rFonts w:ascii="Arial" w:cs="Arial" w:eastAsia="Arial" w:hAnsi="Arial"/>
                <w:sz w:val="18"/>
                <w:szCs w:val="18"/>
                <w:b w:val="1"/>
                <w:bCs w:val="1"/>
                <w:color w:val="auto"/>
              </w:rPr>
              <w:t>THREE MONTHS ENDED</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1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gridSpan w:val="4"/>
          </w:tcPr>
          <w:p>
            <w:pPr>
              <w:jc w:val="right"/>
              <w:ind w:right="25"/>
              <w:spacing w:after="0"/>
              <w:rPr>
                <w:sz w:val="20"/>
                <w:szCs w:val="20"/>
                <w:color w:val="auto"/>
              </w:rPr>
            </w:pPr>
            <w:r>
              <w:rPr>
                <w:rFonts w:ascii="Arial" w:cs="Arial" w:eastAsia="Arial" w:hAnsi="Arial"/>
                <w:sz w:val="18"/>
                <w:szCs w:val="18"/>
                <w:b w:val="1"/>
                <w:bCs w:val="1"/>
                <w:color w:val="auto"/>
              </w:rPr>
              <w:t>MARCH 31,</w:t>
            </w:r>
          </w:p>
        </w:tc>
        <w:tc>
          <w:tcPr>
            <w:tcW w:w="106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2017</w:t>
            </w:r>
          </w:p>
        </w:tc>
        <w:tc>
          <w:tcPr>
            <w:tcW w:w="60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2016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1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Basic Loss per Share</w:t>
            </w:r>
          </w:p>
        </w:tc>
        <w:tc>
          <w:tcPr>
            <w:tcW w:w="6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tcPr>
          <w:p>
            <w:pPr>
              <w:spacing w:after="0"/>
              <w:rPr>
                <w:sz w:val="20"/>
                <w:szCs w:val="20"/>
                <w:color w:val="auto"/>
              </w:rPr>
            </w:pPr>
            <w:r>
              <w:rPr>
                <w:rFonts w:ascii="Arial" w:cs="Arial" w:eastAsia="Arial" w:hAnsi="Arial"/>
                <w:sz w:val="18"/>
                <w:szCs w:val="18"/>
                <w:color w:val="auto"/>
              </w:rPr>
              <w:t>Net loss attributable to Civeo</w:t>
            </w:r>
          </w:p>
        </w:tc>
        <w:tc>
          <w:tcPr>
            <w:tcW w:w="1600" w:type="dxa"/>
            <w:vAlign w:val="bottom"/>
            <w:gridSpan w:val="2"/>
          </w:tcPr>
          <w:p>
            <w:pPr>
              <w:jc w:val="right"/>
              <w:ind w:right="795"/>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w w:val="95"/>
              </w:rPr>
              <w:t>(20,987)</w:t>
            </w:r>
          </w:p>
        </w:tc>
        <w:tc>
          <w:tcPr>
            <w:tcW w:w="540" w:type="dxa"/>
            <w:vAlign w:val="bottom"/>
            <w:gridSpan w:val="2"/>
          </w:tcPr>
          <w:p>
            <w:pPr>
              <w:jc w:val="right"/>
              <w:ind w:right="325"/>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(26,822)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Less: undistributed net income to participating securities</w:t>
            </w:r>
          </w:p>
        </w:tc>
        <w:tc>
          <w:tcPr>
            <w:tcW w:w="64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120" w:type="dxa"/>
            <w:vAlign w:val="bottom"/>
          </w:tcPr>
          <w:p>
            <w:pPr>
              <w:spacing w:after="0"/>
              <w:rPr>
                <w:sz w:val="20"/>
                <w:szCs w:val="20"/>
                <w:color w:val="auto"/>
              </w:rPr>
            </w:pPr>
            <w:r>
              <w:rPr>
                <w:rFonts w:ascii="Arial" w:cs="Arial" w:eastAsia="Arial" w:hAnsi="Arial"/>
                <w:sz w:val="18"/>
                <w:szCs w:val="18"/>
                <w:color w:val="auto"/>
              </w:rPr>
              <w:t>Net loss attributable to Civeo’s common shareholders - basic</w:t>
            </w:r>
          </w:p>
        </w:tc>
        <w:tc>
          <w:tcPr>
            <w:tcW w:w="1600" w:type="dxa"/>
            <w:vAlign w:val="bottom"/>
            <w:gridSpan w:val="2"/>
          </w:tcPr>
          <w:p>
            <w:pPr>
              <w:jc w:val="right"/>
              <w:ind w:right="795"/>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w w:val="95"/>
              </w:rPr>
              <w:t>(20,987)</w:t>
            </w:r>
          </w:p>
        </w:tc>
        <w:tc>
          <w:tcPr>
            <w:tcW w:w="540" w:type="dxa"/>
            <w:vAlign w:val="bottom"/>
            <w:gridSpan w:val="2"/>
          </w:tcPr>
          <w:p>
            <w:pPr>
              <w:jc w:val="right"/>
              <w:ind w:right="325"/>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(26,822)</w:t>
            </w:r>
          </w:p>
        </w:tc>
        <w:tc>
          <w:tcPr>
            <w:tcW w:w="0" w:type="dxa"/>
            <w:vAlign w:val="bottom"/>
          </w:tcPr>
          <w:p>
            <w:pPr>
              <w:spacing w:after="0"/>
              <w:rPr>
                <w:sz w:val="1"/>
                <w:szCs w:val="1"/>
                <w:color w:val="auto"/>
              </w:rPr>
            </w:pPr>
          </w:p>
        </w:tc>
      </w:tr>
      <w:tr>
        <w:trPr>
          <w:trHeight w:val="20"/>
        </w:trPr>
        <w:tc>
          <w:tcPr>
            <w:tcW w:w="514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5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20" w:type="dxa"/>
            <w:vAlign w:val="bottom"/>
          </w:tcPr>
          <w:p>
            <w:pPr>
              <w:spacing w:after="0"/>
              <w:rPr>
                <w:sz w:val="20"/>
                <w:szCs w:val="20"/>
                <w:color w:val="auto"/>
              </w:rPr>
            </w:pPr>
            <w:r>
              <w:rPr>
                <w:rFonts w:ascii="Arial" w:cs="Arial" w:eastAsia="Arial" w:hAnsi="Arial"/>
                <w:sz w:val="18"/>
                <w:szCs w:val="18"/>
                <w:color w:val="auto"/>
              </w:rPr>
              <w:t>Weighted average common shares outstanding - basic</w:t>
            </w:r>
          </w:p>
        </w:tc>
        <w:tc>
          <w:tcPr>
            <w:tcW w:w="6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120,846</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106,814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12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spacing w:after="0"/>
              <w:rPr>
                <w:sz w:val="18"/>
                <w:szCs w:val="18"/>
                <w:color w:val="auto"/>
              </w:rPr>
            </w:pPr>
          </w:p>
        </w:tc>
        <w:tc>
          <w:tcPr>
            <w:tcW w:w="720" w:type="dxa"/>
            <w:vAlign w:val="bottom"/>
            <w:gridSpan w:val="2"/>
            <w:shd w:val="clear" w:color="auto" w:fill="CCEEFF"/>
          </w:tcPr>
          <w:p>
            <w:pPr>
              <w:spacing w:after="0"/>
              <w:rPr>
                <w:sz w:val="18"/>
                <w:szCs w:val="18"/>
                <w:color w:val="auto"/>
              </w:rPr>
            </w:pPr>
          </w:p>
        </w:tc>
        <w:tc>
          <w:tcPr>
            <w:tcW w:w="540" w:type="dxa"/>
            <w:vAlign w:val="bottom"/>
            <w:gridSpan w:val="2"/>
            <w:shd w:val="clear" w:color="auto" w:fill="CCEEFF"/>
          </w:tcPr>
          <w:p>
            <w:pPr>
              <w:spacing w:after="0"/>
              <w:rPr>
                <w:sz w:val="18"/>
                <w:szCs w:val="18"/>
                <w:color w:val="auto"/>
              </w:rPr>
            </w:pPr>
          </w:p>
        </w:tc>
        <w:tc>
          <w:tcPr>
            <w:tcW w:w="114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20" w:type="dxa"/>
            <w:vAlign w:val="bottom"/>
          </w:tcPr>
          <w:p>
            <w:pPr>
              <w:spacing w:after="0"/>
              <w:rPr>
                <w:sz w:val="20"/>
                <w:szCs w:val="20"/>
                <w:color w:val="auto"/>
              </w:rPr>
            </w:pPr>
            <w:r>
              <w:rPr>
                <w:rFonts w:ascii="Arial" w:cs="Arial" w:eastAsia="Arial" w:hAnsi="Arial"/>
                <w:sz w:val="18"/>
                <w:szCs w:val="18"/>
                <w:color w:val="auto"/>
              </w:rPr>
              <w:t>Basic loss per share</w:t>
            </w:r>
          </w:p>
        </w:tc>
        <w:tc>
          <w:tcPr>
            <w:tcW w:w="1600" w:type="dxa"/>
            <w:vAlign w:val="bottom"/>
            <w:gridSpan w:val="2"/>
          </w:tcPr>
          <w:p>
            <w:pPr>
              <w:jc w:val="right"/>
              <w:ind w:right="795"/>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(0.17)</w:t>
            </w:r>
          </w:p>
        </w:tc>
        <w:tc>
          <w:tcPr>
            <w:tcW w:w="540" w:type="dxa"/>
            <w:vAlign w:val="bottom"/>
            <w:gridSpan w:val="2"/>
          </w:tcPr>
          <w:p>
            <w:pPr>
              <w:jc w:val="right"/>
              <w:ind w:right="325"/>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(0.25)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20" w:type="dxa"/>
            <w:vAlign w:val="bottom"/>
          </w:tcPr>
          <w:p>
            <w:pPr>
              <w:spacing w:after="0"/>
              <w:rPr>
                <w:sz w:val="20"/>
                <w:szCs w:val="20"/>
                <w:color w:val="auto"/>
              </w:rPr>
            </w:pPr>
            <w:r>
              <w:rPr>
                <w:rFonts w:ascii="Arial" w:cs="Arial" w:eastAsia="Arial" w:hAnsi="Arial"/>
                <w:sz w:val="18"/>
                <w:szCs w:val="18"/>
                <w:b w:val="1"/>
                <w:bCs w:val="1"/>
                <w:color w:val="auto"/>
              </w:rPr>
              <w:t>Diluted Loss per Share</w:t>
            </w:r>
          </w:p>
        </w:tc>
        <w:tc>
          <w:tcPr>
            <w:tcW w:w="6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Net loss attributable to Civeo’s common shareholders - basic</w:t>
            </w:r>
          </w:p>
        </w:tc>
        <w:tc>
          <w:tcPr>
            <w:tcW w:w="1600" w:type="dxa"/>
            <w:vAlign w:val="bottom"/>
            <w:gridSpan w:val="2"/>
            <w:shd w:val="clear" w:color="auto" w:fill="CCEEFF"/>
          </w:tcPr>
          <w:p>
            <w:pPr>
              <w:jc w:val="right"/>
              <w:ind w:right="795"/>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5"/>
              </w:rPr>
              <w:t>(20,987)</w:t>
            </w:r>
          </w:p>
        </w:tc>
        <w:tc>
          <w:tcPr>
            <w:tcW w:w="540" w:type="dxa"/>
            <w:vAlign w:val="bottom"/>
            <w:gridSpan w:val="2"/>
            <w:shd w:val="clear" w:color="auto" w:fill="CCEEFF"/>
          </w:tcPr>
          <w:p>
            <w:pPr>
              <w:jc w:val="right"/>
              <w:ind w:right="325"/>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(26,822)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tcPr>
          <w:p>
            <w:pPr>
              <w:spacing w:after="0"/>
              <w:rPr>
                <w:sz w:val="20"/>
                <w:szCs w:val="20"/>
                <w:color w:val="auto"/>
              </w:rPr>
            </w:pPr>
            <w:r>
              <w:rPr>
                <w:rFonts w:ascii="Arial" w:cs="Arial" w:eastAsia="Arial" w:hAnsi="Arial"/>
                <w:sz w:val="18"/>
                <w:szCs w:val="18"/>
                <w:color w:val="auto"/>
              </w:rPr>
              <w:t>Less: undistributed net income to participating securities</w:t>
            </w:r>
          </w:p>
        </w:tc>
        <w:tc>
          <w:tcPr>
            <w:tcW w:w="640" w:type="dxa"/>
            <w:vAlign w:val="bottom"/>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51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loss attributable to Civeo’s common shareholders - diluted</w:t>
            </w:r>
          </w:p>
        </w:tc>
        <w:tc>
          <w:tcPr>
            <w:tcW w:w="6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ind w:right="795"/>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(20,987)</w:t>
            </w:r>
          </w:p>
        </w:tc>
        <w:tc>
          <w:tcPr>
            <w:tcW w:w="1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ind w:right="325"/>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(26,822)</w:t>
            </w:r>
          </w:p>
        </w:tc>
        <w:tc>
          <w:tcPr>
            <w:tcW w:w="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5140" w:type="dxa"/>
            <w:vAlign w:val="bottom"/>
            <w:gridSpan w:val="2"/>
          </w:tcPr>
          <w:p>
            <w:pPr>
              <w:spacing w:after="0"/>
              <w:rPr>
                <w:sz w:val="17"/>
                <w:szCs w:val="17"/>
                <w:color w:val="auto"/>
              </w:rPr>
            </w:pPr>
          </w:p>
        </w:tc>
        <w:tc>
          <w:tcPr>
            <w:tcW w:w="6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20" w:type="dxa"/>
            <w:vAlign w:val="bottom"/>
          </w:tcPr>
          <w:p>
            <w:pPr>
              <w:spacing w:after="0"/>
              <w:rPr>
                <w:sz w:val="20"/>
                <w:szCs w:val="20"/>
                <w:color w:val="auto"/>
              </w:rPr>
            </w:pPr>
            <w:r>
              <w:rPr>
                <w:rFonts w:ascii="Arial" w:cs="Arial" w:eastAsia="Arial" w:hAnsi="Arial"/>
                <w:sz w:val="18"/>
                <w:szCs w:val="18"/>
                <w:color w:val="auto"/>
              </w:rPr>
              <w:t>Weighted average common shares outstanding - basic</w:t>
            </w:r>
          </w:p>
        </w:tc>
        <w:tc>
          <w:tcPr>
            <w:tcW w:w="6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120,846</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106,814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tcBorders>
              <w:bottom w:val="single" w:sz="8" w:color="CCEEFF"/>
            </w:tcBorders>
            <w:shd w:val="clear" w:color="auto" w:fill="CCEEFF"/>
          </w:tcPr>
          <w:p>
            <w:pPr>
              <w:spacing w:after="0" w:line="216" w:lineRule="exact"/>
              <w:rPr>
                <w:sz w:val="20"/>
                <w:szCs w:val="20"/>
                <w:color w:val="auto"/>
              </w:rPr>
            </w:pPr>
            <w:r>
              <w:rPr>
                <w:rFonts w:ascii="Arial" w:cs="Arial" w:eastAsia="Arial" w:hAnsi="Arial"/>
                <w:sz w:val="14"/>
                <w:szCs w:val="14"/>
                <w:color w:val="auto"/>
              </w:rPr>
              <w:t xml:space="preserve">Effect of dilutive securities </w:t>
            </w:r>
            <w:r>
              <w:rPr>
                <w:rFonts w:ascii="Arial" w:cs="Arial" w:eastAsia="Arial" w:hAnsi="Arial"/>
                <w:sz w:val="25"/>
                <w:szCs w:val="25"/>
                <w:color w:val="auto"/>
                <w:vertAlign w:val="superscript"/>
              </w:rPr>
              <w:t>(1)</w:t>
            </w:r>
          </w:p>
        </w:tc>
        <w:tc>
          <w:tcPr>
            <w:tcW w:w="64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120" w:type="dxa"/>
            <w:vAlign w:val="bottom"/>
          </w:tcPr>
          <w:p>
            <w:pPr>
              <w:spacing w:after="0"/>
              <w:rPr>
                <w:sz w:val="20"/>
                <w:szCs w:val="20"/>
                <w:color w:val="auto"/>
              </w:rPr>
            </w:pPr>
            <w:r>
              <w:rPr>
                <w:rFonts w:ascii="Arial" w:cs="Arial" w:eastAsia="Arial" w:hAnsi="Arial"/>
                <w:sz w:val="18"/>
                <w:szCs w:val="18"/>
                <w:color w:val="auto"/>
              </w:rPr>
              <w:t>Weighted average common shares outstanding - diluted</w:t>
            </w:r>
          </w:p>
        </w:tc>
        <w:tc>
          <w:tcPr>
            <w:tcW w:w="6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120,846</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106,814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12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spacing w:after="0"/>
              <w:rPr>
                <w:sz w:val="18"/>
                <w:szCs w:val="18"/>
                <w:color w:val="auto"/>
              </w:rPr>
            </w:pPr>
          </w:p>
        </w:tc>
        <w:tc>
          <w:tcPr>
            <w:tcW w:w="720" w:type="dxa"/>
            <w:vAlign w:val="bottom"/>
            <w:gridSpan w:val="2"/>
            <w:shd w:val="clear" w:color="auto" w:fill="CCEEFF"/>
          </w:tcPr>
          <w:p>
            <w:pPr>
              <w:spacing w:after="0"/>
              <w:rPr>
                <w:sz w:val="18"/>
                <w:szCs w:val="18"/>
                <w:color w:val="auto"/>
              </w:rPr>
            </w:pPr>
          </w:p>
        </w:tc>
        <w:tc>
          <w:tcPr>
            <w:tcW w:w="540" w:type="dxa"/>
            <w:vAlign w:val="bottom"/>
            <w:gridSpan w:val="2"/>
            <w:shd w:val="clear" w:color="auto" w:fill="CCEEFF"/>
          </w:tcPr>
          <w:p>
            <w:pPr>
              <w:spacing w:after="0"/>
              <w:rPr>
                <w:sz w:val="18"/>
                <w:szCs w:val="18"/>
                <w:color w:val="auto"/>
              </w:rPr>
            </w:pPr>
          </w:p>
        </w:tc>
        <w:tc>
          <w:tcPr>
            <w:tcW w:w="114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20"/>
                <w:szCs w:val="20"/>
                <w:color w:val="auto"/>
              </w:rPr>
            </w:pPr>
          </w:p>
        </w:tc>
        <w:tc>
          <w:tcPr>
            <w:tcW w:w="5120" w:type="dxa"/>
            <w:vAlign w:val="bottom"/>
          </w:tcPr>
          <w:p>
            <w:pPr>
              <w:spacing w:after="0"/>
              <w:rPr>
                <w:sz w:val="20"/>
                <w:szCs w:val="20"/>
                <w:color w:val="auto"/>
              </w:rPr>
            </w:pPr>
            <w:r>
              <w:rPr>
                <w:rFonts w:ascii="Arial" w:cs="Arial" w:eastAsia="Arial" w:hAnsi="Arial"/>
                <w:sz w:val="18"/>
                <w:szCs w:val="18"/>
                <w:color w:val="auto"/>
              </w:rPr>
              <w:t>Diluted loss per share</w:t>
            </w:r>
          </w:p>
        </w:tc>
        <w:tc>
          <w:tcPr>
            <w:tcW w:w="1600" w:type="dxa"/>
            <w:vAlign w:val="bottom"/>
            <w:gridSpan w:val="2"/>
          </w:tcPr>
          <w:p>
            <w:pPr>
              <w:jc w:val="right"/>
              <w:ind w:right="795"/>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(0.17)</w:t>
            </w:r>
          </w:p>
        </w:tc>
        <w:tc>
          <w:tcPr>
            <w:tcW w:w="540" w:type="dxa"/>
            <w:vAlign w:val="bottom"/>
            <w:gridSpan w:val="2"/>
          </w:tcPr>
          <w:p>
            <w:pPr>
              <w:jc w:val="right"/>
              <w:ind w:right="325"/>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(0.25)</w:t>
            </w:r>
          </w:p>
        </w:tc>
        <w:tc>
          <w:tcPr>
            <w:tcW w:w="0" w:type="dxa"/>
            <w:vAlign w:val="bottom"/>
          </w:tcPr>
          <w:p>
            <w:pPr>
              <w:spacing w:after="0"/>
              <w:rPr>
                <w:sz w:val="1"/>
                <w:szCs w:val="1"/>
                <w:color w:val="auto"/>
              </w:rPr>
            </w:pPr>
          </w:p>
        </w:tc>
      </w:tr>
    </w:tbl>
    <w:p>
      <w:pPr>
        <w:spacing w:after="0" w:line="187" w:lineRule="exact"/>
        <w:rPr>
          <w:sz w:val="20"/>
          <w:szCs w:val="20"/>
          <w:color w:val="auto"/>
        </w:rPr>
      </w:pPr>
    </w:p>
    <w:p>
      <w:pPr>
        <w:jc w:val="both"/>
        <w:ind w:left="340" w:hanging="332"/>
        <w:spacing w:after="0" w:line="203" w:lineRule="auto"/>
        <w:tabs>
          <w:tab w:leader="none" w:pos="340" w:val="left"/>
        </w:tabs>
        <w:numPr>
          <w:ilvl w:val="0"/>
          <w:numId w:val="8"/>
        </w:numPr>
        <w:rPr>
          <w:rFonts w:ascii="Arial" w:cs="Arial" w:eastAsia="Arial" w:hAnsi="Arial"/>
          <w:sz w:val="36"/>
          <w:szCs w:val="36"/>
          <w:color w:val="auto"/>
          <w:vertAlign w:val="superscript"/>
        </w:rPr>
      </w:pPr>
      <w:r>
        <w:rPr>
          <w:rFonts w:ascii="Arial" w:cs="Arial" w:eastAsia="Arial" w:hAnsi="Arial"/>
          <w:sz w:val="18"/>
          <w:szCs w:val="18"/>
          <w:color w:val="auto"/>
        </w:rPr>
        <w:t>When an entity has a net loss from continuing operations, it is prohibited from including potential common shares in the computation of diluted per share amounts. Accordingly, we have utilized the basic shares outstanding amount to calculate both basic and diluted loss per share for the three months ended March 31, 2017 and 2016. In the three months ended March 31, 2017 and 2016, we excluded from the calculation 1.8 million and 1.4 million share based awards, respectively, since the effect would have been anti-dilutive.</w:t>
      </w:r>
    </w:p>
    <w:p>
      <w:pPr>
        <w:spacing w:after="0" w:line="200" w:lineRule="exact"/>
        <w:rPr>
          <w:sz w:val="20"/>
          <w:szCs w:val="20"/>
          <w:color w:val="auto"/>
        </w:rPr>
      </w:pPr>
    </w:p>
    <w:p>
      <w:pPr>
        <w:spacing w:after="0" w:line="27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380"/>
          </w:cols>
          <w:pgMar w:left="240" w:top="580" w:right="279" w:bottom="1440" w:gutter="0" w:footer="0" w:header="0"/>
        </w:sectPr>
      </w:pPr>
    </w:p>
    <w:bookmarkStart w:id="11" w:name="page12"/>
    <w:bookmarkEnd w:id="11"/>
    <w:p>
      <w:pPr>
        <w:jc w:val="center"/>
        <w:ind w:right="-19"/>
        <w:spacing w:after="0"/>
        <w:rPr>
          <w:sz w:val="20"/>
          <w:szCs w:val="20"/>
          <w:color w:val="auto"/>
        </w:rPr>
      </w:pPr>
      <w:r>
        <w:rPr>
          <w:rFonts w:ascii="Arial" w:cs="Arial" w:eastAsia="Arial" w:hAnsi="Arial"/>
          <w:sz w:val="18"/>
          <w:szCs w:val="18"/>
          <w:b w:val="1"/>
          <w:bCs w:val="1"/>
          <w:color w:val="auto"/>
        </w:rPr>
        <w:t>CIVEO CORPORATION</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UNAUDITED CONSOLIDATED</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(Continued)</w:t>
      </w:r>
    </w:p>
    <w:p>
      <w:pPr>
        <w:spacing w:after="0" w:line="207" w:lineRule="exact"/>
        <w:rPr>
          <w:sz w:val="20"/>
          <w:szCs w:val="20"/>
          <w:color w:val="auto"/>
        </w:rPr>
      </w:pPr>
    </w:p>
    <w:p>
      <w:pPr>
        <w:ind w:left="340" w:hanging="332"/>
        <w:spacing w:after="0"/>
        <w:tabs>
          <w:tab w:leader="none" w:pos="34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DEBT</w:t>
      </w:r>
    </w:p>
    <w:p>
      <w:pPr>
        <w:spacing w:after="0" w:line="229"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8"/>
          <w:szCs w:val="18"/>
          <w:color w:val="auto"/>
        </w:rPr>
        <w:t>As of March 31, 2017 and December 31, 2016, long-term debt consisted of the following (in thousands):</w:t>
      </w:r>
    </w:p>
    <w:p>
      <w:pPr>
        <w:spacing w:after="0" w:line="221"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7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00" w:type="dxa"/>
            <w:vAlign w:val="bottom"/>
            <w:gridSpan w:val="2"/>
          </w:tcPr>
          <w:p>
            <w:pPr>
              <w:ind w:left="140"/>
              <w:spacing w:after="0"/>
              <w:rPr>
                <w:sz w:val="20"/>
                <w:szCs w:val="20"/>
                <w:color w:val="auto"/>
              </w:rPr>
            </w:pPr>
            <w:r>
              <w:rPr>
                <w:rFonts w:ascii="Arial" w:cs="Arial" w:eastAsia="Arial" w:hAnsi="Arial"/>
                <w:sz w:val="18"/>
                <w:szCs w:val="18"/>
                <w:b w:val="1"/>
                <w:bCs w:val="1"/>
                <w:color w:val="auto"/>
              </w:rPr>
              <w:t>March 31,</w:t>
            </w:r>
          </w:p>
        </w:tc>
        <w:tc>
          <w:tcPr>
            <w:tcW w:w="160" w:type="dxa"/>
            <w:vAlign w:val="bottom"/>
          </w:tcPr>
          <w:p>
            <w:pPr>
              <w:spacing w:after="0"/>
              <w:rPr>
                <w:sz w:val="18"/>
                <w:szCs w:val="18"/>
                <w:color w:val="auto"/>
              </w:rPr>
            </w:pPr>
          </w:p>
        </w:tc>
        <w:tc>
          <w:tcPr>
            <w:tcW w:w="1460" w:type="dxa"/>
            <w:vAlign w:val="bottom"/>
            <w:gridSpan w:val="2"/>
          </w:tcPr>
          <w:p>
            <w:pPr>
              <w:ind w:left="80"/>
              <w:spacing w:after="0"/>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234"/>
        </w:trPr>
        <w:tc>
          <w:tcPr>
            <w:tcW w:w="74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2017</w:t>
            </w:r>
          </w:p>
        </w:tc>
        <w:tc>
          <w:tcPr>
            <w:tcW w:w="2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5"/>
        </w:trPr>
        <w:tc>
          <w:tcPr>
            <w:tcW w:w="7480" w:type="dxa"/>
            <w:vAlign w:val="bottom"/>
            <w:shd w:val="clear" w:color="auto" w:fill="CCEEFF"/>
          </w:tcPr>
          <w:p>
            <w:pPr>
              <w:spacing w:after="0" w:line="195" w:lineRule="exact"/>
              <w:rPr>
                <w:sz w:val="20"/>
                <w:szCs w:val="20"/>
                <w:color w:val="auto"/>
              </w:rPr>
            </w:pPr>
            <w:r>
              <w:rPr>
                <w:rFonts w:ascii="Arial" w:cs="Arial" w:eastAsia="Arial" w:hAnsi="Arial"/>
                <w:sz w:val="18"/>
                <w:szCs w:val="18"/>
                <w:color w:val="auto"/>
                <w:w w:val="92"/>
              </w:rPr>
              <w:t>U.S. term loan, which matures on May 28, 2019; weighted average interest rate of 4.3% for the three-</w:t>
            </w:r>
          </w:p>
        </w:tc>
        <w:tc>
          <w:tcPr>
            <w:tcW w:w="22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3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7480" w:type="dxa"/>
            <w:vAlign w:val="bottom"/>
            <w:shd w:val="clear" w:color="auto" w:fill="CCEEFF"/>
          </w:tcPr>
          <w:p>
            <w:pPr>
              <w:spacing w:after="0"/>
              <w:rPr>
                <w:sz w:val="20"/>
                <w:szCs w:val="20"/>
                <w:color w:val="auto"/>
              </w:rPr>
            </w:pPr>
            <w:r>
              <w:rPr>
                <w:rFonts w:ascii="Arial" w:cs="Arial" w:eastAsia="Arial" w:hAnsi="Arial"/>
                <w:sz w:val="18"/>
                <w:szCs w:val="18"/>
                <w:color w:val="auto"/>
              </w:rPr>
              <w:t>month period ended March 31, 2017</w:t>
            </w: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24,375</w:t>
            </w:r>
          </w:p>
        </w:tc>
        <w:tc>
          <w:tcPr>
            <w:tcW w:w="22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24,375</w:t>
            </w:r>
          </w:p>
        </w:tc>
        <w:tc>
          <w:tcPr>
            <w:tcW w:w="0" w:type="dxa"/>
            <w:vAlign w:val="bottom"/>
          </w:tcPr>
          <w:p>
            <w:pPr>
              <w:spacing w:after="0"/>
              <w:rPr>
                <w:sz w:val="1"/>
                <w:szCs w:val="1"/>
                <w:color w:val="auto"/>
              </w:rPr>
            </w:pPr>
          </w:p>
        </w:tc>
      </w:tr>
      <w:tr>
        <w:trPr>
          <w:trHeight w:val="216"/>
        </w:trPr>
        <w:tc>
          <w:tcPr>
            <w:tcW w:w="7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74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6"/>
              </w:rPr>
              <w:t>Canadian term loan, which matures on May 28, 2019; 1.25% of aggregate principal repayable per</w:t>
            </w:r>
          </w:p>
        </w:tc>
        <w:tc>
          <w:tcPr>
            <w:tcW w:w="22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480" w:type="dxa"/>
            <w:vAlign w:val="bottom"/>
            <w:shd w:val="clear" w:color="auto" w:fill="CCEEFF"/>
          </w:tcPr>
          <w:p>
            <w:pPr>
              <w:spacing w:after="0"/>
              <w:rPr>
                <w:sz w:val="20"/>
                <w:szCs w:val="20"/>
                <w:color w:val="auto"/>
              </w:rPr>
            </w:pPr>
            <w:r>
              <w:rPr>
                <w:rFonts w:ascii="Arial" w:cs="Arial" w:eastAsia="Arial" w:hAnsi="Arial"/>
                <w:sz w:val="18"/>
                <w:szCs w:val="18"/>
                <w:color w:val="auto"/>
                <w:w w:val="96"/>
              </w:rPr>
              <w:t>quarter; weighted average interest rate of 4.5% for the three-month period ended March 31, 2017</w:t>
            </w:r>
          </w:p>
        </w:tc>
        <w:tc>
          <w:tcPr>
            <w:tcW w:w="220" w:type="dxa"/>
            <w:vAlign w:val="bottom"/>
            <w:shd w:val="clear" w:color="auto" w:fill="CCEEFF"/>
          </w:tcPr>
          <w:p>
            <w:pPr>
              <w:spacing w:after="0"/>
              <w:rPr>
                <w:sz w:val="20"/>
                <w:szCs w:val="20"/>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292,103</w:t>
            </w:r>
          </w:p>
        </w:tc>
        <w:tc>
          <w:tcPr>
            <w:tcW w:w="2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293,763</w:t>
            </w:r>
          </w:p>
        </w:tc>
        <w:tc>
          <w:tcPr>
            <w:tcW w:w="0" w:type="dxa"/>
            <w:vAlign w:val="bottom"/>
          </w:tcPr>
          <w:p>
            <w:pPr>
              <w:spacing w:after="0"/>
              <w:rPr>
                <w:sz w:val="1"/>
                <w:szCs w:val="1"/>
                <w:color w:val="auto"/>
              </w:rPr>
            </w:pPr>
          </w:p>
        </w:tc>
      </w:tr>
      <w:tr>
        <w:trPr>
          <w:trHeight w:val="216"/>
        </w:trPr>
        <w:tc>
          <w:tcPr>
            <w:tcW w:w="7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74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3"/>
              </w:rPr>
              <w:t>U.S. revolving credit facility, which matures on May 28, 2019, weighted average interest rate of 6.3%</w:t>
            </w:r>
          </w:p>
        </w:tc>
        <w:tc>
          <w:tcPr>
            <w:tcW w:w="22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480" w:type="dxa"/>
            <w:vAlign w:val="bottom"/>
            <w:shd w:val="clear" w:color="auto" w:fill="CCEEFF"/>
          </w:tcPr>
          <w:p>
            <w:pPr>
              <w:spacing w:after="0"/>
              <w:rPr>
                <w:sz w:val="20"/>
                <w:szCs w:val="20"/>
                <w:color w:val="auto"/>
              </w:rPr>
            </w:pPr>
            <w:r>
              <w:rPr>
                <w:rFonts w:ascii="Arial" w:cs="Arial" w:eastAsia="Arial" w:hAnsi="Arial"/>
                <w:sz w:val="18"/>
                <w:szCs w:val="18"/>
                <w:color w:val="auto"/>
              </w:rPr>
              <w:t>for the three-month period ended March 31, 2017</w:t>
            </w:r>
          </w:p>
        </w:tc>
        <w:tc>
          <w:tcPr>
            <w:tcW w:w="220" w:type="dxa"/>
            <w:vAlign w:val="bottom"/>
            <w:shd w:val="clear" w:color="auto" w:fill="CCEEFF"/>
          </w:tcPr>
          <w:p>
            <w:pPr>
              <w:spacing w:after="0"/>
              <w:rPr>
                <w:sz w:val="20"/>
                <w:szCs w:val="20"/>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74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3"/>
              </w:rPr>
              <w:t>Canadian revolving credit facility, which matures on May 28, 2019, weighted average interest rate of</w:t>
            </w:r>
          </w:p>
        </w:tc>
        <w:tc>
          <w:tcPr>
            <w:tcW w:w="22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480" w:type="dxa"/>
            <w:vAlign w:val="bottom"/>
            <w:shd w:val="clear" w:color="auto" w:fill="CCEEFF"/>
          </w:tcPr>
          <w:p>
            <w:pPr>
              <w:spacing w:after="0"/>
              <w:rPr>
                <w:sz w:val="20"/>
                <w:szCs w:val="20"/>
                <w:color w:val="auto"/>
              </w:rPr>
            </w:pPr>
            <w:r>
              <w:rPr>
                <w:rFonts w:ascii="Arial" w:cs="Arial" w:eastAsia="Arial" w:hAnsi="Arial"/>
                <w:sz w:val="18"/>
                <w:szCs w:val="18"/>
                <w:color w:val="auto"/>
              </w:rPr>
              <w:t>5.2% for the three-month period ended March 31, 2017</w:t>
            </w:r>
          </w:p>
        </w:tc>
        <w:tc>
          <w:tcPr>
            <w:tcW w:w="220" w:type="dxa"/>
            <w:vAlign w:val="bottom"/>
            <w:shd w:val="clear" w:color="auto" w:fill="CCEEFF"/>
          </w:tcPr>
          <w:p>
            <w:pPr>
              <w:spacing w:after="0"/>
              <w:rPr>
                <w:sz w:val="20"/>
                <w:szCs w:val="20"/>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23,089</w:t>
            </w:r>
          </w:p>
        </w:tc>
        <w:tc>
          <w:tcPr>
            <w:tcW w:w="0" w:type="dxa"/>
            <w:vAlign w:val="bottom"/>
          </w:tcPr>
          <w:p>
            <w:pPr>
              <w:spacing w:after="0"/>
              <w:rPr>
                <w:sz w:val="1"/>
                <w:szCs w:val="1"/>
                <w:color w:val="auto"/>
              </w:rPr>
            </w:pPr>
          </w:p>
        </w:tc>
      </w:tr>
      <w:tr>
        <w:trPr>
          <w:trHeight w:val="216"/>
        </w:trPr>
        <w:tc>
          <w:tcPr>
            <w:tcW w:w="7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74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3"/>
              </w:rPr>
              <w:t>Canadian revolving credit facility, which matures on May 28, 2019, weighted average interest rate of</w:t>
            </w:r>
          </w:p>
        </w:tc>
        <w:tc>
          <w:tcPr>
            <w:tcW w:w="22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480" w:type="dxa"/>
            <w:vAlign w:val="bottom"/>
            <w:shd w:val="clear" w:color="auto" w:fill="CCEEFF"/>
          </w:tcPr>
          <w:p>
            <w:pPr>
              <w:spacing w:after="0"/>
              <w:rPr>
                <w:sz w:val="20"/>
                <w:szCs w:val="20"/>
                <w:color w:val="auto"/>
              </w:rPr>
            </w:pPr>
            <w:r>
              <w:rPr>
                <w:rFonts w:ascii="Arial" w:cs="Arial" w:eastAsia="Arial" w:hAnsi="Arial"/>
                <w:sz w:val="18"/>
                <w:szCs w:val="18"/>
                <w:color w:val="auto"/>
              </w:rPr>
              <w:t>5.2% for the three-month period ended March 31, 2017</w:t>
            </w:r>
          </w:p>
        </w:tc>
        <w:tc>
          <w:tcPr>
            <w:tcW w:w="220" w:type="dxa"/>
            <w:vAlign w:val="bottom"/>
            <w:shd w:val="clear" w:color="auto" w:fill="CCEEFF"/>
          </w:tcPr>
          <w:p>
            <w:pPr>
              <w:spacing w:after="0"/>
              <w:rPr>
                <w:sz w:val="20"/>
                <w:szCs w:val="20"/>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9,533</w:t>
            </w:r>
          </w:p>
        </w:tc>
        <w:tc>
          <w:tcPr>
            <w:tcW w:w="0" w:type="dxa"/>
            <w:vAlign w:val="bottom"/>
          </w:tcPr>
          <w:p>
            <w:pPr>
              <w:spacing w:after="0"/>
              <w:rPr>
                <w:sz w:val="1"/>
                <w:szCs w:val="1"/>
                <w:color w:val="auto"/>
              </w:rPr>
            </w:pPr>
          </w:p>
        </w:tc>
      </w:tr>
      <w:tr>
        <w:trPr>
          <w:trHeight w:val="216"/>
        </w:trPr>
        <w:tc>
          <w:tcPr>
            <w:tcW w:w="7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74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3"/>
              </w:rPr>
              <w:t>Australian revolving credit facility, which matures on May 28, 2019, weighted average interest rate of</w:t>
            </w:r>
          </w:p>
        </w:tc>
        <w:tc>
          <w:tcPr>
            <w:tcW w:w="220" w:type="dxa"/>
            <w:vAlign w:val="bottom"/>
            <w:shd w:val="clear" w:color="auto" w:fill="CCEEFF"/>
          </w:tcPr>
          <w:p>
            <w:pPr>
              <w:spacing w:after="0"/>
              <w:rPr>
                <w:sz w:val="17"/>
                <w:szCs w:val="17"/>
                <w:color w:val="auto"/>
              </w:rPr>
            </w:pPr>
          </w:p>
        </w:tc>
        <w:tc>
          <w:tcPr>
            <w:tcW w:w="12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6,507</w:t>
            </w:r>
          </w:p>
        </w:tc>
        <w:tc>
          <w:tcPr>
            <w:tcW w:w="100" w:type="dxa"/>
            <w:vAlign w:val="bottom"/>
            <w:vMerge w:val="restart"/>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74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5.2% for the three-month period ended March 31, 2017</w:t>
            </w:r>
          </w:p>
        </w:tc>
        <w:tc>
          <w:tcPr>
            <w:tcW w:w="22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vMerge w:val="continue"/>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tcBorders>
              <w:bottom w:val="single" w:sz="8" w:color="CCEEFF"/>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316,478</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357,267</w:t>
            </w:r>
          </w:p>
        </w:tc>
        <w:tc>
          <w:tcPr>
            <w:tcW w:w="0" w:type="dxa"/>
            <w:vAlign w:val="bottom"/>
          </w:tcPr>
          <w:p>
            <w:pPr>
              <w:spacing w:after="0"/>
              <w:rPr>
                <w:sz w:val="1"/>
                <w:szCs w:val="1"/>
                <w:color w:val="auto"/>
              </w:rPr>
            </w:pPr>
          </w:p>
        </w:tc>
      </w:tr>
      <w:tr>
        <w:trPr>
          <w:trHeight w:val="216"/>
        </w:trPr>
        <w:tc>
          <w:tcPr>
            <w:tcW w:w="74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Less: Unamortized debt issuance costs</w:t>
            </w:r>
          </w:p>
        </w:tc>
        <w:tc>
          <w:tcPr>
            <w:tcW w:w="22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4,474</w:t>
            </w:r>
          </w:p>
        </w:tc>
        <w:tc>
          <w:tcPr>
            <w:tcW w:w="2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3,996</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480" w:type="dxa"/>
            <w:vAlign w:val="bottom"/>
          </w:tcPr>
          <w:p>
            <w:pPr>
              <w:ind w:left="160"/>
              <w:spacing w:after="0"/>
              <w:rPr>
                <w:sz w:val="20"/>
                <w:szCs w:val="20"/>
                <w:color w:val="auto"/>
              </w:rPr>
            </w:pPr>
            <w:r>
              <w:rPr>
                <w:rFonts w:ascii="Arial" w:cs="Arial" w:eastAsia="Arial" w:hAnsi="Arial"/>
                <w:sz w:val="18"/>
                <w:szCs w:val="18"/>
                <w:color w:val="auto"/>
              </w:rPr>
              <w:t>Total debt</w:t>
            </w:r>
          </w:p>
        </w:tc>
        <w:tc>
          <w:tcPr>
            <w:tcW w:w="2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312,004</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353,271</w:t>
            </w:r>
          </w:p>
        </w:tc>
        <w:tc>
          <w:tcPr>
            <w:tcW w:w="0" w:type="dxa"/>
            <w:vAlign w:val="bottom"/>
          </w:tcPr>
          <w:p>
            <w:pPr>
              <w:spacing w:after="0"/>
              <w:rPr>
                <w:sz w:val="1"/>
                <w:szCs w:val="1"/>
                <w:color w:val="auto"/>
              </w:rPr>
            </w:pPr>
          </w:p>
        </w:tc>
      </w:tr>
      <w:tr>
        <w:trPr>
          <w:trHeight w:val="216"/>
        </w:trPr>
        <w:tc>
          <w:tcPr>
            <w:tcW w:w="74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Less: Current portion of long-term debt, including unamortized debt issuance costs, net</w:t>
            </w:r>
          </w:p>
        </w:tc>
        <w:tc>
          <w:tcPr>
            <w:tcW w:w="22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15,566</w:t>
            </w:r>
          </w:p>
        </w:tc>
        <w:tc>
          <w:tcPr>
            <w:tcW w:w="2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15,471</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480" w:type="dxa"/>
            <w:vAlign w:val="bottom"/>
          </w:tcPr>
          <w:p>
            <w:pPr>
              <w:ind w:left="160"/>
              <w:spacing w:after="0"/>
              <w:rPr>
                <w:sz w:val="20"/>
                <w:szCs w:val="20"/>
                <w:color w:val="auto"/>
              </w:rPr>
            </w:pPr>
            <w:r>
              <w:rPr>
                <w:rFonts w:ascii="Arial" w:cs="Arial" w:eastAsia="Arial" w:hAnsi="Arial"/>
                <w:sz w:val="18"/>
                <w:szCs w:val="18"/>
                <w:color w:val="auto"/>
              </w:rPr>
              <w:t>Long-term debt, less current maturities</w:t>
            </w: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296,438</w:t>
            </w:r>
          </w:p>
        </w:tc>
        <w:tc>
          <w:tcPr>
            <w:tcW w:w="2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337,800</w:t>
            </w:r>
          </w:p>
        </w:tc>
        <w:tc>
          <w:tcPr>
            <w:tcW w:w="0" w:type="dxa"/>
            <w:vAlign w:val="bottom"/>
          </w:tcPr>
          <w:p>
            <w:pPr>
              <w:spacing w:after="0"/>
              <w:rPr>
                <w:sz w:val="1"/>
                <w:szCs w:val="1"/>
                <w:color w:val="auto"/>
              </w:rPr>
            </w:pPr>
          </w:p>
        </w:tc>
      </w:tr>
      <w:tr>
        <w:trPr>
          <w:trHeight w:val="20"/>
        </w:trPr>
        <w:tc>
          <w:tcPr>
            <w:tcW w:w="74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340"/>
        <w:spacing w:after="0"/>
        <w:rPr>
          <w:sz w:val="20"/>
          <w:szCs w:val="20"/>
          <w:color w:val="auto"/>
        </w:rPr>
      </w:pPr>
      <w:r>
        <w:rPr>
          <w:rFonts w:ascii="Arial" w:cs="Arial" w:eastAsia="Arial" w:hAnsi="Arial"/>
          <w:sz w:val="17"/>
          <w:szCs w:val="17"/>
          <w:color w:val="auto"/>
        </w:rPr>
        <w:t>We did not have any capitalized interest to net against interest expense for either of the three-month periods ended March 31, 2017 or 2016.</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Amended Credit Agreement</w:t>
      </w:r>
    </w:p>
    <w:p>
      <w:pPr>
        <w:spacing w:after="0" w:line="225" w:lineRule="exact"/>
        <w:rPr>
          <w:sz w:val="20"/>
          <w:szCs w:val="20"/>
          <w:color w:val="auto"/>
        </w:rPr>
      </w:pPr>
    </w:p>
    <w:p>
      <w:pPr>
        <w:ind w:right="40" w:firstLine="324"/>
        <w:spacing w:after="0" w:line="297" w:lineRule="auto"/>
        <w:rPr>
          <w:sz w:val="20"/>
          <w:szCs w:val="20"/>
          <w:color w:val="auto"/>
        </w:rPr>
      </w:pPr>
      <w:r>
        <w:rPr>
          <w:rFonts w:ascii="Arial" w:cs="Arial" w:eastAsia="Arial" w:hAnsi="Arial"/>
          <w:sz w:val="16"/>
          <w:szCs w:val="16"/>
          <w:color w:val="auto"/>
        </w:rPr>
        <w:t>As of December 31, 2016, our Credit Agreement, as then amended to date, provided for: (i) a $350.0 million, revolving credit facility scheduled to mature on May 28, 2019, allocated as follows: (A) a $50.0 million senior secured revolving credit facility in favor of certain of our U.S. subsidiaries, as borrowers; (B) a $100.0 million senior secured revolving credit facility in favor of Civeo and certain of our Canadian subsidiaries, as borrowers; (C) a $100.0 million senior secured revolving credit facility in favor of Civeo, as borrower; and (D) a $100.0 million senior secured revolving credit facility in favor of one of our Australian subsidiaries, as borrower; and (ii) a $350.0 million term loan facility scheduled to mature on May 28, 2019 in favor of Civeo.</w:t>
      </w:r>
    </w:p>
    <w:p>
      <w:pPr>
        <w:spacing w:after="0" w:line="15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On February 17, 2017, the third amendment to the Credit Agreement became effective, which:</w:t>
      </w:r>
    </w:p>
    <w:p>
      <w:pPr>
        <w:spacing w:after="0" w:line="225" w:lineRule="exact"/>
        <w:rPr>
          <w:sz w:val="20"/>
          <w:szCs w:val="20"/>
          <w:color w:val="auto"/>
        </w:rPr>
      </w:pPr>
    </w:p>
    <w:p>
      <w:pPr>
        <w:ind w:left="660" w:right="180" w:hanging="328"/>
        <w:spacing w:after="0" w:line="257"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provided for the reduction by $75 million of the aggregate revolving loan commitments under the Amended Credit Agreement, to a maximum principal amount of $275 million, allocated as follows: (1) a $40.0 million senior secured revolving credit facility in favor of certain of our U.S. subsidiaries, as borrowers; (2) a $90.0 million senior secured revolving credit facility in favor of Civeo and certain of our Canadian subsidiaries, as borrowers; (3) a $60.0 million senior secured revolving credit facility in favor of Civeo, as borrower; and (4) an $85.0 million senior secured revolving credit facility in favor of one of our Australian subsidiaries, as borrower;</w:t>
      </w:r>
    </w:p>
    <w:p>
      <w:pPr>
        <w:spacing w:after="0" w:line="188" w:lineRule="exact"/>
        <w:rPr>
          <w:rFonts w:ascii="Arial" w:cs="Arial" w:eastAsia="Arial" w:hAnsi="Arial"/>
          <w:sz w:val="18"/>
          <w:szCs w:val="18"/>
          <w:color w:val="auto"/>
        </w:rPr>
      </w:pPr>
    </w:p>
    <w:p>
      <w:pPr>
        <w:ind w:left="660" w:hanging="328"/>
        <w:spacing w:after="0" w:line="264"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established one additional level to the total leverage-based grid such that the interest rates for the loans range from the London Interbank Offered Rate (LIBOR) plus 2.25% to LIBOR plus 5.50%, and increased the undrawn commitment fee from a range of 0.51% to 1.13% to a range of 0.51% to 1.24% based on total leverage;</w:t>
      </w: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12" w:name="page13"/>
    <w:bookmarkEnd w:id="12"/>
    <w:p>
      <w:pPr>
        <w:jc w:val="center"/>
        <w:spacing w:after="0"/>
        <w:rPr>
          <w:sz w:val="20"/>
          <w:szCs w:val="20"/>
          <w:color w:val="auto"/>
        </w:rPr>
      </w:pPr>
      <w:r>
        <w:rPr>
          <w:rFonts w:ascii="Arial" w:cs="Arial" w:eastAsia="Arial" w:hAnsi="Arial"/>
          <w:sz w:val="18"/>
          <w:szCs w:val="18"/>
          <w:b w:val="1"/>
          <w:bCs w:val="1"/>
          <w:color w:val="auto"/>
        </w:rPr>
        <w:t>CIVEO CORPORATION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CONSOLIDATED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(Continued)</w:t>
      </w:r>
    </w:p>
    <w:p>
      <w:pPr>
        <w:spacing w:after="0" w:line="211" w:lineRule="exact"/>
        <w:rPr>
          <w:sz w:val="20"/>
          <w:szCs w:val="20"/>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adjusted the maximum leverage ratio financial covenant, as follows:</w:t>
      </w:r>
    </w:p>
    <w:p>
      <w:pPr>
        <w:sectPr>
          <w:pgSz w:w="11900" w:h="16838" w:orient="portrait"/>
          <w:cols w:equalWidth="0" w:num="1">
            <w:col w:w="11420"/>
          </w:cols>
          <w:pgMar w:left="240" w:top="580" w:right="239" w:bottom="1440" w:gutter="0" w:footer="0" w:header="0"/>
        </w:sectPr>
      </w:pPr>
    </w:p>
    <w:p>
      <w:pPr>
        <w:spacing w:after="0" w:line="200" w:lineRule="exact"/>
        <w:rPr>
          <w:sz w:val="20"/>
          <w:szCs w:val="20"/>
          <w:color w:val="auto"/>
        </w:rPr>
      </w:pPr>
    </w:p>
    <w:p>
      <w:pPr>
        <w:spacing w:after="0" w:line="251" w:lineRule="exact"/>
        <w:rPr>
          <w:sz w:val="20"/>
          <w:szCs w:val="20"/>
          <w:color w:val="auto"/>
        </w:rPr>
      </w:pPr>
    </w:p>
    <w:p>
      <w:pPr>
        <w:ind w:left="4140"/>
        <w:spacing w:after="0"/>
        <w:rPr>
          <w:sz w:val="20"/>
          <w:szCs w:val="20"/>
          <w:color w:val="auto"/>
        </w:rPr>
      </w:pPr>
      <w:r>
        <w:rPr>
          <w:rFonts w:ascii="Arial" w:cs="Arial" w:eastAsia="Arial" w:hAnsi="Arial"/>
          <w:sz w:val="18"/>
          <w:szCs w:val="18"/>
          <w:b w:val="1"/>
          <w:bCs w:val="1"/>
          <w:u w:val="single" w:color="auto"/>
          <w:color w:val="auto"/>
        </w:rPr>
        <w:t>Period Ended</w:t>
      </w:r>
    </w:p>
    <w:p>
      <w:pPr>
        <w:spacing w:after="0" w:line="27"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December 31, 2016 (no change)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-130810</wp:posOffset>
            </wp:positionV>
            <wp:extent cx="5797550" cy="13716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797550" cy="137160"/>
                    </a:xfrm>
                    <a:prstGeom prst="rect">
                      <a:avLst/>
                    </a:prstGeom>
                    <a:noFill/>
                  </pic:spPr>
                </pic:pic>
              </a:graphicData>
            </a:graphic>
          </wp:anchor>
        </w:drawing>
      </w:r>
    </w:p>
    <w:p>
      <w:pPr>
        <w:ind w:left="1140"/>
        <w:spacing w:after="0"/>
        <w:rPr>
          <w:sz w:val="20"/>
          <w:szCs w:val="20"/>
          <w:color w:val="auto"/>
        </w:rPr>
      </w:pPr>
      <w:r>
        <w:rPr>
          <w:rFonts w:ascii="Arial" w:cs="Arial" w:eastAsia="Arial" w:hAnsi="Arial"/>
          <w:sz w:val="18"/>
          <w:szCs w:val="18"/>
          <w:color w:val="auto"/>
        </w:rPr>
        <w:t>March 31, 2017 (no change)</w:t>
      </w:r>
    </w:p>
    <w:p>
      <w:pPr>
        <w:spacing w:after="0" w:line="9"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June 30, 2017 (no change)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-130810</wp:posOffset>
            </wp:positionV>
            <wp:extent cx="5797550" cy="13716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797550" cy="137160"/>
                    </a:xfrm>
                    <a:prstGeom prst="rect">
                      <a:avLst/>
                    </a:prstGeom>
                    <a:noFill/>
                  </pic:spPr>
                </pic:pic>
              </a:graphicData>
            </a:graphic>
          </wp:anchor>
        </w:drawing>
      </w:r>
    </w:p>
    <w:p>
      <w:pPr>
        <w:ind w:left="1140"/>
        <w:spacing w:after="0"/>
        <w:rPr>
          <w:sz w:val="20"/>
          <w:szCs w:val="20"/>
          <w:color w:val="auto"/>
        </w:rPr>
      </w:pPr>
      <w:r>
        <w:rPr>
          <w:rFonts w:ascii="Arial" w:cs="Arial" w:eastAsia="Arial" w:hAnsi="Arial"/>
          <w:sz w:val="18"/>
          <w:szCs w:val="18"/>
          <w:color w:val="auto"/>
        </w:rPr>
        <w:t>September 30, 2017</w:t>
      </w:r>
    </w:p>
    <w:p>
      <w:pPr>
        <w:spacing w:after="0" w:line="9"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December 31,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-130810</wp:posOffset>
            </wp:positionV>
            <wp:extent cx="5797550" cy="13716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797550" cy="137160"/>
                    </a:xfrm>
                    <a:prstGeom prst="rect">
                      <a:avLst/>
                    </a:prstGeom>
                    <a:noFill/>
                  </pic:spPr>
                </pic:pic>
              </a:graphicData>
            </a:graphic>
          </wp:anchor>
        </w:drawing>
      </w:r>
    </w:p>
    <w:p>
      <w:pPr>
        <w:ind w:left="1140"/>
        <w:spacing w:after="0"/>
        <w:rPr>
          <w:sz w:val="20"/>
          <w:szCs w:val="20"/>
          <w:color w:val="auto"/>
        </w:rPr>
      </w:pPr>
      <w:r>
        <w:rPr>
          <w:rFonts w:ascii="Arial" w:cs="Arial" w:eastAsia="Arial" w:hAnsi="Arial"/>
          <w:sz w:val="18"/>
          <w:szCs w:val="18"/>
          <w:color w:val="auto"/>
        </w:rPr>
        <w:t>March 31, 2018</w:t>
      </w:r>
    </w:p>
    <w:p>
      <w:pPr>
        <w:spacing w:after="0" w:line="9"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June 30,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-130810</wp:posOffset>
            </wp:positionV>
            <wp:extent cx="5797550" cy="13716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797550" cy="137160"/>
                    </a:xfrm>
                    <a:prstGeom prst="rect">
                      <a:avLst/>
                    </a:prstGeom>
                    <a:noFill/>
                  </pic:spPr>
                </pic:pic>
              </a:graphicData>
            </a:graphic>
          </wp:anchor>
        </w:drawing>
      </w:r>
    </w:p>
    <w:p>
      <w:pPr>
        <w:ind w:left="1140"/>
        <w:spacing w:after="0"/>
        <w:rPr>
          <w:sz w:val="20"/>
          <w:szCs w:val="20"/>
          <w:color w:val="auto"/>
        </w:rPr>
      </w:pPr>
      <w:r>
        <w:rPr>
          <w:rFonts w:ascii="Arial" w:cs="Arial" w:eastAsia="Arial" w:hAnsi="Arial"/>
          <w:sz w:val="18"/>
          <w:szCs w:val="18"/>
          <w:color w:val="auto"/>
        </w:rPr>
        <w:t>September 30, 2018</w:t>
      </w:r>
    </w:p>
    <w:p>
      <w:pPr>
        <w:spacing w:after="0" w:line="9"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December 31,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-130810</wp:posOffset>
            </wp:positionV>
            <wp:extent cx="5797550" cy="13716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797550" cy="137160"/>
                    </a:xfrm>
                    <a:prstGeom prst="rect">
                      <a:avLst/>
                    </a:prstGeom>
                    <a:noFill/>
                  </pic:spPr>
                </pic:pic>
              </a:graphicData>
            </a:graphic>
          </wp:anchor>
        </w:drawing>
      </w:r>
    </w:p>
    <w:p>
      <w:pPr>
        <w:ind w:left="1140"/>
        <w:spacing w:after="0"/>
        <w:rPr>
          <w:sz w:val="20"/>
          <w:szCs w:val="20"/>
          <w:color w:val="auto"/>
        </w:rPr>
      </w:pPr>
      <w:r>
        <w:rPr>
          <w:rFonts w:ascii="Arial" w:cs="Arial" w:eastAsia="Arial" w:hAnsi="Arial"/>
          <w:sz w:val="18"/>
          <w:szCs w:val="18"/>
          <w:color w:val="auto"/>
        </w:rPr>
        <w:t>March 31, 2019 &amp; thereafter</w:t>
      </w:r>
    </w:p>
    <w:p>
      <w:pPr>
        <w:spacing w:after="0" w:line="26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and</w:t>
      </w:r>
    </w:p>
    <w:p>
      <w:pPr>
        <w:spacing w:after="0" w:line="225" w:lineRule="exact"/>
        <w:rPr>
          <w:sz w:val="20"/>
          <w:szCs w:val="20"/>
          <w:color w:val="auto"/>
        </w:rPr>
      </w:pPr>
    </w:p>
    <w:p>
      <w:pPr>
        <w:ind w:left="660" w:hanging="328"/>
        <w:spacing w:after="0"/>
        <w:tabs>
          <w:tab w:leader="none" w:pos="6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provided for other technical changes and amendments to the Amended Credit Agreement.</w:t>
      </w:r>
    </w:p>
    <w:p>
      <w:pPr>
        <w:spacing w:after="0" w:line="20" w:lineRule="exact"/>
        <w:rPr>
          <w:sz w:val="20"/>
          <w:szCs w:val="20"/>
          <w:color w:val="auto"/>
        </w:rPr>
      </w:pPr>
      <w:r>
        <w:rPr>
          <w:sz w:val="20"/>
          <w:szCs w:val="20"/>
          <w:color w:val="auto"/>
        </w:rPr>
        <w:br w:type="column"/>
      </w:r>
    </w:p>
    <w:p>
      <w:pPr>
        <w:spacing w:after="0" w:line="201" w:lineRule="exact"/>
        <w:rPr>
          <w:sz w:val="20"/>
          <w:szCs w:val="20"/>
          <w:color w:val="auto"/>
        </w:rPr>
      </w:pPr>
    </w:p>
    <w:p>
      <w:pPr>
        <w:jc w:val="center"/>
        <w:ind w:right="1400"/>
        <w:spacing w:after="0"/>
        <w:rPr>
          <w:sz w:val="20"/>
          <w:szCs w:val="20"/>
          <w:color w:val="auto"/>
        </w:rPr>
      </w:pPr>
      <w:r>
        <w:rPr>
          <w:rFonts w:ascii="Arial" w:cs="Arial" w:eastAsia="Arial" w:hAnsi="Arial"/>
          <w:sz w:val="16"/>
          <w:szCs w:val="16"/>
          <w:b w:val="1"/>
          <w:bCs w:val="1"/>
          <w:color w:val="auto"/>
        </w:rPr>
        <w:t>Maximum Leverage</w:t>
      </w:r>
    </w:p>
    <w:p>
      <w:pPr>
        <w:spacing w:after="0" w:line="50" w:lineRule="exact"/>
        <w:rPr>
          <w:sz w:val="20"/>
          <w:szCs w:val="20"/>
          <w:color w:val="auto"/>
        </w:rPr>
      </w:pPr>
    </w:p>
    <w:p>
      <w:pPr>
        <w:jc w:val="center"/>
        <w:ind w:right="1400"/>
        <w:spacing w:after="0"/>
        <w:rPr>
          <w:sz w:val="20"/>
          <w:szCs w:val="20"/>
          <w:color w:val="auto"/>
        </w:rPr>
      </w:pPr>
      <w:r>
        <w:rPr>
          <w:rFonts w:ascii="Arial" w:cs="Arial" w:eastAsia="Arial" w:hAnsi="Arial"/>
          <w:sz w:val="18"/>
          <w:szCs w:val="18"/>
          <w:b w:val="1"/>
          <w:bCs w:val="1"/>
          <w:color w:val="auto"/>
        </w:rPr>
        <w:t>Ratio</w:t>
      </w:r>
    </w:p>
    <w:p>
      <w:pPr>
        <w:spacing w:after="0" w:line="9" w:lineRule="exact"/>
        <w:rPr>
          <w:sz w:val="20"/>
          <w:szCs w:val="20"/>
          <w:color w:val="auto"/>
        </w:rPr>
      </w:pPr>
    </w:p>
    <w:p>
      <w:pPr>
        <w:ind w:left="320"/>
        <w:spacing w:after="0"/>
        <w:tabs>
          <w:tab w:leader="none" w:pos="780" w:val="left"/>
          <w:tab w:leader="none" w:pos="980" w:val="left"/>
        </w:tabs>
        <w:rPr>
          <w:sz w:val="20"/>
          <w:szCs w:val="20"/>
          <w:color w:val="auto"/>
        </w:rPr>
      </w:pPr>
      <w:r>
        <w:rPr>
          <w:rFonts w:ascii="Arial" w:cs="Arial" w:eastAsia="Arial" w:hAnsi="Arial"/>
          <w:sz w:val="18"/>
          <w:szCs w:val="18"/>
          <w:color w:val="auto"/>
        </w:rPr>
        <w:t>5.50</w:t>
        <w:tab/>
        <w:t>:</w:t>
      </w:r>
      <w:r>
        <w:rPr>
          <w:sz w:val="20"/>
          <w:szCs w:val="20"/>
          <w:color w:val="auto"/>
        </w:rPr>
        <w:tab/>
      </w:r>
      <w:r>
        <w:rPr>
          <w:rFonts w:ascii="Arial" w:cs="Arial" w:eastAsia="Arial" w:hAnsi="Arial"/>
          <w:sz w:val="16"/>
          <w:szCs w:val="16"/>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-109220</wp:posOffset>
            </wp:positionH>
            <wp:positionV relativeFrom="paragraph">
              <wp:posOffset>-130810</wp:posOffset>
            </wp:positionV>
            <wp:extent cx="121793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17930" cy="8890"/>
                    </a:xfrm>
                    <a:prstGeom prst="rect">
                      <a:avLst/>
                    </a:prstGeom>
                    <a:noFill/>
                  </pic:spPr>
                </pic:pic>
              </a:graphicData>
            </a:graphic>
          </wp:anchor>
        </w:drawing>
      </w:r>
    </w:p>
    <w:p>
      <w:pPr>
        <w:spacing w:after="0" w:line="3" w:lineRule="exact"/>
        <w:rPr>
          <w:sz w:val="20"/>
          <w:szCs w:val="20"/>
          <w:color w:val="auto"/>
        </w:rPr>
      </w:pPr>
    </w:p>
    <w:p>
      <w:pPr>
        <w:ind w:left="320"/>
        <w:spacing w:after="0"/>
        <w:tabs>
          <w:tab w:leader="none" w:pos="780" w:val="left"/>
          <w:tab w:leader="none" w:pos="980" w:val="left"/>
        </w:tabs>
        <w:rPr>
          <w:sz w:val="20"/>
          <w:szCs w:val="20"/>
          <w:color w:val="auto"/>
        </w:rPr>
      </w:pPr>
      <w:r>
        <w:rPr>
          <w:rFonts w:ascii="Arial" w:cs="Arial" w:eastAsia="Arial" w:hAnsi="Arial"/>
          <w:sz w:val="18"/>
          <w:szCs w:val="18"/>
          <w:color w:val="auto"/>
        </w:rPr>
        <w:t>5.25</w:t>
        <w:tab/>
        <w:t>:</w:t>
      </w:r>
      <w:r>
        <w:rPr>
          <w:sz w:val="20"/>
          <w:szCs w:val="20"/>
          <w:color w:val="auto"/>
        </w:rPr>
        <w:tab/>
      </w:r>
      <w:r>
        <w:rPr>
          <w:rFonts w:ascii="Arial" w:cs="Arial" w:eastAsia="Arial" w:hAnsi="Arial"/>
          <w:sz w:val="16"/>
          <w:szCs w:val="16"/>
          <w:color w:val="auto"/>
        </w:rPr>
        <w:t>1.00</w:t>
      </w:r>
    </w:p>
    <w:p>
      <w:pPr>
        <w:spacing w:after="0" w:line="9" w:lineRule="exact"/>
        <w:rPr>
          <w:sz w:val="20"/>
          <w:szCs w:val="20"/>
          <w:color w:val="auto"/>
        </w:rPr>
      </w:pPr>
    </w:p>
    <w:p>
      <w:pPr>
        <w:ind w:left="320"/>
        <w:spacing w:after="0"/>
        <w:tabs>
          <w:tab w:leader="none" w:pos="780" w:val="left"/>
          <w:tab w:leader="none" w:pos="980" w:val="left"/>
        </w:tabs>
        <w:rPr>
          <w:sz w:val="20"/>
          <w:szCs w:val="20"/>
          <w:color w:val="auto"/>
        </w:rPr>
      </w:pPr>
      <w:r>
        <w:rPr>
          <w:rFonts w:ascii="Arial" w:cs="Arial" w:eastAsia="Arial" w:hAnsi="Arial"/>
          <w:sz w:val="18"/>
          <w:szCs w:val="18"/>
          <w:color w:val="auto"/>
        </w:rPr>
        <w:t>5.25</w:t>
        <w:tab/>
        <w:t>:</w:t>
      </w:r>
      <w:r>
        <w:rPr>
          <w:sz w:val="20"/>
          <w:szCs w:val="20"/>
          <w:color w:val="auto"/>
        </w:rPr>
        <w:tab/>
      </w:r>
      <w:r>
        <w:rPr>
          <w:rFonts w:ascii="Arial" w:cs="Arial" w:eastAsia="Arial" w:hAnsi="Arial"/>
          <w:sz w:val="16"/>
          <w:szCs w:val="16"/>
          <w:color w:val="auto"/>
        </w:rPr>
        <w:t>1.00</w:t>
      </w:r>
    </w:p>
    <w:p>
      <w:pPr>
        <w:spacing w:after="0" w:line="9" w:lineRule="exact"/>
        <w:rPr>
          <w:sz w:val="20"/>
          <w:szCs w:val="20"/>
          <w:color w:val="auto"/>
        </w:rPr>
      </w:pPr>
    </w:p>
    <w:p>
      <w:pPr>
        <w:ind w:left="320"/>
        <w:spacing w:after="0"/>
        <w:tabs>
          <w:tab w:leader="none" w:pos="780" w:val="left"/>
          <w:tab w:leader="none" w:pos="980" w:val="left"/>
        </w:tabs>
        <w:rPr>
          <w:sz w:val="20"/>
          <w:szCs w:val="20"/>
          <w:color w:val="auto"/>
        </w:rPr>
      </w:pPr>
      <w:r>
        <w:rPr>
          <w:rFonts w:ascii="Arial" w:cs="Arial" w:eastAsia="Arial" w:hAnsi="Arial"/>
          <w:sz w:val="18"/>
          <w:szCs w:val="18"/>
          <w:color w:val="auto"/>
        </w:rPr>
        <w:t>5.85</w:t>
        <w:tab/>
        <w:t>:</w:t>
      </w:r>
      <w:r>
        <w:rPr>
          <w:sz w:val="20"/>
          <w:szCs w:val="20"/>
          <w:color w:val="auto"/>
        </w:rPr>
        <w:tab/>
      </w:r>
      <w:r>
        <w:rPr>
          <w:rFonts w:ascii="Arial" w:cs="Arial" w:eastAsia="Arial" w:hAnsi="Arial"/>
          <w:sz w:val="16"/>
          <w:szCs w:val="16"/>
          <w:color w:val="auto"/>
        </w:rPr>
        <w:t>1.00</w:t>
      </w:r>
    </w:p>
    <w:p>
      <w:pPr>
        <w:spacing w:after="0" w:line="9" w:lineRule="exact"/>
        <w:rPr>
          <w:sz w:val="20"/>
          <w:szCs w:val="20"/>
          <w:color w:val="auto"/>
        </w:rPr>
      </w:pPr>
    </w:p>
    <w:p>
      <w:pPr>
        <w:ind w:left="320"/>
        <w:spacing w:after="0"/>
        <w:tabs>
          <w:tab w:leader="none" w:pos="780" w:val="left"/>
          <w:tab w:leader="none" w:pos="980" w:val="left"/>
        </w:tabs>
        <w:rPr>
          <w:sz w:val="20"/>
          <w:szCs w:val="20"/>
          <w:color w:val="auto"/>
        </w:rPr>
      </w:pPr>
      <w:r>
        <w:rPr>
          <w:rFonts w:ascii="Arial" w:cs="Arial" w:eastAsia="Arial" w:hAnsi="Arial"/>
          <w:sz w:val="18"/>
          <w:szCs w:val="18"/>
          <w:color w:val="auto"/>
        </w:rPr>
        <w:t>5.85</w:t>
        <w:tab/>
        <w:t>:</w:t>
      </w:r>
      <w:r>
        <w:rPr>
          <w:sz w:val="20"/>
          <w:szCs w:val="20"/>
          <w:color w:val="auto"/>
        </w:rPr>
        <w:tab/>
      </w:r>
      <w:r>
        <w:rPr>
          <w:rFonts w:ascii="Arial" w:cs="Arial" w:eastAsia="Arial" w:hAnsi="Arial"/>
          <w:sz w:val="16"/>
          <w:szCs w:val="16"/>
          <w:color w:val="auto"/>
        </w:rPr>
        <w:t>1.00</w:t>
      </w:r>
    </w:p>
    <w:p>
      <w:pPr>
        <w:spacing w:after="0" w:line="9" w:lineRule="exact"/>
        <w:rPr>
          <w:sz w:val="20"/>
          <w:szCs w:val="20"/>
          <w:color w:val="auto"/>
        </w:rPr>
      </w:pPr>
    </w:p>
    <w:p>
      <w:pPr>
        <w:ind w:left="320"/>
        <w:spacing w:after="0"/>
        <w:tabs>
          <w:tab w:leader="none" w:pos="780" w:val="left"/>
          <w:tab w:leader="none" w:pos="980" w:val="left"/>
        </w:tabs>
        <w:rPr>
          <w:sz w:val="20"/>
          <w:szCs w:val="20"/>
          <w:color w:val="auto"/>
        </w:rPr>
      </w:pPr>
      <w:r>
        <w:rPr>
          <w:rFonts w:ascii="Arial" w:cs="Arial" w:eastAsia="Arial" w:hAnsi="Arial"/>
          <w:sz w:val="18"/>
          <w:szCs w:val="18"/>
          <w:color w:val="auto"/>
        </w:rPr>
        <w:t>5.85</w:t>
        <w:tab/>
        <w:t>:</w:t>
      </w:r>
      <w:r>
        <w:rPr>
          <w:sz w:val="20"/>
          <w:szCs w:val="20"/>
          <w:color w:val="auto"/>
        </w:rPr>
        <w:tab/>
      </w:r>
      <w:r>
        <w:rPr>
          <w:rFonts w:ascii="Arial" w:cs="Arial" w:eastAsia="Arial" w:hAnsi="Arial"/>
          <w:sz w:val="16"/>
          <w:szCs w:val="16"/>
          <w:color w:val="auto"/>
        </w:rPr>
        <w:t>1.00</w:t>
      </w:r>
    </w:p>
    <w:p>
      <w:pPr>
        <w:spacing w:after="0" w:line="9" w:lineRule="exact"/>
        <w:rPr>
          <w:sz w:val="20"/>
          <w:szCs w:val="20"/>
          <w:color w:val="auto"/>
        </w:rPr>
      </w:pPr>
    </w:p>
    <w:p>
      <w:pPr>
        <w:ind w:left="320"/>
        <w:spacing w:after="0"/>
        <w:tabs>
          <w:tab w:leader="none" w:pos="780" w:val="left"/>
          <w:tab w:leader="none" w:pos="980" w:val="left"/>
        </w:tabs>
        <w:rPr>
          <w:sz w:val="20"/>
          <w:szCs w:val="20"/>
          <w:color w:val="auto"/>
        </w:rPr>
      </w:pPr>
      <w:r>
        <w:rPr>
          <w:rFonts w:ascii="Arial" w:cs="Arial" w:eastAsia="Arial" w:hAnsi="Arial"/>
          <w:sz w:val="18"/>
          <w:szCs w:val="18"/>
          <w:color w:val="auto"/>
        </w:rPr>
        <w:t>5.85</w:t>
        <w:tab/>
        <w:t>:</w:t>
      </w:r>
      <w:r>
        <w:rPr>
          <w:sz w:val="20"/>
          <w:szCs w:val="20"/>
          <w:color w:val="auto"/>
        </w:rPr>
        <w:tab/>
      </w:r>
      <w:r>
        <w:rPr>
          <w:rFonts w:ascii="Arial" w:cs="Arial" w:eastAsia="Arial" w:hAnsi="Arial"/>
          <w:sz w:val="16"/>
          <w:szCs w:val="16"/>
          <w:color w:val="auto"/>
        </w:rPr>
        <w:t>1.00</w:t>
      </w:r>
    </w:p>
    <w:p>
      <w:pPr>
        <w:spacing w:after="0" w:line="9" w:lineRule="exact"/>
        <w:rPr>
          <w:sz w:val="20"/>
          <w:szCs w:val="20"/>
          <w:color w:val="auto"/>
        </w:rPr>
      </w:pPr>
    </w:p>
    <w:p>
      <w:pPr>
        <w:ind w:left="320"/>
        <w:spacing w:after="0"/>
        <w:tabs>
          <w:tab w:leader="none" w:pos="780" w:val="left"/>
          <w:tab w:leader="none" w:pos="980" w:val="left"/>
        </w:tabs>
        <w:rPr>
          <w:sz w:val="20"/>
          <w:szCs w:val="20"/>
          <w:color w:val="auto"/>
        </w:rPr>
      </w:pPr>
      <w:r>
        <w:rPr>
          <w:rFonts w:ascii="Arial" w:cs="Arial" w:eastAsia="Arial" w:hAnsi="Arial"/>
          <w:sz w:val="18"/>
          <w:szCs w:val="18"/>
          <w:color w:val="auto"/>
        </w:rPr>
        <w:t>5.85</w:t>
        <w:tab/>
        <w:t>:</w:t>
      </w:r>
      <w:r>
        <w:rPr>
          <w:sz w:val="20"/>
          <w:szCs w:val="20"/>
          <w:color w:val="auto"/>
        </w:rPr>
        <w:tab/>
      </w:r>
      <w:r>
        <w:rPr>
          <w:rFonts w:ascii="Arial" w:cs="Arial" w:eastAsia="Arial" w:hAnsi="Arial"/>
          <w:sz w:val="16"/>
          <w:szCs w:val="16"/>
          <w:color w:val="auto"/>
        </w:rPr>
        <w:t>1.00</w:t>
      </w:r>
    </w:p>
    <w:p>
      <w:pPr>
        <w:spacing w:after="0" w:line="9" w:lineRule="exact"/>
        <w:rPr>
          <w:sz w:val="20"/>
          <w:szCs w:val="20"/>
          <w:color w:val="auto"/>
        </w:rPr>
      </w:pPr>
    </w:p>
    <w:p>
      <w:pPr>
        <w:ind w:left="320"/>
        <w:spacing w:after="0"/>
        <w:tabs>
          <w:tab w:leader="none" w:pos="780" w:val="left"/>
          <w:tab w:leader="none" w:pos="980" w:val="left"/>
        </w:tabs>
        <w:rPr>
          <w:sz w:val="20"/>
          <w:szCs w:val="20"/>
          <w:color w:val="auto"/>
        </w:rPr>
      </w:pPr>
      <w:r>
        <w:rPr>
          <w:rFonts w:ascii="Arial" w:cs="Arial" w:eastAsia="Arial" w:hAnsi="Arial"/>
          <w:sz w:val="18"/>
          <w:szCs w:val="18"/>
          <w:color w:val="auto"/>
        </w:rPr>
        <w:t>5.50</w:t>
        <w:tab/>
        <w:t>:</w:t>
      </w:r>
      <w:r>
        <w:rPr>
          <w:sz w:val="20"/>
          <w:szCs w:val="20"/>
          <w:color w:val="auto"/>
        </w:rPr>
        <w:tab/>
      </w:r>
      <w:r>
        <w:rPr>
          <w:rFonts w:ascii="Arial" w:cs="Arial" w:eastAsia="Arial" w:hAnsi="Arial"/>
          <w:sz w:val="16"/>
          <w:szCs w:val="16"/>
          <w:color w:val="auto"/>
        </w:rPr>
        <w:t>1.00</w:t>
      </w:r>
    </w:p>
    <w:p>
      <w:pPr>
        <w:spacing w:after="0" w:line="9" w:lineRule="exact"/>
        <w:rPr>
          <w:sz w:val="20"/>
          <w:szCs w:val="20"/>
          <w:color w:val="auto"/>
        </w:rPr>
      </w:pPr>
    </w:p>
    <w:p>
      <w:pPr>
        <w:ind w:left="320"/>
        <w:spacing w:after="0"/>
        <w:tabs>
          <w:tab w:leader="none" w:pos="780" w:val="left"/>
          <w:tab w:leader="none" w:pos="980" w:val="left"/>
        </w:tabs>
        <w:rPr>
          <w:sz w:val="20"/>
          <w:szCs w:val="20"/>
          <w:color w:val="auto"/>
        </w:rPr>
      </w:pPr>
      <w:r>
        <w:rPr>
          <w:rFonts w:ascii="Arial" w:cs="Arial" w:eastAsia="Arial" w:hAnsi="Arial"/>
          <w:sz w:val="18"/>
          <w:szCs w:val="18"/>
          <w:color w:val="auto"/>
        </w:rPr>
        <w:t>5.25</w:t>
        <w:tab/>
        <w:t>:</w:t>
      </w:r>
      <w:r>
        <w:rPr>
          <w:sz w:val="20"/>
          <w:szCs w:val="20"/>
          <w:color w:val="auto"/>
        </w:rPr>
        <w:tab/>
      </w:r>
      <w:r>
        <w:rPr>
          <w:rFonts w:ascii="Arial" w:cs="Arial" w:eastAsia="Arial" w:hAnsi="Arial"/>
          <w:sz w:val="16"/>
          <w:szCs w:val="16"/>
          <w:color w:val="auto"/>
        </w:rPr>
        <w:t>1.00</w:t>
      </w:r>
    </w:p>
    <w:p>
      <w:pPr>
        <w:spacing w:after="0" w:line="1081" w:lineRule="exact"/>
        <w:rPr>
          <w:sz w:val="20"/>
          <w:szCs w:val="20"/>
          <w:color w:val="auto"/>
        </w:rPr>
      </w:pPr>
    </w:p>
    <w:p>
      <w:pPr>
        <w:sectPr>
          <w:pgSz w:w="11900" w:h="16838" w:orient="portrait"/>
          <w:cols w:equalWidth="0" w:num="2">
            <w:col w:w="7740" w:space="720"/>
            <w:col w:w="2960"/>
          </w:cols>
          <w:pgMar w:left="240" w:top="580" w:right="239" w:bottom="1440" w:gutter="0" w:footer="0" w:header="0"/>
          <w:type w:val="continuous"/>
        </w:sectPr>
      </w:pPr>
    </w:p>
    <w:p>
      <w:pPr>
        <w:spacing w:after="0" w:line="48" w:lineRule="exact"/>
        <w:rPr>
          <w:sz w:val="20"/>
          <w:szCs w:val="20"/>
          <w:color w:val="auto"/>
        </w:rPr>
      </w:pPr>
    </w:p>
    <w:p>
      <w:pPr>
        <w:ind w:right="40" w:firstLine="324"/>
        <w:spacing w:after="0" w:line="255" w:lineRule="auto"/>
        <w:rPr>
          <w:sz w:val="20"/>
          <w:szCs w:val="20"/>
          <w:color w:val="auto"/>
        </w:rPr>
      </w:pPr>
      <w:r>
        <w:rPr>
          <w:rFonts w:ascii="Arial" w:cs="Arial" w:eastAsia="Arial" w:hAnsi="Arial"/>
          <w:sz w:val="18"/>
          <w:szCs w:val="18"/>
          <w:color w:val="auto"/>
        </w:rPr>
        <w:t>U.S. dollar amounts outstanding under the facilities provided by the Amended Credit Agreement bear interest at a variable rate equal to LIBOR plus a margin of 2.25% to 5.50%, or a base rate plus 1.25% to 4.50%, in each case based on a ratio of our total leverage to EBITDA (as defined in the Amended Credit Agreement). Canadian dollar amounts outstanding bear interest at a variable rate equal to the Canadian Dollar Offered Rate plus a margin of 2.25% to 5.50%, or a base rate plus a margin of 1.25% to 4.50%, in each case based on a ratio of our consolidated total leverage to EBITDA. Australian dollar amounts outstanding under the Amended Credit Facility bear interest at a variable rate equal to the Bank Bill Swap Bid Rate plus a margin of 2.25% to 5.50%, based on a ratio of our consolidated total leverage to EBITDA.</w:t>
      </w:r>
    </w:p>
    <w:p>
      <w:pPr>
        <w:spacing w:after="0" w:line="193" w:lineRule="exact"/>
        <w:rPr>
          <w:sz w:val="20"/>
          <w:szCs w:val="20"/>
          <w:color w:val="auto"/>
        </w:rPr>
      </w:pPr>
    </w:p>
    <w:p>
      <w:pPr>
        <w:ind w:right="160" w:firstLine="324"/>
        <w:spacing w:after="0" w:line="291" w:lineRule="auto"/>
        <w:rPr>
          <w:sz w:val="20"/>
          <w:szCs w:val="20"/>
          <w:color w:val="auto"/>
        </w:rPr>
      </w:pPr>
      <w:r>
        <w:rPr>
          <w:rFonts w:ascii="Arial" w:cs="Arial" w:eastAsia="Arial" w:hAnsi="Arial"/>
          <w:sz w:val="16"/>
          <w:szCs w:val="16"/>
          <w:color w:val="auto"/>
        </w:rPr>
        <w:t>The Amended Credit Agreement contains customary affirmative and negative covenants that, among other things, limit or restrict: (i) subsidiary indebtedness, liens and fundamental changes; (ii) asset sales; (iii) acquisitions of margin stock; (iv) specified acquisitions; (v) certain restrictive agreements;</w:t>
      </w:r>
    </w:p>
    <w:p>
      <w:pPr>
        <w:ind w:firstLine="8"/>
        <w:spacing w:after="0" w:line="252" w:lineRule="auto"/>
        <w:tabs>
          <w:tab w:leader="none" w:pos="305" w:val="left"/>
        </w:tabs>
        <w:numPr>
          <w:ilvl w:val="0"/>
          <w:numId w:val="13"/>
        </w:numPr>
        <w:rPr>
          <w:rFonts w:ascii="Arial" w:cs="Arial" w:eastAsia="Arial" w:hAnsi="Arial"/>
          <w:sz w:val="18"/>
          <w:szCs w:val="18"/>
          <w:color w:val="auto"/>
        </w:rPr>
      </w:pPr>
      <w:r>
        <w:rPr>
          <w:rFonts w:ascii="Arial" w:cs="Arial" w:eastAsia="Arial" w:hAnsi="Arial"/>
          <w:sz w:val="18"/>
          <w:szCs w:val="18"/>
          <w:color w:val="auto"/>
        </w:rPr>
        <w:t>transactions with affiliates; and (vii) investments and other restricted payments, including dividends and other distributions. In addition, we must maintain an interest coverage ratio, defined as the ratio of consolidated EBITDA to consolidated interest expense, of at least 3.0 to 1.0 and our maximum leverage ratio, defined as the ratio of total debt to consolidated EBITDA, of no greater than 5.25 to 1.0 (as of March 31, 2017). As noted above, the permitted maximum leverage ratio changes over time. Each of the factors considered in the calculations of these ratios are defined in the Amended Credit Agreement. EBITDA and consolidated interest, as defined, exclude goodwill and asset impairments, debt discount amortization and other non-cash charges. We were in compliance with all of these covenants as of March 31, 2017.</w:t>
      </w:r>
    </w:p>
    <w:p>
      <w:pPr>
        <w:spacing w:after="0" w:line="194" w:lineRule="exact"/>
        <w:rPr>
          <w:sz w:val="20"/>
          <w:szCs w:val="20"/>
          <w:color w:val="auto"/>
        </w:rPr>
      </w:pPr>
    </w:p>
    <w:p>
      <w:pPr>
        <w:ind w:right="140" w:firstLine="324"/>
        <w:spacing w:after="0" w:line="264" w:lineRule="auto"/>
        <w:rPr>
          <w:sz w:val="20"/>
          <w:szCs w:val="20"/>
          <w:color w:val="auto"/>
        </w:rPr>
      </w:pPr>
      <w:r>
        <w:rPr>
          <w:rFonts w:ascii="Arial" w:cs="Arial" w:eastAsia="Arial" w:hAnsi="Arial"/>
          <w:sz w:val="18"/>
          <w:szCs w:val="18"/>
          <w:color w:val="auto"/>
        </w:rPr>
        <w:t>Borrowings under the Amended Credit Agreement are secured by a pledge of substantially all of our assets and the assets of our subsidiaries. The obligations under the Amended Credit Agreement are guaranteed by our significant subsidiaries. There are 15 lenders that are parties to the Amended Credit Agreement, with commitments ranging from $1.1 million to $122.2 million.</w:t>
      </w:r>
    </w:p>
    <w:p>
      <w:pPr>
        <w:spacing w:after="0" w:line="177" w:lineRule="exact"/>
        <w:rPr>
          <w:sz w:val="20"/>
          <w:szCs w:val="20"/>
          <w:color w:val="auto"/>
        </w:rPr>
      </w:pPr>
    </w:p>
    <w:p>
      <w:pPr>
        <w:ind w:left="340" w:hanging="332"/>
        <w:spacing w:after="0"/>
        <w:tabs>
          <w:tab w:leader="none" w:pos="34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229"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color w:val="auto"/>
        </w:rPr>
        <w:t>Our operations are conducted through various subsidiaries in a number of countries throughout the world. We have provided for income taxes based upon the tax laws and rates in the countries in which operations are conducted and income is earned.</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operate primarily in three jurisdictions, Canada, Australia and the U.S., where statutory tax rates range from 27% to 35%.</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Our effective tax rate will vary from period to period based on changes in earnings mix between these different jurisdictions.</w:t>
      </w:r>
    </w:p>
    <w:p>
      <w:pPr>
        <w:spacing w:after="0" w:line="211" w:lineRule="exact"/>
        <w:rPr>
          <w:sz w:val="20"/>
          <w:szCs w:val="20"/>
          <w:color w:val="auto"/>
        </w:rPr>
      </w:pPr>
    </w:p>
    <w:p>
      <w:pPr>
        <w:ind w:firstLine="324"/>
        <w:spacing w:after="0" w:line="279" w:lineRule="auto"/>
        <w:rPr>
          <w:sz w:val="20"/>
          <w:szCs w:val="20"/>
          <w:color w:val="auto"/>
        </w:rPr>
      </w:pPr>
      <w:r>
        <w:rPr>
          <w:rFonts w:ascii="Arial" w:cs="Arial" w:eastAsia="Arial" w:hAnsi="Arial"/>
          <w:sz w:val="17"/>
          <w:szCs w:val="17"/>
          <w:color w:val="auto"/>
        </w:rPr>
        <w:t>We compute our quarterly taxes under the effective tax rate method by applying an anticipated annual effective rate to our year-to-date income, except for significant unusual or extraordinary transactions. As Australia and the U.S. are now loss jurisdictions for tax accounting purposes, Australia and the U.S. have been removed from the annual effective tax rate computation for purposes of computing the interim tax provision. Income taxes for any significant and unusual or extraordinary transactions are computed and recorded in the period that the specific transaction occurs.</w:t>
      </w:r>
    </w:p>
    <w:p>
      <w:pPr>
        <w:spacing w:after="0" w:line="200" w:lineRule="exact"/>
        <w:rPr>
          <w:sz w:val="20"/>
          <w:szCs w:val="20"/>
          <w:color w:val="auto"/>
        </w:rPr>
      </w:pPr>
    </w:p>
    <w:p>
      <w:pPr>
        <w:spacing w:after="0" w:line="2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type w:val="continuous"/>
        </w:sectPr>
      </w:pPr>
    </w:p>
    <w:bookmarkStart w:id="13" w:name="page14"/>
    <w:bookmarkEnd w:id="13"/>
    <w:p>
      <w:pPr>
        <w:jc w:val="center"/>
        <w:ind w:right="-19"/>
        <w:spacing w:after="0"/>
        <w:rPr>
          <w:sz w:val="20"/>
          <w:szCs w:val="20"/>
          <w:color w:val="auto"/>
        </w:rPr>
      </w:pPr>
      <w:r>
        <w:rPr>
          <w:rFonts w:ascii="Arial" w:cs="Arial" w:eastAsia="Arial" w:hAnsi="Arial"/>
          <w:sz w:val="18"/>
          <w:szCs w:val="18"/>
          <w:b w:val="1"/>
          <w:bCs w:val="1"/>
          <w:color w:val="auto"/>
        </w:rPr>
        <w:t>CIVEO CORPORATION</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UNAUDITED CONSOLIDATED</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(Continued)</w:t>
      </w:r>
    </w:p>
    <w:p>
      <w:pPr>
        <w:spacing w:after="0" w:line="211" w:lineRule="exact"/>
        <w:rPr>
          <w:sz w:val="20"/>
          <w:szCs w:val="20"/>
          <w:color w:val="auto"/>
        </w:rPr>
      </w:pPr>
    </w:p>
    <w:p>
      <w:pPr>
        <w:ind w:firstLine="324"/>
        <w:spacing w:after="0" w:line="264" w:lineRule="auto"/>
        <w:rPr>
          <w:sz w:val="20"/>
          <w:szCs w:val="20"/>
          <w:color w:val="auto"/>
        </w:rPr>
      </w:pPr>
      <w:r>
        <w:rPr>
          <w:rFonts w:ascii="Arial" w:cs="Arial" w:eastAsia="Arial" w:hAnsi="Arial"/>
          <w:sz w:val="18"/>
          <w:szCs w:val="18"/>
          <w:color w:val="auto"/>
        </w:rPr>
        <w:t>Our income tax benefit for the three months ended March 31, 2017 totaled $2.9 million, or 12.4% of pretax loss, compared to a benefit of $4.6 million, or 14.6% of pretax loss, for the three months ended March 31, 2016. The effective tax rates in 2017 and 2016 were impacted by discrete items totaling $0.6 million and $0.9 million, respectively.</w:t>
      </w:r>
    </w:p>
    <w:p>
      <w:pPr>
        <w:spacing w:after="0" w:line="231" w:lineRule="exact"/>
        <w:rPr>
          <w:sz w:val="20"/>
          <w:szCs w:val="20"/>
          <w:color w:val="auto"/>
        </w:rPr>
      </w:pPr>
    </w:p>
    <w:p>
      <w:pPr>
        <w:ind w:left="340" w:hanging="332"/>
        <w:spacing w:after="0"/>
        <w:tabs>
          <w:tab w:leader="none" w:pos="340"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w:t>
      </w:r>
    </w:p>
    <w:p>
      <w:pPr>
        <w:spacing w:after="0" w:line="229" w:lineRule="exact"/>
        <w:rPr>
          <w:sz w:val="20"/>
          <w:szCs w:val="20"/>
          <w:color w:val="auto"/>
        </w:rPr>
      </w:pPr>
    </w:p>
    <w:p>
      <w:pPr>
        <w:ind w:right="460" w:firstLine="324"/>
        <w:spacing w:after="0" w:line="297" w:lineRule="auto"/>
        <w:rPr>
          <w:sz w:val="20"/>
          <w:szCs w:val="20"/>
          <w:color w:val="auto"/>
        </w:rPr>
      </w:pPr>
      <w:r>
        <w:rPr>
          <w:rFonts w:ascii="Arial" w:cs="Arial" w:eastAsia="Arial" w:hAnsi="Arial"/>
          <w:sz w:val="16"/>
          <w:szCs w:val="16"/>
          <w:color w:val="auto"/>
        </w:rPr>
        <w:t>We are a party to various pending or threatened claims, lawsuits and administrative proceedings seeking damages or other remedies concerning our commercial operations, products, employees and other matters, including warranty and product liability claims as a result of our products or operations. Although we can give no assurance about the outcome of pending legal and administrative proceedings and the effect such outcomes may have on us, management believes that any ultimate liability resulting from the outcome of such proceedings, to the extent not otherwise provided for or covered by insurance, will not have a material adverse effect on our consolidated financial position, results of operations or liquidity.</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ACCUMULATED OTHER COMPREHENSIVE LOSS</w:t>
      </w:r>
    </w:p>
    <w:p>
      <w:pPr>
        <w:spacing w:after="0" w:line="229" w:lineRule="exact"/>
        <w:rPr>
          <w:sz w:val="20"/>
          <w:szCs w:val="20"/>
          <w:color w:val="auto"/>
        </w:rPr>
      </w:pPr>
    </w:p>
    <w:p>
      <w:pPr>
        <w:ind w:right="40" w:firstLine="324"/>
        <w:spacing w:after="0" w:line="279" w:lineRule="auto"/>
        <w:rPr>
          <w:sz w:val="20"/>
          <w:szCs w:val="20"/>
          <w:color w:val="auto"/>
        </w:rPr>
      </w:pPr>
      <w:r>
        <w:rPr>
          <w:rFonts w:ascii="Arial" w:cs="Arial" w:eastAsia="Arial" w:hAnsi="Arial"/>
          <w:sz w:val="17"/>
          <w:szCs w:val="17"/>
          <w:color w:val="auto"/>
        </w:rPr>
        <w:t>Our accumulated other comprehensive loss decreased $17.7 million from $362.9 million at December 31, 2016 to $345.2 million at March 31, 2017, as a result of foreign currency exchange rate fluctuations. Changes in other comprehensive loss during the first quarter of 2017 were primarily driven by the Australian dollar and Canadian dollar increasing in value compared to the U.S. dollar. Excluding intercompany balances, our Canadian dollar and Australian dollar functional currency net assets totaled approximately C$0.2 billion and A$0.5 billion, respectively, at March 31, 2017.</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SHARE BASED COMPENSATION</w:t>
      </w:r>
    </w:p>
    <w:p>
      <w:pPr>
        <w:spacing w:after="0" w:line="229"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Our employees and non-employee directors participate in the Amended and Restated 2014 Equity Participation Plan of Civeo Corporation (the Civeo Plan). The Civeo Plan authorizes our Board of Directors and the Compensation Committee of our Board of Directors to approve grants of options, awards of restricted shares, performance awards and dividend equivalents, awards of deferred shares, and share payments to our employees and non-employee directors. No more than 14.0 million Civeo common shares may be awarded under the Civeo Plan.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Outstanding Awards</w:t>
      </w:r>
    </w:p>
    <w:p>
      <w:pPr>
        <w:spacing w:after="0" w:line="225" w:lineRule="exact"/>
        <w:rPr>
          <w:sz w:val="20"/>
          <w:szCs w:val="20"/>
          <w:color w:val="auto"/>
        </w:rPr>
      </w:pPr>
    </w:p>
    <w:p>
      <w:pPr>
        <w:ind w:right="240" w:firstLine="324"/>
        <w:spacing w:after="0" w:line="264" w:lineRule="auto"/>
        <w:rPr>
          <w:sz w:val="20"/>
          <w:szCs w:val="20"/>
          <w:color w:val="auto"/>
        </w:rPr>
      </w:pPr>
      <w:r>
        <w:rPr>
          <w:rFonts w:ascii="Arial" w:cs="Arial" w:eastAsia="Arial" w:hAnsi="Arial"/>
          <w:sz w:val="18"/>
          <w:szCs w:val="18"/>
          <w:b w:val="1"/>
          <w:bCs w:val="1"/>
          <w:i w:val="1"/>
          <w:iCs w:val="1"/>
          <w:color w:val="auto"/>
        </w:rPr>
        <w:t xml:space="preserve">Options. </w:t>
      </w:r>
      <w:r>
        <w:rPr>
          <w:rFonts w:ascii="Arial" w:cs="Arial" w:eastAsia="Arial" w:hAnsi="Arial"/>
          <w:sz w:val="18"/>
          <w:szCs w:val="18"/>
          <w:color w:val="auto"/>
        </w:rPr>
        <w:t>Compensation expense associated with options recognized in the three months ended March 31, 2017 and 2016 totaled less than $0.1 million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$0.1 million, respectively. At March 31, 2017, unrecognized compensation cost related to options was less than $0.1 million, which is expected to be recognized over a weighted average period of 0.9 years.</w:t>
      </w:r>
    </w:p>
    <w:p>
      <w:pPr>
        <w:spacing w:after="0" w:line="181" w:lineRule="exact"/>
        <w:rPr>
          <w:sz w:val="20"/>
          <w:szCs w:val="20"/>
          <w:color w:val="auto"/>
        </w:rPr>
      </w:pPr>
    </w:p>
    <w:p>
      <w:pPr>
        <w:ind w:right="300" w:firstLine="324"/>
        <w:spacing w:after="0" w:line="277" w:lineRule="auto"/>
        <w:rPr>
          <w:sz w:val="20"/>
          <w:szCs w:val="20"/>
          <w:color w:val="auto"/>
        </w:rPr>
      </w:pPr>
      <w:r>
        <w:rPr>
          <w:rFonts w:ascii="Arial" w:cs="Arial" w:eastAsia="Arial" w:hAnsi="Arial"/>
          <w:sz w:val="18"/>
          <w:szCs w:val="18"/>
          <w:b w:val="1"/>
          <w:bCs w:val="1"/>
          <w:i w:val="1"/>
          <w:iCs w:val="1"/>
          <w:color w:val="auto"/>
        </w:rPr>
        <w:t xml:space="preserve">Restricted Share / Deferred Share Awards. </w:t>
      </w:r>
      <w:r>
        <w:rPr>
          <w:rFonts w:ascii="Arial" w:cs="Arial" w:eastAsia="Arial" w:hAnsi="Arial"/>
          <w:sz w:val="18"/>
          <w:szCs w:val="18"/>
          <w:color w:val="auto"/>
        </w:rPr>
        <w:t>On February 21, 2017, we granted 1,322,934 restricted share awards and deferred share awards under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Civeo Plan, which vest in three equal annual installments beginning on February 21, 2018.</w:t>
      </w:r>
    </w:p>
    <w:p>
      <w:pPr>
        <w:spacing w:after="0" w:line="170" w:lineRule="exact"/>
        <w:rPr>
          <w:sz w:val="20"/>
          <w:szCs w:val="20"/>
          <w:color w:val="auto"/>
        </w:rPr>
      </w:pPr>
    </w:p>
    <w:p>
      <w:pPr>
        <w:jc w:val="both"/>
        <w:ind w:right="180" w:firstLine="324"/>
        <w:spacing w:after="0" w:line="264" w:lineRule="auto"/>
        <w:rPr>
          <w:sz w:val="20"/>
          <w:szCs w:val="20"/>
          <w:color w:val="auto"/>
        </w:rPr>
      </w:pPr>
      <w:r>
        <w:rPr>
          <w:rFonts w:ascii="Arial" w:cs="Arial" w:eastAsia="Arial" w:hAnsi="Arial"/>
          <w:sz w:val="18"/>
          <w:szCs w:val="18"/>
          <w:color w:val="auto"/>
        </w:rPr>
        <w:t>Compensation expense associated with restricted share awards and deferred share awards recognized in the three-month periods ended March 31, 2017 and 2016 totaled $1.2 million and $1.1 million, respectively. The total fair value of restricted share awards and deferred share awards that vested during the three months ended March 31, 2017 and 2016 was $1.3 million and $0.3 million, respectively.</w:t>
      </w:r>
    </w:p>
    <w:p>
      <w:pPr>
        <w:spacing w:after="0" w:line="181" w:lineRule="exact"/>
        <w:rPr>
          <w:sz w:val="20"/>
          <w:szCs w:val="20"/>
          <w:color w:val="auto"/>
        </w:rPr>
      </w:pPr>
    </w:p>
    <w:p>
      <w:pPr>
        <w:ind w:right="100" w:firstLine="324"/>
        <w:spacing w:after="0" w:line="277" w:lineRule="auto"/>
        <w:rPr>
          <w:sz w:val="20"/>
          <w:szCs w:val="20"/>
          <w:color w:val="auto"/>
        </w:rPr>
      </w:pPr>
      <w:r>
        <w:rPr>
          <w:rFonts w:ascii="Arial" w:cs="Arial" w:eastAsia="Arial" w:hAnsi="Arial"/>
          <w:sz w:val="18"/>
          <w:szCs w:val="18"/>
          <w:color w:val="auto"/>
        </w:rPr>
        <w:t>At March 31, 2017, unrecognized compensation cost related to restricted share awards and deferred share awards was $6.9 million, which is expected to be recognized over a weighted average period of 2.4 years.</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00"/>
          </w:cols>
          <w:pgMar w:left="240" w:top="580" w:right="259" w:bottom="1440" w:gutter="0" w:footer="0" w:header="0"/>
        </w:sectPr>
      </w:pPr>
    </w:p>
    <w:bookmarkStart w:id="14" w:name="page15"/>
    <w:bookmarkEnd w:id="14"/>
    <w:p>
      <w:pPr>
        <w:jc w:val="center"/>
        <w:ind w:right="40"/>
        <w:spacing w:after="0"/>
        <w:rPr>
          <w:sz w:val="20"/>
          <w:szCs w:val="20"/>
          <w:color w:val="auto"/>
        </w:rPr>
      </w:pPr>
      <w:r>
        <w:rPr>
          <w:rFonts w:ascii="Arial" w:cs="Arial" w:eastAsia="Arial" w:hAnsi="Arial"/>
          <w:sz w:val="18"/>
          <w:szCs w:val="18"/>
          <w:b w:val="1"/>
          <w:bCs w:val="1"/>
          <w:color w:val="auto"/>
        </w:rPr>
        <w:t>CIVEO CORPORATION</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NOTES TO UNAUDITED CONSOLIDATED</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FINANCIAL STATEMENTS</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(Continued)</w:t>
      </w:r>
    </w:p>
    <w:p>
      <w:pPr>
        <w:spacing w:after="0" w:line="211" w:lineRule="exact"/>
        <w:rPr>
          <w:sz w:val="20"/>
          <w:szCs w:val="20"/>
          <w:color w:val="auto"/>
        </w:rPr>
      </w:pPr>
    </w:p>
    <w:p>
      <w:pPr>
        <w:ind w:right="260" w:firstLine="324"/>
        <w:spacing w:after="0" w:line="264" w:lineRule="auto"/>
        <w:rPr>
          <w:sz w:val="20"/>
          <w:szCs w:val="20"/>
          <w:color w:val="auto"/>
        </w:rPr>
      </w:pPr>
      <w:r>
        <w:rPr>
          <w:rFonts w:ascii="Arial" w:cs="Arial" w:eastAsia="Arial" w:hAnsi="Arial"/>
          <w:sz w:val="18"/>
          <w:szCs w:val="18"/>
          <w:b w:val="1"/>
          <w:bCs w:val="1"/>
          <w:i w:val="1"/>
          <w:iCs w:val="1"/>
          <w:color w:val="auto"/>
        </w:rPr>
        <w:t xml:space="preserve">Phantom Share Awards. </w:t>
      </w:r>
      <w:r>
        <w:rPr>
          <w:rFonts w:ascii="Arial" w:cs="Arial" w:eastAsia="Arial" w:hAnsi="Arial"/>
          <w:sz w:val="18"/>
          <w:szCs w:val="18"/>
          <w:color w:val="auto"/>
        </w:rPr>
        <w:t>On February 21, 2017, we granted 351,022 phantom share awards under the Civeo Plan, which vest in three equal annual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installments beginning on February 21, 2018. We also granted 163,617 phantom share awards under the Canadian Long-Term Incentive Plan, which vest in three equal annual installments beginning on February 21, 2018.</w:t>
      </w:r>
    </w:p>
    <w:p>
      <w:pPr>
        <w:spacing w:after="0" w:line="181" w:lineRule="exact"/>
        <w:rPr>
          <w:sz w:val="20"/>
          <w:szCs w:val="20"/>
          <w:color w:val="auto"/>
        </w:rPr>
      </w:pPr>
    </w:p>
    <w:p>
      <w:pPr>
        <w:ind w:right="300" w:firstLine="324"/>
        <w:spacing w:after="0" w:line="286" w:lineRule="auto"/>
        <w:rPr>
          <w:sz w:val="20"/>
          <w:szCs w:val="20"/>
          <w:color w:val="auto"/>
        </w:rPr>
      </w:pPr>
      <w:r>
        <w:rPr>
          <w:rFonts w:ascii="Arial" w:cs="Arial" w:eastAsia="Arial" w:hAnsi="Arial"/>
          <w:sz w:val="17"/>
          <w:szCs w:val="17"/>
          <w:color w:val="auto"/>
        </w:rPr>
        <w:t>During the three month periods ended March 31, 2017 and 2016, we recognized compensation expense associated with phantom share awards totaling $3.0 million and $0.2 million, respectively. At March 31, 2017, unrecognized compensation cost related to phantom share awards was $12.7 million, as remeasured at March 31, 2017, which is expected to be recognized over a weighted average period of 2.0 years.</w:t>
      </w:r>
    </w:p>
    <w:p>
      <w:pPr>
        <w:spacing w:after="0" w:line="166" w:lineRule="exact"/>
        <w:rPr>
          <w:sz w:val="20"/>
          <w:szCs w:val="20"/>
          <w:color w:val="auto"/>
        </w:rPr>
      </w:pPr>
    </w:p>
    <w:p>
      <w:pPr>
        <w:jc w:val="both"/>
        <w:ind w:right="80" w:firstLine="324"/>
        <w:spacing w:after="0" w:line="286" w:lineRule="auto"/>
        <w:rPr>
          <w:sz w:val="20"/>
          <w:szCs w:val="20"/>
          <w:color w:val="auto"/>
        </w:rPr>
      </w:pPr>
      <w:r>
        <w:rPr>
          <w:rFonts w:ascii="Arial" w:cs="Arial" w:eastAsia="Arial" w:hAnsi="Arial"/>
          <w:sz w:val="17"/>
          <w:szCs w:val="17"/>
          <w:b w:val="1"/>
          <w:bCs w:val="1"/>
          <w:i w:val="1"/>
          <w:iCs w:val="1"/>
          <w:color w:val="auto"/>
        </w:rPr>
        <w:t xml:space="preserve">Performance Awards. </w:t>
      </w:r>
      <w:r>
        <w:rPr>
          <w:rFonts w:ascii="Arial" w:cs="Arial" w:eastAsia="Arial" w:hAnsi="Arial"/>
          <w:sz w:val="17"/>
          <w:szCs w:val="17"/>
          <w:color w:val="auto"/>
        </w:rPr>
        <w:t>On February 21, 2017, we granted 762,497 performance awards under the Civeo Plan, which cliff vest in three years on February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21, 2020. These awards will be earned in amounts between 0% and 200% of the participant’s target performance share award, based on the payout percentage associated with Civeo’s relative total shareholder return rank among a peer group that includes 14 other companies.</w:t>
      </w:r>
    </w:p>
    <w:p>
      <w:pPr>
        <w:spacing w:after="0" w:line="166" w:lineRule="exact"/>
        <w:rPr>
          <w:sz w:val="20"/>
          <w:szCs w:val="20"/>
          <w:color w:val="auto"/>
        </w:rPr>
      </w:pPr>
    </w:p>
    <w:p>
      <w:pPr>
        <w:ind w:right="60" w:firstLine="324"/>
        <w:spacing w:after="0" w:line="264" w:lineRule="auto"/>
        <w:rPr>
          <w:sz w:val="20"/>
          <w:szCs w:val="20"/>
          <w:color w:val="auto"/>
        </w:rPr>
      </w:pPr>
      <w:r>
        <w:rPr>
          <w:rFonts w:ascii="Arial" w:cs="Arial" w:eastAsia="Arial" w:hAnsi="Arial"/>
          <w:sz w:val="18"/>
          <w:szCs w:val="18"/>
          <w:color w:val="auto"/>
        </w:rPr>
        <w:t>During the three-month periods ended March 31, 2017 and 2016, we recognized compensation expense associated with performance awards totaling $0.6 million and $0.1 million, respectively. At March 31, 2017, unrecognized compensation cost related to performance awards was $7.6 million, which is expected to be recognized over a weighted average period of 2.4 years.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SEGMENT AND RELATED INFORMATION</w:t>
      </w:r>
    </w:p>
    <w:p>
      <w:pPr>
        <w:spacing w:after="0" w:line="229" w:lineRule="exact"/>
        <w:rPr>
          <w:sz w:val="20"/>
          <w:szCs w:val="20"/>
          <w:color w:val="auto"/>
        </w:rPr>
      </w:pPr>
    </w:p>
    <w:p>
      <w:pPr>
        <w:ind w:right="320" w:firstLine="324"/>
        <w:spacing w:after="0" w:line="308" w:lineRule="auto"/>
        <w:rPr>
          <w:sz w:val="20"/>
          <w:szCs w:val="20"/>
          <w:color w:val="auto"/>
        </w:rPr>
      </w:pPr>
      <w:r>
        <w:rPr>
          <w:rFonts w:ascii="Arial" w:cs="Arial" w:eastAsia="Arial" w:hAnsi="Arial"/>
          <w:sz w:val="17"/>
          <w:szCs w:val="17"/>
          <w:color w:val="auto"/>
        </w:rPr>
        <w:t>In accordance with current accounting standards regarding disclosures about segments of an enterprise and related information, we have identified the following reportable segments: Canada, Australia and U.S., which represent our strategic focus on workforce accommodations.</w:t>
      </w:r>
    </w:p>
    <w:p>
      <w:pPr>
        <w:spacing w:after="0" w:line="147" w:lineRule="exact"/>
        <w:rPr>
          <w:sz w:val="20"/>
          <w:szCs w:val="20"/>
          <w:color w:val="auto"/>
        </w:rPr>
      </w:pPr>
    </w:p>
    <w:p>
      <w:pPr>
        <w:ind w:right="560" w:firstLine="324"/>
        <w:spacing w:after="0" w:line="277" w:lineRule="auto"/>
        <w:rPr>
          <w:sz w:val="20"/>
          <w:szCs w:val="20"/>
          <w:color w:val="auto"/>
        </w:rPr>
      </w:pPr>
      <w:r>
        <w:rPr>
          <w:rFonts w:ascii="Arial" w:cs="Arial" w:eastAsia="Arial" w:hAnsi="Arial"/>
          <w:sz w:val="18"/>
          <w:szCs w:val="18"/>
          <w:color w:val="auto"/>
        </w:rPr>
        <w:t>Financial information by reportable segment for each of the three months ended March 31, 2017 and 2016 is summarized in the following table (in thousands):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3"/>
          </w:tcPr>
          <w:p>
            <w:pPr>
              <w:jc w:val="center"/>
              <w:ind w:right="200"/>
              <w:spacing w:after="0"/>
              <w:rPr>
                <w:sz w:val="20"/>
                <w:szCs w:val="20"/>
                <w:color w:val="auto"/>
              </w:rPr>
            </w:pPr>
            <w:r>
              <w:rPr>
                <w:rFonts w:ascii="Arial" w:cs="Arial" w:eastAsia="Arial" w:hAnsi="Arial"/>
                <w:sz w:val="18"/>
                <w:szCs w:val="18"/>
                <w:b w:val="1"/>
                <w:bCs w:val="1"/>
                <w:color w:val="auto"/>
                <w:w w:val="86"/>
              </w:rPr>
              <w:t>Revenues</w:t>
            </w: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4"/>
              </w:rPr>
              <w:t>Less:</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94"/>
              </w:rPr>
              <w:t>from</w:t>
            </w:r>
          </w:p>
        </w:tc>
        <w:tc>
          <w:tcPr>
            <w:tcW w:w="1140" w:type="dxa"/>
            <w:vAlign w:val="bottom"/>
            <w:gridSpan w:val="3"/>
          </w:tcPr>
          <w:p>
            <w:pPr>
              <w:ind w:left="20"/>
              <w:spacing w:after="0"/>
              <w:rPr>
                <w:sz w:val="20"/>
                <w:szCs w:val="20"/>
                <w:color w:val="auto"/>
              </w:rPr>
            </w:pPr>
            <w:r>
              <w:rPr>
                <w:rFonts w:ascii="Arial" w:cs="Arial" w:eastAsia="Arial" w:hAnsi="Arial"/>
                <w:sz w:val="18"/>
                <w:szCs w:val="18"/>
                <w:b w:val="1"/>
                <w:bCs w:val="1"/>
                <w:color w:val="auto"/>
              </w:rPr>
              <w:t>Depreciation</w:t>
            </w:r>
          </w:p>
        </w:tc>
        <w:tc>
          <w:tcPr>
            <w:tcW w:w="100" w:type="dxa"/>
            <w:vAlign w:val="bottom"/>
          </w:tcPr>
          <w:p>
            <w:pPr>
              <w:spacing w:after="0"/>
              <w:rPr>
                <w:sz w:val="18"/>
                <w:szCs w:val="18"/>
                <w:color w:val="auto"/>
              </w:rPr>
            </w:pPr>
          </w:p>
        </w:tc>
        <w:tc>
          <w:tcPr>
            <w:tcW w:w="112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94"/>
              </w:rPr>
              <w:t>Operating</w:t>
            </w: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88"/>
              </w:rPr>
              <w:t>Total</w:t>
            </w:r>
          </w:p>
        </w:tc>
        <w:tc>
          <w:tcPr>
            <w:tcW w:w="1100" w:type="dxa"/>
            <w:vAlign w:val="bottom"/>
            <w:gridSpan w:val="3"/>
          </w:tcPr>
          <w:p>
            <w:pPr>
              <w:jc w:val="right"/>
              <w:ind w:right="80"/>
              <w:spacing w:after="0"/>
              <w:rPr>
                <w:sz w:val="20"/>
                <w:szCs w:val="20"/>
                <w:color w:val="auto"/>
              </w:rPr>
            </w:pPr>
            <w:r>
              <w:rPr>
                <w:rFonts w:ascii="Arial" w:cs="Arial" w:eastAsia="Arial" w:hAnsi="Arial"/>
                <w:sz w:val="18"/>
                <w:szCs w:val="18"/>
                <w:b w:val="1"/>
                <w:bCs w:val="1"/>
                <w:color w:val="auto"/>
                <w:w w:val="88"/>
              </w:rPr>
              <w:t>Intersegment</w:t>
            </w:r>
          </w:p>
        </w:tc>
        <w:tc>
          <w:tcPr>
            <w:tcW w:w="120" w:type="dxa"/>
            <w:vAlign w:val="bottom"/>
          </w:tcPr>
          <w:p>
            <w:pPr>
              <w:spacing w:after="0"/>
              <w:rPr>
                <w:sz w:val="18"/>
                <w:szCs w:val="18"/>
                <w:color w:val="auto"/>
              </w:rPr>
            </w:pPr>
          </w:p>
        </w:tc>
        <w:tc>
          <w:tcPr>
            <w:tcW w:w="114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93"/>
              </w:rPr>
              <w:t>Unaffiliated</w:t>
            </w:r>
          </w:p>
        </w:tc>
        <w:tc>
          <w:tcPr>
            <w:tcW w:w="240" w:type="dxa"/>
            <w:vAlign w:val="bottom"/>
          </w:tcPr>
          <w:p>
            <w:pPr>
              <w:spacing w:after="0"/>
              <w:rPr>
                <w:sz w:val="18"/>
                <w:szCs w:val="18"/>
                <w:color w:val="auto"/>
              </w:rPr>
            </w:pPr>
          </w:p>
        </w:tc>
        <w:tc>
          <w:tcPr>
            <w:tcW w:w="90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and</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8"/>
              </w:rPr>
              <w:t>Income</w:t>
            </w:r>
          </w:p>
        </w:tc>
        <w:tc>
          <w:tcPr>
            <w:tcW w:w="160" w:type="dxa"/>
            <w:vAlign w:val="bottom"/>
          </w:tcPr>
          <w:p>
            <w:pPr>
              <w:spacing w:after="0"/>
              <w:rPr>
                <w:sz w:val="18"/>
                <w:szCs w:val="18"/>
                <w:color w:val="auto"/>
              </w:rPr>
            </w:pPr>
          </w:p>
        </w:tc>
        <w:tc>
          <w:tcPr>
            <w:tcW w:w="980" w:type="dxa"/>
            <w:vAlign w:val="bottom"/>
            <w:gridSpan w:val="2"/>
          </w:tcPr>
          <w:p>
            <w:pPr>
              <w:ind w:left="80"/>
              <w:spacing w:after="0"/>
              <w:rPr>
                <w:sz w:val="20"/>
                <w:szCs w:val="20"/>
                <w:color w:val="auto"/>
              </w:rPr>
            </w:pPr>
            <w:r>
              <w:rPr>
                <w:rFonts w:ascii="Arial" w:cs="Arial" w:eastAsia="Arial" w:hAnsi="Arial"/>
                <w:sz w:val="18"/>
                <w:szCs w:val="18"/>
                <w:b w:val="1"/>
                <w:bCs w:val="1"/>
                <w:color w:val="auto"/>
              </w:rPr>
              <w:t>Capital</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rPr>
              <w:t>Total</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0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2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86"/>
              </w:rPr>
              <w:t>Revenues</w:t>
            </w:r>
          </w:p>
        </w:tc>
        <w:tc>
          <w:tcPr>
            <w:tcW w:w="120" w:type="dxa"/>
            <w:vAlign w:val="bottom"/>
          </w:tcPr>
          <w:p>
            <w:pPr>
              <w:spacing w:after="0"/>
              <w:rPr>
                <w:sz w:val="20"/>
                <w:szCs w:val="20"/>
                <w:color w:val="auto"/>
              </w:rPr>
            </w:pPr>
          </w:p>
        </w:tc>
        <w:tc>
          <w:tcPr>
            <w:tcW w:w="9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4"/>
              </w:rPr>
              <w:t>Revenues</w:t>
            </w:r>
          </w:p>
        </w:tc>
        <w:tc>
          <w:tcPr>
            <w:tcW w:w="120" w:type="dxa"/>
            <w:vAlign w:val="bottom"/>
          </w:tcPr>
          <w:p>
            <w:pPr>
              <w:spacing w:after="0"/>
              <w:rPr>
                <w:sz w:val="20"/>
                <w:szCs w:val="20"/>
                <w:color w:val="auto"/>
              </w:rPr>
            </w:pPr>
          </w:p>
        </w:tc>
        <w:tc>
          <w:tcPr>
            <w:tcW w:w="1140" w:type="dxa"/>
            <w:vAlign w:val="bottom"/>
            <w:gridSpan w:val="3"/>
          </w:tcPr>
          <w:p>
            <w:pPr>
              <w:jc w:val="center"/>
              <w:ind w:right="200"/>
              <w:spacing w:after="0"/>
              <w:rPr>
                <w:sz w:val="20"/>
                <w:szCs w:val="20"/>
                <w:color w:val="auto"/>
              </w:rPr>
            </w:pPr>
            <w:r>
              <w:rPr>
                <w:rFonts w:ascii="Arial" w:cs="Arial" w:eastAsia="Arial" w:hAnsi="Arial"/>
                <w:sz w:val="18"/>
                <w:szCs w:val="18"/>
                <w:b w:val="1"/>
                <w:bCs w:val="1"/>
                <w:color w:val="auto"/>
                <w:w w:val="87"/>
              </w:rPr>
              <w:t>Customers</w:t>
            </w:r>
          </w:p>
        </w:tc>
        <w:tc>
          <w:tcPr>
            <w:tcW w:w="1140" w:type="dxa"/>
            <w:vAlign w:val="bottom"/>
            <w:gridSpan w:val="3"/>
          </w:tcPr>
          <w:p>
            <w:pPr>
              <w:spacing w:after="0"/>
              <w:rPr>
                <w:sz w:val="20"/>
                <w:szCs w:val="20"/>
                <w:color w:val="auto"/>
              </w:rPr>
            </w:pPr>
            <w:r>
              <w:rPr>
                <w:rFonts w:ascii="Arial" w:cs="Arial" w:eastAsia="Arial" w:hAnsi="Arial"/>
                <w:sz w:val="18"/>
                <w:szCs w:val="18"/>
                <w:b w:val="1"/>
                <w:bCs w:val="1"/>
                <w:color w:val="auto"/>
              </w:rPr>
              <w:t>Amortization</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8"/>
              </w:rPr>
              <w:t>(Loss)</w:t>
            </w:r>
          </w:p>
        </w:tc>
        <w:tc>
          <w:tcPr>
            <w:tcW w:w="1140" w:type="dxa"/>
            <w:vAlign w:val="bottom"/>
            <w:gridSpan w:val="3"/>
          </w:tcPr>
          <w:p>
            <w:pPr>
              <w:spacing w:after="0"/>
              <w:rPr>
                <w:sz w:val="20"/>
                <w:szCs w:val="20"/>
                <w:color w:val="auto"/>
              </w:rPr>
            </w:pPr>
            <w:r>
              <w:rPr>
                <w:rFonts w:ascii="Arial" w:cs="Arial" w:eastAsia="Arial" w:hAnsi="Arial"/>
                <w:sz w:val="18"/>
                <w:szCs w:val="18"/>
                <w:b w:val="1"/>
                <w:bCs w:val="1"/>
                <w:color w:val="auto"/>
                <w:w w:val="98"/>
              </w:rPr>
              <w:t>Expenditures</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w w:val="91"/>
              </w:rPr>
              <w:t>Assets</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0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7"/>
              </w:rPr>
              <w:t>Three months ended March 31, 2017</w:t>
            </w:r>
          </w:p>
        </w:tc>
        <w:tc>
          <w:tcPr>
            <w:tcW w:w="26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40" w:type="dxa"/>
            <w:vAlign w:val="bottom"/>
          </w:tcPr>
          <w:p>
            <w:pPr>
              <w:spacing w:after="0"/>
              <w:rPr>
                <w:sz w:val="20"/>
                <w:szCs w:val="20"/>
                <w:color w:val="auto"/>
              </w:rPr>
            </w:pPr>
            <w:r>
              <w:rPr>
                <w:rFonts w:ascii="Arial" w:cs="Arial" w:eastAsia="Arial" w:hAnsi="Arial"/>
                <w:sz w:val="18"/>
                <w:szCs w:val="18"/>
                <w:color w:val="auto"/>
              </w:rPr>
              <w:t>Canada</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60,506</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340" w:type="dxa"/>
            <w:vAlign w:val="bottom"/>
            <w:gridSpan w:val="2"/>
          </w:tcPr>
          <w:p>
            <w:pPr>
              <w:jc w:val="center"/>
              <w:spacing w:after="0"/>
              <w:rPr>
                <w:sz w:val="20"/>
                <w:szCs w:val="20"/>
                <w:color w:val="auto"/>
              </w:rPr>
            </w:pPr>
            <w:r>
              <w:rPr>
                <w:rFonts w:ascii="Arial" w:cs="Arial" w:eastAsia="Arial" w:hAnsi="Arial"/>
                <w:sz w:val="18"/>
                <w:szCs w:val="18"/>
                <w:color w:val="auto"/>
                <w:w w:val="99"/>
              </w:rPr>
              <w:t>$</w:t>
            </w: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60,506</w:t>
            </w: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18,413</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(5,006)</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1,051</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546,642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40" w:type="dxa"/>
            <w:vAlign w:val="bottom"/>
            <w:shd w:val="clear" w:color="auto" w:fill="CCEEFF"/>
          </w:tcPr>
          <w:p>
            <w:pPr>
              <w:spacing w:after="0"/>
              <w:rPr>
                <w:sz w:val="20"/>
                <w:szCs w:val="20"/>
                <w:color w:val="auto"/>
              </w:rPr>
            </w:pPr>
            <w:r>
              <w:rPr>
                <w:rFonts w:ascii="Arial" w:cs="Arial" w:eastAsia="Arial" w:hAnsi="Arial"/>
                <w:sz w:val="18"/>
                <w:szCs w:val="18"/>
                <w:color w:val="auto"/>
              </w:rPr>
              <w:t>Australia</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27,016</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27,016</w:t>
            </w: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11,822</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(1,201)</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855</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387,196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40" w:type="dxa"/>
            <w:vAlign w:val="bottom"/>
          </w:tcPr>
          <w:p>
            <w:pPr>
              <w:spacing w:after="0"/>
              <w:rPr>
                <w:sz w:val="20"/>
                <w:szCs w:val="20"/>
                <w:color w:val="auto"/>
              </w:rPr>
            </w:pPr>
            <w:r>
              <w:rPr>
                <w:rFonts w:ascii="Arial" w:cs="Arial" w:eastAsia="Arial" w:hAnsi="Arial"/>
                <w:sz w:val="18"/>
                <w:szCs w:val="18"/>
                <w:color w:val="auto"/>
              </w:rPr>
              <w:t>U.S.</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3,907</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3,907</w:t>
            </w:r>
          </w:p>
        </w:tc>
        <w:tc>
          <w:tcPr>
            <w:tcW w:w="24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1,190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(2,802)</w:t>
            </w:r>
          </w:p>
        </w:tc>
        <w:tc>
          <w:tcPr>
            <w:tcW w:w="16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424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30,523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40" w:type="dxa"/>
            <w:vAlign w:val="bottom"/>
            <w:shd w:val="clear" w:color="auto" w:fill="CCEEFF"/>
          </w:tcPr>
          <w:p>
            <w:pPr>
              <w:spacing w:after="0"/>
              <w:rPr>
                <w:sz w:val="20"/>
                <w:szCs w:val="20"/>
                <w:color w:val="auto"/>
              </w:rPr>
            </w:pPr>
            <w:r>
              <w:rPr>
                <w:rFonts w:ascii="Arial" w:cs="Arial" w:eastAsia="Arial" w:hAnsi="Arial"/>
                <w:sz w:val="18"/>
                <w:szCs w:val="18"/>
                <w:color w:val="auto"/>
              </w:rPr>
              <w:t>Corporate and eliminations</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1,404</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(8,723)</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1,553</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(39,335)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4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040" w:type="dxa"/>
            <w:vAlign w:val="bottom"/>
          </w:tcPr>
          <w:p>
            <w:pPr>
              <w:ind w:left="320"/>
              <w:spacing w:after="0"/>
              <w:rPr>
                <w:sz w:val="20"/>
                <w:szCs w:val="20"/>
                <w:color w:val="auto"/>
              </w:rPr>
            </w:pPr>
            <w:r>
              <w:rPr>
                <w:rFonts w:ascii="Arial" w:cs="Arial" w:eastAsia="Arial" w:hAnsi="Arial"/>
                <w:sz w:val="18"/>
                <w:szCs w:val="18"/>
                <w:color w:val="auto"/>
              </w:rPr>
              <w:t>Total</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91,429</w:t>
            </w:r>
          </w:p>
        </w:tc>
        <w:tc>
          <w:tcPr>
            <w:tcW w:w="2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340" w:type="dxa"/>
            <w:vAlign w:val="bottom"/>
            <w:gridSpan w:val="2"/>
          </w:tcPr>
          <w:p>
            <w:pPr>
              <w:jc w:val="center"/>
              <w:spacing w:after="0"/>
              <w:rPr>
                <w:sz w:val="20"/>
                <w:szCs w:val="20"/>
                <w:color w:val="auto"/>
              </w:rPr>
            </w:pPr>
            <w:r>
              <w:rPr>
                <w:rFonts w:ascii="Arial" w:cs="Arial" w:eastAsia="Arial" w:hAnsi="Arial"/>
                <w:sz w:val="18"/>
                <w:szCs w:val="18"/>
                <w:color w:val="auto"/>
                <w:w w:val="99"/>
              </w:rPr>
              <w:t>$</w:t>
            </w: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91,429</w:t>
            </w: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32,829</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(17,732)</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3,883</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925,026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30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040" w:type="dxa"/>
            <w:vAlign w:val="bottom"/>
          </w:tcPr>
          <w:p>
            <w:pPr>
              <w:spacing w:after="0"/>
              <w:rPr>
                <w:sz w:val="20"/>
                <w:szCs w:val="20"/>
                <w:color w:val="auto"/>
              </w:rPr>
            </w:pPr>
            <w:r>
              <w:rPr>
                <w:rFonts w:ascii="Arial" w:cs="Arial" w:eastAsia="Arial" w:hAnsi="Arial"/>
                <w:sz w:val="18"/>
                <w:szCs w:val="18"/>
                <w:b w:val="1"/>
                <w:bCs w:val="1"/>
                <w:color w:val="auto"/>
                <w:w w:val="97"/>
              </w:rPr>
              <w:t>Three months ended March 31, 2016</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40" w:type="dxa"/>
            <w:vAlign w:val="bottom"/>
            <w:shd w:val="clear" w:color="auto" w:fill="CCEEFF"/>
          </w:tcPr>
          <w:p>
            <w:pPr>
              <w:spacing w:after="0"/>
              <w:rPr>
                <w:sz w:val="20"/>
                <w:szCs w:val="20"/>
                <w:color w:val="auto"/>
              </w:rPr>
            </w:pPr>
            <w:r>
              <w:rPr>
                <w:rFonts w:ascii="Arial" w:cs="Arial" w:eastAsia="Arial" w:hAnsi="Arial"/>
                <w:sz w:val="18"/>
                <w:szCs w:val="18"/>
                <w:color w:val="auto"/>
              </w:rPr>
              <w:t>Canada</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65,522</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65,522</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20,339</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(9,699)</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1,047</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605,414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40" w:type="dxa"/>
            <w:vAlign w:val="bottom"/>
          </w:tcPr>
          <w:p>
            <w:pPr>
              <w:spacing w:after="0"/>
              <w:rPr>
                <w:sz w:val="20"/>
                <w:szCs w:val="20"/>
                <w:color w:val="auto"/>
              </w:rPr>
            </w:pPr>
            <w:r>
              <w:rPr>
                <w:rFonts w:ascii="Arial" w:cs="Arial" w:eastAsia="Arial" w:hAnsi="Arial"/>
                <w:sz w:val="18"/>
                <w:szCs w:val="18"/>
                <w:color w:val="auto"/>
              </w:rPr>
              <w:t>Australia</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25,510</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25,510</w:t>
            </w:r>
          </w:p>
        </w:tc>
        <w:tc>
          <w:tcPr>
            <w:tcW w:w="24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11,178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(1,622)</w:t>
            </w:r>
          </w:p>
        </w:tc>
        <w:tc>
          <w:tcPr>
            <w:tcW w:w="16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607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432,314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40" w:type="dxa"/>
            <w:vAlign w:val="bottom"/>
            <w:shd w:val="clear" w:color="auto" w:fill="CCEEFF"/>
          </w:tcPr>
          <w:p>
            <w:pPr>
              <w:spacing w:after="0"/>
              <w:rPr>
                <w:sz w:val="20"/>
                <w:szCs w:val="20"/>
                <w:color w:val="auto"/>
              </w:rPr>
            </w:pPr>
            <w:r>
              <w:rPr>
                <w:rFonts w:ascii="Arial" w:cs="Arial" w:eastAsia="Arial" w:hAnsi="Arial"/>
                <w:sz w:val="18"/>
                <w:szCs w:val="18"/>
                <w:color w:val="auto"/>
              </w:rPr>
              <w:t>U.S.</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4,004</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4,004</w:t>
            </w: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1,906</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(13,599)</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58,633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40" w:type="dxa"/>
            <w:vAlign w:val="bottom"/>
          </w:tcPr>
          <w:p>
            <w:pPr>
              <w:spacing w:after="0"/>
              <w:rPr>
                <w:sz w:val="20"/>
                <w:szCs w:val="20"/>
                <w:color w:val="auto"/>
              </w:rPr>
            </w:pPr>
            <w:r>
              <w:rPr>
                <w:rFonts w:ascii="Arial" w:cs="Arial" w:eastAsia="Arial" w:hAnsi="Arial"/>
                <w:sz w:val="18"/>
                <w:szCs w:val="18"/>
                <w:color w:val="auto"/>
              </w:rPr>
              <w:t>Corporate and eliminations</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132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(1,277)</w:t>
            </w:r>
          </w:p>
        </w:tc>
        <w:tc>
          <w:tcPr>
            <w:tcW w:w="16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3,107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(13,082)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304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Total</w:t>
            </w:r>
          </w:p>
        </w:tc>
        <w:tc>
          <w:tcPr>
            <w:tcW w:w="2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95,036</w:t>
            </w:r>
          </w:p>
        </w:tc>
        <w:tc>
          <w:tcPr>
            <w:tcW w:w="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center"/>
              <w:ind w:right="30"/>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95,036</w:t>
            </w:r>
          </w:p>
        </w:tc>
        <w:tc>
          <w:tcPr>
            <w:tcW w:w="2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33,555</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(26,197</w:t>
            </w:r>
          </w:p>
        </w:tc>
        <w:tc>
          <w:tcPr>
            <w:tcW w:w="22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w w:val="74"/>
              </w:rPr>
              <w:t>)</w:t>
            </w:r>
          </w:p>
        </w:tc>
        <w:tc>
          <w:tcPr>
            <w:tcW w:w="1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4,761</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1,083,279</w:t>
            </w:r>
          </w:p>
        </w:tc>
        <w:tc>
          <w:tcPr>
            <w:tcW w:w="100" w:type="dxa"/>
            <w:vAlign w:val="bottom"/>
            <w:tcBorders>
              <w:bottom w:val="single" w:sz="8" w:color="CCEEFF"/>
            </w:tcBorders>
            <w:shd w:val="clear" w:color="auto" w:fill="CCEEFF"/>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656"/>
        </w:trPr>
        <w:tc>
          <w:tcPr>
            <w:tcW w:w="20" w:type="dxa"/>
            <w:vAlign w:val="bottom"/>
          </w:tcPr>
          <w:p>
            <w:pPr>
              <w:spacing w:after="0"/>
              <w:rPr>
                <w:sz w:val="24"/>
                <w:szCs w:val="24"/>
                <w:color w:val="auto"/>
              </w:rPr>
            </w:pPr>
          </w:p>
        </w:tc>
        <w:tc>
          <w:tcPr>
            <w:tcW w:w="30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gridSpan w:val="2"/>
          </w:tcPr>
          <w:p>
            <w:pPr>
              <w:jc w:val="center"/>
              <w:spacing w:after="0"/>
              <w:rPr>
                <w:sz w:val="20"/>
                <w:szCs w:val="20"/>
                <w:color w:val="auto"/>
              </w:rPr>
            </w:pPr>
            <w:r>
              <w:rPr>
                <w:rFonts w:ascii="Arial" w:cs="Arial" w:eastAsia="Arial" w:hAnsi="Arial"/>
                <w:sz w:val="18"/>
                <w:szCs w:val="18"/>
                <w:color w:val="auto"/>
                <w:w w:val="89"/>
              </w:rPr>
              <w:t>15</w:t>
            </w: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040" w:type="dxa"/>
            <w:vAlign w:val="bottom"/>
          </w:tcPr>
          <w:p>
            <w:pPr>
              <w:spacing w:after="0"/>
              <w:rPr>
                <w:sz w:val="9"/>
                <w:szCs w:val="9"/>
                <w:color w:val="auto"/>
              </w:rPr>
            </w:pPr>
          </w:p>
        </w:tc>
        <w:tc>
          <w:tcPr>
            <w:tcW w:w="260" w:type="dxa"/>
            <w:vAlign w:val="bottom"/>
          </w:tcPr>
          <w:p>
            <w:pPr>
              <w:spacing w:after="0"/>
              <w:rPr>
                <w:sz w:val="9"/>
                <w:szCs w:val="9"/>
                <w:color w:val="auto"/>
              </w:rPr>
            </w:pPr>
          </w:p>
        </w:tc>
        <w:tc>
          <w:tcPr>
            <w:tcW w:w="160" w:type="dxa"/>
            <w:vAlign w:val="bottom"/>
          </w:tcPr>
          <w:p>
            <w:pPr>
              <w:spacing w:after="0"/>
              <w:rPr>
                <w:sz w:val="9"/>
                <w:szCs w:val="9"/>
                <w:color w:val="auto"/>
              </w:rPr>
            </w:pPr>
          </w:p>
        </w:tc>
        <w:tc>
          <w:tcPr>
            <w:tcW w:w="7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90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700" w:type="dxa"/>
            <w:vAlign w:val="bottom"/>
          </w:tcPr>
          <w:p>
            <w:pPr>
              <w:spacing w:after="0"/>
              <w:rPr>
                <w:sz w:val="9"/>
                <w:szCs w:val="9"/>
                <w:color w:val="auto"/>
              </w:rPr>
            </w:pPr>
          </w:p>
        </w:tc>
        <w:tc>
          <w:tcPr>
            <w:tcW w:w="220" w:type="dxa"/>
            <w:vAlign w:val="bottom"/>
          </w:tcPr>
          <w:p>
            <w:pPr>
              <w:spacing w:after="0"/>
              <w:rPr>
                <w:sz w:val="9"/>
                <w:szCs w:val="9"/>
                <w:color w:val="auto"/>
              </w:rPr>
            </w:pPr>
          </w:p>
        </w:tc>
        <w:tc>
          <w:tcPr>
            <w:tcW w:w="240" w:type="dxa"/>
            <w:vAlign w:val="bottom"/>
          </w:tcPr>
          <w:p>
            <w:pPr>
              <w:spacing w:after="0"/>
              <w:rPr>
                <w:sz w:val="9"/>
                <w:szCs w:val="9"/>
                <w:color w:val="auto"/>
              </w:rPr>
            </w:pPr>
          </w:p>
        </w:tc>
        <w:tc>
          <w:tcPr>
            <w:tcW w:w="7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7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8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7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shd w:val="clear" w:color="auto" w:fill="808080"/>
          </w:tcPr>
          <w:p>
            <w:pPr>
              <w:spacing w:after="0"/>
              <w:rPr>
                <w:sz w:val="5"/>
                <w:szCs w:val="5"/>
                <w:color w:val="auto"/>
              </w:rPr>
            </w:pPr>
          </w:p>
        </w:tc>
        <w:tc>
          <w:tcPr>
            <w:tcW w:w="3040" w:type="dxa"/>
            <w:vAlign w:val="bottom"/>
            <w:shd w:val="clear" w:color="auto" w:fill="808080"/>
          </w:tcPr>
          <w:p>
            <w:pPr>
              <w:spacing w:after="0"/>
              <w:rPr>
                <w:sz w:val="5"/>
                <w:szCs w:val="5"/>
                <w:color w:val="auto"/>
              </w:rPr>
            </w:pPr>
          </w:p>
        </w:tc>
        <w:tc>
          <w:tcPr>
            <w:tcW w:w="260" w:type="dxa"/>
            <w:vAlign w:val="bottom"/>
            <w:shd w:val="clear" w:color="auto" w:fill="808080"/>
          </w:tcPr>
          <w:p>
            <w:pPr>
              <w:spacing w:after="0"/>
              <w:rPr>
                <w:sz w:val="5"/>
                <w:szCs w:val="5"/>
                <w:color w:val="auto"/>
              </w:rPr>
            </w:pPr>
          </w:p>
        </w:tc>
        <w:tc>
          <w:tcPr>
            <w:tcW w:w="160" w:type="dxa"/>
            <w:vAlign w:val="bottom"/>
            <w:shd w:val="clear" w:color="auto" w:fill="808080"/>
          </w:tcPr>
          <w:p>
            <w:pPr>
              <w:spacing w:after="0"/>
              <w:rPr>
                <w:sz w:val="5"/>
                <w:szCs w:val="5"/>
                <w:color w:val="auto"/>
              </w:rPr>
            </w:pPr>
          </w:p>
        </w:tc>
        <w:tc>
          <w:tcPr>
            <w:tcW w:w="740" w:type="dxa"/>
            <w:vAlign w:val="bottom"/>
            <w:shd w:val="clear" w:color="auto" w:fill="808080"/>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900" w:type="dxa"/>
            <w:vAlign w:val="bottom"/>
            <w:shd w:val="clear" w:color="auto" w:fill="808080"/>
          </w:tcPr>
          <w:p>
            <w:pPr>
              <w:spacing w:after="0"/>
              <w:rPr>
                <w:sz w:val="5"/>
                <w:szCs w:val="5"/>
                <w:color w:val="auto"/>
              </w:rPr>
            </w:pPr>
          </w:p>
        </w:tc>
        <w:tc>
          <w:tcPr>
            <w:tcW w:w="80" w:type="dxa"/>
            <w:vAlign w:val="bottom"/>
            <w:shd w:val="clear" w:color="auto" w:fill="808080"/>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700" w:type="dxa"/>
            <w:vAlign w:val="bottom"/>
            <w:shd w:val="clear" w:color="auto" w:fill="808080"/>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780" w:type="dxa"/>
            <w:vAlign w:val="bottom"/>
            <w:shd w:val="clear" w:color="auto" w:fill="808080"/>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140" w:type="dxa"/>
            <w:vAlign w:val="bottom"/>
            <w:shd w:val="clear" w:color="auto" w:fill="808080"/>
          </w:tcPr>
          <w:p>
            <w:pPr>
              <w:spacing w:after="0"/>
              <w:rPr>
                <w:sz w:val="5"/>
                <w:szCs w:val="5"/>
                <w:color w:val="auto"/>
              </w:rPr>
            </w:pPr>
          </w:p>
        </w:tc>
        <w:tc>
          <w:tcPr>
            <w:tcW w:w="760" w:type="dxa"/>
            <w:vAlign w:val="bottom"/>
            <w:shd w:val="clear" w:color="auto" w:fill="808080"/>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160" w:type="dxa"/>
            <w:vAlign w:val="bottom"/>
            <w:shd w:val="clear" w:color="auto" w:fill="808080"/>
          </w:tcPr>
          <w:p>
            <w:pPr>
              <w:spacing w:after="0"/>
              <w:rPr>
                <w:sz w:val="5"/>
                <w:szCs w:val="5"/>
                <w:color w:val="auto"/>
              </w:rPr>
            </w:pPr>
          </w:p>
        </w:tc>
        <w:tc>
          <w:tcPr>
            <w:tcW w:w="880" w:type="dxa"/>
            <w:vAlign w:val="bottom"/>
            <w:shd w:val="clear" w:color="auto" w:fill="808080"/>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140" w:type="dxa"/>
            <w:vAlign w:val="bottom"/>
            <w:shd w:val="clear" w:color="auto" w:fill="808080"/>
          </w:tcPr>
          <w:p>
            <w:pPr>
              <w:spacing w:after="0"/>
              <w:rPr>
                <w:sz w:val="5"/>
                <w:szCs w:val="5"/>
                <w:color w:val="auto"/>
              </w:rPr>
            </w:pPr>
          </w:p>
        </w:tc>
        <w:tc>
          <w:tcPr>
            <w:tcW w:w="780" w:type="dxa"/>
            <w:vAlign w:val="bottom"/>
            <w:shd w:val="clear" w:color="auto" w:fill="808080"/>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4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1460"/>
          </w:cols>
          <w:pgMar w:left="240" w:top="580" w:right="199" w:bottom="1440" w:gutter="0" w:footer="0" w:header="0"/>
        </w:sectPr>
      </w:pPr>
    </w:p>
    <w:bookmarkStart w:id="15" w:name="page16"/>
    <w:bookmarkEnd w:id="15"/>
    <w:p>
      <w:pPr>
        <w:ind w:left="3020"/>
        <w:spacing w:after="0"/>
        <w:rPr>
          <w:sz w:val="20"/>
          <w:szCs w:val="20"/>
          <w:color w:val="auto"/>
        </w:rPr>
      </w:pPr>
      <w:r>
        <w:rPr>
          <w:rFonts w:ascii="Arial" w:cs="Arial" w:eastAsia="Arial" w:hAnsi="Arial"/>
          <w:sz w:val="18"/>
          <w:szCs w:val="18"/>
          <w:b w:val="1"/>
          <w:bCs w:val="1"/>
          <w:color w:val="auto"/>
        </w:rPr>
        <w:t>Cautionary Statement Regarding Forward-Looking Statements</w:t>
      </w:r>
    </w:p>
    <w:p>
      <w:pPr>
        <w:spacing w:after="0" w:line="229" w:lineRule="exact"/>
        <w:rPr>
          <w:sz w:val="20"/>
          <w:szCs w:val="20"/>
          <w:color w:val="auto"/>
        </w:rPr>
      </w:pPr>
    </w:p>
    <w:p>
      <w:pPr>
        <w:jc w:val="both"/>
        <w:spacing w:after="0" w:line="268" w:lineRule="auto"/>
        <w:rPr>
          <w:sz w:val="20"/>
          <w:szCs w:val="20"/>
          <w:color w:val="auto"/>
        </w:rPr>
      </w:pPr>
      <w:r>
        <w:rPr>
          <w:rFonts w:ascii="Arial" w:cs="Arial" w:eastAsia="Arial" w:hAnsi="Arial"/>
          <w:sz w:val="17"/>
          <w:szCs w:val="17"/>
          <w:i w:val="1"/>
          <w:iCs w:val="1"/>
          <w:color w:val="auto"/>
        </w:rPr>
        <w:t>This quarterly report on Form 10-Q contains certain “forward-looking statements" within the meaning of Section 27A of the Securities Act of 1933 and Section 21E of the Securities Exchange Act of 1934 (the Exchange Act). The Private Securities Litigation Reform Act of 1995 provides safe harbor provisions for forward-looking information. The forward-looking statements can be identified by the use of forward-looking terminology including "may," "expect," "anticipate," "estimate," "continue," "believe" or other similar words. The forward-looking statements in this report include, but are not limited to, the statements in “Management’s Discussion and Analysis of Financial Condition and Results of Operations” relating to our expectations about the macroeconomic environment and industry conditions, including factors expected to impact supply and demand, as well as our expectations about capital expenditures in 2017 and beliefs with respect to liquidity needs. Actual results could differ materially from those projected in the forward-looking statements as a result of a number of important factors. For a discussion of known material factors that could affect our results, please refer to “Risk Factors,” “Forward-Looking Statements,” and "Management’s Discussion and Analysis of Financial Condition and Results of Operations" included in our Annual Report on Form 10-K for the year ended December 31, 2016 and our subsequent SEC filings. Should one or more of these risks or uncertainties materialize, or should the assumptions prove incorrect, actual results may differ materially from those expected, estimated or projected. Our management believes these forward-looking statements are reasonable. However, you should not place undue reliance on these forward-looking statements, which are based only on our current expectations and are not guarantees of future performance. All subsequent written and oral forward-looking statements attributable to us or to persons acting on our behalf are expressly qualified in their entirety by the foregoing. Forward-looking statements speak only as of the date they are made, and we undertake no obligation to publicly update or revise any of them in light of new information, future events or otherwise, except to the extent required by applicable law.</w:t>
      </w:r>
    </w:p>
    <w:p>
      <w:pPr>
        <w:spacing w:after="0" w:line="1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In addition, in certain places in this quarterly report, we refer to reports published by third parties that purport to describe trends or developments in the energy industry. We do so for the convenience of our shareholders and in an effort to provide information available in the market that will assist our investors in a better understanding of the market environment in which we operate. However, we specifically disclaim any responsibility for the accuracy and completeness of such information and undertake no obligation to update such information.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2. </w:t>
      </w:r>
      <w:r>
        <w:rPr>
          <w:rFonts w:ascii="Arial" w:cs="Arial" w:eastAsia="Arial" w:hAnsi="Arial"/>
          <w:sz w:val="18"/>
          <w:szCs w:val="18"/>
          <w:b w:val="1"/>
          <w:bCs w:val="1"/>
          <w:i w:val="1"/>
          <w:iCs w:val="1"/>
          <w:color w:val="auto"/>
        </w:rPr>
        <w:t>Management’s Discussion and Analysis of Financial Condition and Results of Operations</w:t>
      </w:r>
    </w:p>
    <w:p>
      <w:pPr>
        <w:spacing w:after="0" w:line="22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You should read the following discussion and analysis together with our consolidated financial statements and the notes to those statements included elsewhere in this quarterly report on Form 10-Q.</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Macroeconomic Environment</w:t>
      </w:r>
    </w:p>
    <w:p>
      <w:pPr>
        <w:spacing w:after="0" w:line="229" w:lineRule="exact"/>
        <w:rPr>
          <w:sz w:val="20"/>
          <w:szCs w:val="20"/>
          <w:color w:val="auto"/>
        </w:rPr>
      </w:pPr>
    </w:p>
    <w:p>
      <w:pPr>
        <w:ind w:firstLine="324"/>
        <w:spacing w:after="0" w:line="272" w:lineRule="auto"/>
        <w:rPr>
          <w:sz w:val="20"/>
          <w:szCs w:val="20"/>
          <w:color w:val="auto"/>
        </w:rPr>
      </w:pPr>
      <w:r>
        <w:rPr>
          <w:rFonts w:ascii="Arial" w:cs="Arial" w:eastAsia="Arial" w:hAnsi="Arial"/>
          <w:sz w:val="17"/>
          <w:szCs w:val="17"/>
          <w:color w:val="auto"/>
        </w:rPr>
        <w:t>We provide workforce accommodations to the natural resource industry in Canada, Australia and the U.S. Demand for our services can be attributed to two phases of our customers’ projects: (1) the development or construction phase; and (2) the operations or production phase. Historically, initial demand for our services has been driven by our customers’ capital spending programs related to the construction and development of oil sands and coal mines and associated infrastructure as well as the exploration for oil and natural gas. Long-term demand for our services has been driven by continued development and expansion of natural resource production and operation of oil sands and mining facilities. In general, industry capital spending programs are based on the outlook for commodity prices, economic growth and estimates of resource production. As a result, demand for our products and services is largely sensitive to expected commodity prices, principally related to crude oil, metallurgical (met) coal and natural gas.</w:t>
      </w:r>
    </w:p>
    <w:p>
      <w:pPr>
        <w:spacing w:after="0" w:line="178" w:lineRule="exact"/>
        <w:rPr>
          <w:sz w:val="20"/>
          <w:szCs w:val="20"/>
          <w:color w:val="auto"/>
        </w:rPr>
      </w:pPr>
    </w:p>
    <w:p>
      <w:pPr>
        <w:ind w:right="60" w:firstLine="324"/>
        <w:spacing w:after="0" w:line="302" w:lineRule="auto"/>
        <w:rPr>
          <w:sz w:val="20"/>
          <w:szCs w:val="20"/>
          <w:color w:val="auto"/>
        </w:rPr>
      </w:pPr>
      <w:r>
        <w:rPr>
          <w:rFonts w:ascii="Arial" w:cs="Arial" w:eastAsia="Arial" w:hAnsi="Arial"/>
          <w:sz w:val="16"/>
          <w:szCs w:val="16"/>
          <w:color w:val="auto"/>
        </w:rPr>
        <w:t>In Canada, Western Canadian Select (WCS) crude is the benchmark price for our oil sands accommodations customers. Pricing for WCS is driven by several factors, including the underlying price for West Texas Intermediate (WTI) crude and the availability of transportation infrastructure. Historically, WCS has traded at a discount to WTI, creating a “WCS Differential,” due to transportation costs and limited capacity to move Canadian heavy oil production to refineries, primarily along the U.S. Gulf Coast. The WCS Differential has varied depending on the extent of transportation capacity availability.</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607" w:right="239" w:bottom="1440" w:gutter="0" w:footer="0" w:header="0"/>
        </w:sectPr>
      </w:pPr>
    </w:p>
    <w:bookmarkStart w:id="16" w:name="page17"/>
    <w:bookmarkEnd w:id="16"/>
    <w:p>
      <w:pPr>
        <w:ind w:right="40" w:firstLine="324"/>
        <w:spacing w:after="0" w:line="255" w:lineRule="auto"/>
        <w:rPr>
          <w:sz w:val="20"/>
          <w:szCs w:val="20"/>
          <w:color w:val="auto"/>
        </w:rPr>
      </w:pPr>
      <w:r>
        <w:rPr>
          <w:rFonts w:ascii="Arial" w:cs="Arial" w:eastAsia="Arial" w:hAnsi="Arial"/>
          <w:sz w:val="18"/>
          <w:szCs w:val="18"/>
          <w:color w:val="auto"/>
        </w:rPr>
        <w:t>During the first quarter of 2016, global oil prices dropped to their lowest levels in over ten years due to concerns over global oil demand, global crude inventory levels, worldwide economic growth and price cutting by major oil producing countries, such as Saudi Arabia. Increasing global supply, including increased U.S. shale oil production, also negatively impacted pricing. With falling Brent Crude and WTI oil prices, WCS also fell. Prices began to increase in March 2016, and have continued to increase in the first quarter of 2017. WCS prices in the first quarter of 2017 averaged $38.09 per barrel compared to a low of $20.26 in the first quarter of 2016 and a high of $83.78 in the second quarter of 2014. The WCS Differential decreased from $16.10 per barrel at the end of the fourth quarter of 2016 to $11.40 per barrel at the end of the first quarter of 2017. As of April 21, 2017, the WTI price was $49.27 and the WCS price was $39.27, resulting in a WCS Differential of $10.00.</w:t>
      </w:r>
    </w:p>
    <w:p>
      <w:pPr>
        <w:spacing w:after="0" w:line="189" w:lineRule="exact"/>
        <w:rPr>
          <w:sz w:val="20"/>
          <w:szCs w:val="20"/>
          <w:color w:val="auto"/>
        </w:rPr>
      </w:pPr>
    </w:p>
    <w:p>
      <w:pPr>
        <w:ind w:right="40" w:firstLine="324"/>
        <w:spacing w:after="0" w:line="255" w:lineRule="auto"/>
        <w:rPr>
          <w:sz w:val="20"/>
          <w:szCs w:val="20"/>
          <w:color w:val="auto"/>
        </w:rPr>
      </w:pPr>
      <w:r>
        <w:rPr>
          <w:rFonts w:ascii="Arial" w:cs="Arial" w:eastAsia="Arial" w:hAnsi="Arial"/>
          <w:sz w:val="18"/>
          <w:szCs w:val="18"/>
          <w:color w:val="auto"/>
        </w:rPr>
        <w:t>There remains a risk that prices for Canadian oil sands crude oil related products could deteriorate or remain at current depressed levels for an extended period of time, and the discount between WCS crude prices and WTI crude prices could widen. The depressed price levels through the first quarter of 2016 negatively impacted exploration, development, maintenance and production spending and activity by Canadian operators and, therefore, demand for our services in late 2014 and throughout 2015 and 2016. Although we have seen an uplift in oil prices in late 2016 and into 2017, we are not expecting significant improvement in customer activity in the near-term, as we anticipate that our customers’ capital spending will generally lag increased oil prices by nine to 12 months. However, our Canadian oil sands customers could continue to delay maintenance spending and additional investments in their oil sands assets as well.</w:t>
      </w:r>
    </w:p>
    <w:p>
      <w:pPr>
        <w:spacing w:after="0" w:line="189" w:lineRule="exact"/>
        <w:rPr>
          <w:sz w:val="20"/>
          <w:szCs w:val="20"/>
          <w:color w:val="auto"/>
        </w:rPr>
      </w:pPr>
    </w:p>
    <w:p>
      <w:pPr>
        <w:ind w:right="40" w:firstLine="324"/>
        <w:spacing w:after="0" w:line="268" w:lineRule="auto"/>
        <w:rPr>
          <w:sz w:val="20"/>
          <w:szCs w:val="20"/>
          <w:color w:val="auto"/>
        </w:rPr>
      </w:pPr>
      <w:r>
        <w:rPr>
          <w:rFonts w:ascii="Arial" w:cs="Arial" w:eastAsia="Arial" w:hAnsi="Arial"/>
          <w:sz w:val="17"/>
          <w:szCs w:val="17"/>
          <w:color w:val="auto"/>
        </w:rPr>
        <w:t>In Australia, approximately 80% of our rooms are located in the Bowen Basin and primarily serve met coal mines in that region. Met coal pricing and production growth in the Bowen Basin region is predominantly influenced by the levels of global steel production, which increased by 5.7% during the first quarter of 2017 compared to the corresponding period in 2016. On March 28, 2017, a Category 4 cyclone made landfall on the coast of Queensland, Australia, temporarily shutting down the majority of Bowen Basin coal export rail infrastructure, causing another spike in met coal spot prices from $152 per metric tonne on March 31, 2017 to over $300 per metric tonne. As of April 21, 2017, met coal spot prices were $263 per metric tonne and benchmark prices for the second quarter of 2017 have not settled. The prior contract met coal price was $285 per metric tonne, significantly higher than the September 2016 contract price of $92.50 per metric tonne. This sudden increase in contract price was primarily due to supply side factors, including Chinese domestic coal production policies and the adverse Australian weather conditions mentioned above, which together restricted met coal supply volumes. Despite the increase, we have seen a limited impact on the general willingness of customers to increase activity. We expect that spot prices for met coal will need to be sustained at levels above $150 per metric tonne for at least nine to 12 months before we see any significant impact on customer activity levels and, as a result, the demand for accommodations. Long-term demand for steel is expected to be driven by increased steel consumption per capita in developing economies, such as China and India, whose current consumption per capita is a fraction of developed countries. Our customers continue to actively implement cost, productivity and efficiency measures to drive down their cost base.</w:t>
      </w:r>
    </w:p>
    <w:p>
      <w:pPr>
        <w:spacing w:after="0" w:line="242" w:lineRule="exact"/>
        <w:rPr>
          <w:sz w:val="20"/>
          <w:szCs w:val="20"/>
          <w:color w:val="auto"/>
        </w:rPr>
      </w:pPr>
    </w:p>
    <w:p>
      <w:pPr>
        <w:ind w:firstLine="324"/>
        <w:spacing w:after="0" w:line="289" w:lineRule="auto"/>
        <w:rPr>
          <w:sz w:val="20"/>
          <w:szCs w:val="20"/>
          <w:color w:val="auto"/>
        </w:rPr>
      </w:pPr>
      <w:r>
        <w:rPr>
          <w:rFonts w:ascii="Arial" w:cs="Arial" w:eastAsia="Arial" w:hAnsi="Arial"/>
          <w:sz w:val="16"/>
          <w:szCs w:val="16"/>
          <w:color w:val="auto"/>
        </w:rPr>
        <w:t>Natural gas and WTI crude oil prices, discussed above, have an impact on the demand for our U.S. accommodations business. With limited export capabilities, U.S. natural gas prices are primarily influenced by domestic supply and demand dynamics and resultant inventory levels. U.S. natural gas production has continued to outpace demand, which has caused prices to continue to be weak relative to historical prices over the past decade. U.S. natural gas inventory levels at March 31, 2017 were 2.1 Tcf, 17% lower than inventory levels from March 31, 2016 but still 15% over seasonally comparable average inventory levels over the past five years. Prices for natural gas in the U.S. averaged $3.06 per mcf in the first quarter of 2017, a 55% increase from the average price in the first quarter of 2016. Although natural gas prices increased slightly in the fourth quarter of 2016 and into 2017, at these levels, it is uneconomic to increase development in several domestic, gas-focused basins. If natural gas production growth continues to surpass demand in the U.S. and/or the supply of natural gas increases, whether the supply comes from conventional or unconventional production or associated natural gas production from oil wells, prices for natural gas could be constrained for an extended period and result in fewer rigs drilling for natural gas in the near-term.</w:t>
      </w: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800" w:right="239" w:bottom="1440" w:gutter="0" w:footer="0" w:header="0"/>
        </w:sectPr>
      </w:pPr>
    </w:p>
    <w:bookmarkStart w:id="17" w:name="page18"/>
    <w:bookmarkEnd w:id="17"/>
    <w:p>
      <w:pPr>
        <w:ind w:left="340"/>
        <w:spacing w:after="0"/>
        <w:rPr>
          <w:sz w:val="20"/>
          <w:szCs w:val="20"/>
          <w:color w:val="auto"/>
        </w:rPr>
      </w:pPr>
      <w:r>
        <w:rPr>
          <w:rFonts w:ascii="Arial" w:cs="Arial" w:eastAsia="Arial" w:hAnsi="Arial"/>
          <w:sz w:val="18"/>
          <w:szCs w:val="18"/>
          <w:color w:val="auto"/>
        </w:rPr>
        <w:t>Recent WTI crude, WCS crude, met coal and natural gas pricing trends are as follows:</w:t>
      </w:r>
    </w:p>
    <w:p>
      <w:pPr>
        <w:spacing w:after="0" w:line="111" w:lineRule="exact"/>
        <w:rPr>
          <w:sz w:val="20"/>
          <w:szCs w:val="20"/>
          <w:color w:val="auto"/>
        </w:rPr>
      </w:pPr>
    </w:p>
    <w:tbl>
      <w:tblPr>
        <w:tblLayout w:type="fixed"/>
        <w:tblInd w:w="1160" w:type="dxa"/>
        <w:tblCellMar>
          <w:top w:w="0" w:type="dxa"/>
          <w:left w:w="0" w:type="dxa"/>
          <w:bottom w:w="0" w:type="dxa"/>
          <w:right w:w="0" w:type="dxa"/>
        </w:tblCellMar>
      </w:tblPr>
      <w:tr>
        <w:trPr>
          <w:trHeight w:val="345"/>
        </w:trPr>
        <w:tc>
          <w:tcPr>
            <w:tcW w:w="3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900" w:type="dxa"/>
            <w:vAlign w:val="bottom"/>
            <w:tcBorders>
              <w:bottom w:val="single" w:sz="8" w:color="auto"/>
            </w:tcBorders>
            <w:gridSpan w:val="6"/>
          </w:tcPr>
          <w:p>
            <w:pPr>
              <w:jc w:val="right"/>
              <w:ind w:right="1025"/>
              <w:spacing w:after="0"/>
              <w:rPr>
                <w:sz w:val="20"/>
                <w:szCs w:val="20"/>
                <w:color w:val="auto"/>
              </w:rPr>
            </w:pPr>
            <w:r>
              <w:rPr>
                <w:rFonts w:ascii="Arial" w:cs="Arial" w:eastAsia="Arial" w:hAnsi="Arial"/>
                <w:sz w:val="18"/>
                <w:szCs w:val="18"/>
                <w:b w:val="1"/>
                <w:bCs w:val="1"/>
                <w:color w:val="auto"/>
              </w:rPr>
              <w:t xml:space="preserve">Average Price </w:t>
            </w:r>
            <w:r>
              <w:rPr>
                <w:rFonts w:ascii="Arial" w:cs="Arial" w:eastAsia="Arial" w:hAnsi="Arial"/>
                <w:sz w:val="30"/>
                <w:szCs w:val="30"/>
                <w:b w:val="1"/>
                <w:bCs w:val="1"/>
                <w:color w:val="auto"/>
                <w:vertAlign w:val="superscript"/>
              </w:rPr>
              <w:t>(1)</w:t>
            </w:r>
          </w:p>
        </w:tc>
        <w:tc>
          <w:tcPr>
            <w:tcW w:w="108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r>
      <w:tr>
        <w:trPr>
          <w:trHeight w:val="191"/>
        </w:trPr>
        <w:tc>
          <w:tcPr>
            <w:tcW w:w="3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tcPr>
          <w:p>
            <w:pPr>
              <w:jc w:val="center"/>
              <w:ind w:right="110"/>
              <w:spacing w:after="0" w:line="191" w:lineRule="exact"/>
              <w:rPr>
                <w:sz w:val="20"/>
                <w:szCs w:val="20"/>
                <w:color w:val="auto"/>
              </w:rPr>
            </w:pPr>
            <w:r>
              <w:rPr>
                <w:rFonts w:ascii="Arial" w:cs="Arial" w:eastAsia="Arial" w:hAnsi="Arial"/>
                <w:sz w:val="18"/>
                <w:szCs w:val="18"/>
                <w:b w:val="1"/>
                <w:bCs w:val="1"/>
                <w:color w:val="auto"/>
                <w:w w:val="93"/>
              </w:rPr>
              <w:t>Henry</w:t>
            </w:r>
          </w:p>
        </w:tc>
        <w:tc>
          <w:tcPr>
            <w:tcW w:w="80" w:type="dxa"/>
            <w:vAlign w:val="bottom"/>
          </w:tcPr>
          <w:p>
            <w:pPr>
              <w:spacing w:after="0"/>
              <w:rPr>
                <w:sz w:val="16"/>
                <w:szCs w:val="16"/>
                <w:color w:val="auto"/>
              </w:rPr>
            </w:pPr>
          </w:p>
        </w:tc>
      </w:tr>
      <w:tr>
        <w:trPr>
          <w:trHeight w:val="216"/>
        </w:trPr>
        <w:tc>
          <w:tcPr>
            <w:tcW w:w="3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jc w:val="center"/>
              <w:ind w:right="110"/>
              <w:spacing w:after="0"/>
              <w:rPr>
                <w:sz w:val="20"/>
                <w:szCs w:val="20"/>
                <w:color w:val="auto"/>
              </w:rPr>
            </w:pPr>
            <w:r>
              <w:rPr>
                <w:rFonts w:ascii="Arial" w:cs="Arial" w:eastAsia="Arial" w:hAnsi="Arial"/>
                <w:sz w:val="18"/>
                <w:szCs w:val="18"/>
                <w:b w:val="1"/>
                <w:bCs w:val="1"/>
                <w:color w:val="auto"/>
              </w:rPr>
              <w:t>WTI</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jc w:val="center"/>
              <w:ind w:right="110"/>
              <w:spacing w:after="0"/>
              <w:rPr>
                <w:sz w:val="20"/>
                <w:szCs w:val="20"/>
                <w:color w:val="auto"/>
              </w:rPr>
            </w:pPr>
            <w:r>
              <w:rPr>
                <w:rFonts w:ascii="Arial" w:cs="Arial" w:eastAsia="Arial" w:hAnsi="Arial"/>
                <w:sz w:val="18"/>
                <w:szCs w:val="18"/>
                <w:b w:val="1"/>
                <w:bCs w:val="1"/>
                <w:color w:val="auto"/>
                <w:w w:val="99"/>
              </w:rPr>
              <w:t>WCS</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gridSpan w:val="3"/>
          </w:tcPr>
          <w:p>
            <w:pPr>
              <w:jc w:val="center"/>
              <w:ind w:right="405"/>
              <w:spacing w:after="0"/>
              <w:rPr>
                <w:sz w:val="20"/>
                <w:szCs w:val="20"/>
                <w:color w:val="auto"/>
              </w:rPr>
            </w:pPr>
            <w:r>
              <w:rPr>
                <w:rFonts w:ascii="Arial" w:cs="Arial" w:eastAsia="Arial" w:hAnsi="Arial"/>
                <w:sz w:val="18"/>
                <w:szCs w:val="18"/>
                <w:b w:val="1"/>
                <w:bCs w:val="1"/>
                <w:color w:val="auto"/>
              </w:rPr>
              <w:t>Hard</w:t>
            </w:r>
          </w:p>
        </w:tc>
        <w:tc>
          <w:tcPr>
            <w:tcW w:w="1080" w:type="dxa"/>
            <w:vAlign w:val="bottom"/>
          </w:tcPr>
          <w:p>
            <w:pPr>
              <w:jc w:val="center"/>
              <w:ind w:right="90"/>
              <w:spacing w:after="0"/>
              <w:rPr>
                <w:sz w:val="20"/>
                <w:szCs w:val="20"/>
                <w:color w:val="auto"/>
              </w:rPr>
            </w:pPr>
            <w:r>
              <w:rPr>
                <w:rFonts w:ascii="Arial" w:cs="Arial" w:eastAsia="Arial" w:hAnsi="Arial"/>
                <w:sz w:val="18"/>
                <w:szCs w:val="18"/>
                <w:b w:val="1"/>
                <w:bCs w:val="1"/>
                <w:color w:val="auto"/>
                <w:w w:val="97"/>
              </w:rPr>
              <w:t>Hub</w:t>
            </w:r>
          </w:p>
        </w:tc>
        <w:tc>
          <w:tcPr>
            <w:tcW w:w="80" w:type="dxa"/>
            <w:vAlign w:val="bottom"/>
          </w:tcPr>
          <w:p>
            <w:pPr>
              <w:spacing w:after="0"/>
              <w:rPr>
                <w:sz w:val="18"/>
                <w:szCs w:val="18"/>
                <w:color w:val="auto"/>
              </w:rPr>
            </w:pPr>
          </w:p>
        </w:tc>
      </w:tr>
      <w:tr>
        <w:trPr>
          <w:trHeight w:val="216"/>
        </w:trPr>
        <w:tc>
          <w:tcPr>
            <w:tcW w:w="3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gridSpan w:val="3"/>
          </w:tcPr>
          <w:p>
            <w:pPr>
              <w:jc w:val="center"/>
              <w:ind w:right="405"/>
              <w:spacing w:after="0"/>
              <w:rPr>
                <w:sz w:val="20"/>
                <w:szCs w:val="20"/>
                <w:color w:val="auto"/>
              </w:rPr>
            </w:pPr>
            <w:r>
              <w:rPr>
                <w:rFonts w:ascii="Arial" w:cs="Arial" w:eastAsia="Arial" w:hAnsi="Arial"/>
                <w:sz w:val="18"/>
                <w:szCs w:val="18"/>
                <w:b w:val="1"/>
                <w:bCs w:val="1"/>
                <w:color w:val="auto"/>
                <w:w w:val="93"/>
              </w:rPr>
              <w:t>Coking Coal</w:t>
            </w:r>
          </w:p>
        </w:tc>
        <w:tc>
          <w:tcPr>
            <w:tcW w:w="1080" w:type="dxa"/>
            <w:vAlign w:val="bottom"/>
          </w:tcPr>
          <w:p>
            <w:pPr>
              <w:jc w:val="center"/>
              <w:ind w:right="110"/>
              <w:spacing w:after="0"/>
              <w:rPr>
                <w:sz w:val="20"/>
                <w:szCs w:val="20"/>
                <w:color w:val="auto"/>
              </w:rPr>
            </w:pPr>
            <w:r>
              <w:rPr>
                <w:rFonts w:ascii="Arial" w:cs="Arial" w:eastAsia="Arial" w:hAnsi="Arial"/>
                <w:sz w:val="18"/>
                <w:szCs w:val="18"/>
                <w:b w:val="1"/>
                <w:bCs w:val="1"/>
                <w:color w:val="auto"/>
                <w:w w:val="96"/>
              </w:rPr>
              <w:t>Natural</w:t>
            </w:r>
          </w:p>
        </w:tc>
        <w:tc>
          <w:tcPr>
            <w:tcW w:w="80" w:type="dxa"/>
            <w:vAlign w:val="bottom"/>
          </w:tcPr>
          <w:p>
            <w:pPr>
              <w:spacing w:after="0"/>
              <w:rPr>
                <w:sz w:val="18"/>
                <w:szCs w:val="18"/>
                <w:color w:val="auto"/>
              </w:rPr>
            </w:pPr>
          </w:p>
        </w:tc>
      </w:tr>
      <w:tr>
        <w:trPr>
          <w:trHeight w:val="216"/>
        </w:trPr>
        <w:tc>
          <w:tcPr>
            <w:tcW w:w="3300" w:type="dxa"/>
            <w:vAlign w:val="bottom"/>
          </w:tcPr>
          <w:p>
            <w:pPr>
              <w:jc w:val="center"/>
              <w:spacing w:after="0"/>
              <w:rPr>
                <w:sz w:val="20"/>
                <w:szCs w:val="20"/>
                <w:color w:val="auto"/>
              </w:rPr>
            </w:pPr>
            <w:r>
              <w:rPr>
                <w:rFonts w:ascii="Arial" w:cs="Arial" w:eastAsia="Arial" w:hAnsi="Arial"/>
                <w:sz w:val="18"/>
                <w:szCs w:val="18"/>
                <w:b w:val="1"/>
                <w:bCs w:val="1"/>
                <w:color w:val="auto"/>
                <w:w w:val="98"/>
              </w:rPr>
              <w:t>Quarter</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jc w:val="center"/>
              <w:ind w:right="110"/>
              <w:spacing w:after="0"/>
              <w:rPr>
                <w:sz w:val="20"/>
                <w:szCs w:val="20"/>
                <w:color w:val="auto"/>
              </w:rPr>
            </w:pPr>
            <w:r>
              <w:rPr>
                <w:rFonts w:ascii="Arial" w:cs="Arial" w:eastAsia="Arial" w:hAnsi="Arial"/>
                <w:sz w:val="18"/>
                <w:szCs w:val="18"/>
                <w:b w:val="1"/>
                <w:bCs w:val="1"/>
                <w:color w:val="auto"/>
                <w:w w:val="96"/>
              </w:rPr>
              <w:t>Crude</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jc w:val="center"/>
              <w:ind w:right="110"/>
              <w:spacing w:after="0"/>
              <w:rPr>
                <w:sz w:val="20"/>
                <w:szCs w:val="20"/>
                <w:color w:val="auto"/>
              </w:rPr>
            </w:pPr>
            <w:r>
              <w:rPr>
                <w:rFonts w:ascii="Arial" w:cs="Arial" w:eastAsia="Arial" w:hAnsi="Arial"/>
                <w:sz w:val="18"/>
                <w:szCs w:val="18"/>
                <w:b w:val="1"/>
                <w:bCs w:val="1"/>
                <w:color w:val="auto"/>
                <w:w w:val="96"/>
              </w:rPr>
              <w:t>Crude</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gridSpan w:val="3"/>
          </w:tcPr>
          <w:p>
            <w:pPr>
              <w:jc w:val="center"/>
              <w:ind w:right="405"/>
              <w:spacing w:after="0"/>
              <w:rPr>
                <w:sz w:val="20"/>
                <w:szCs w:val="20"/>
                <w:color w:val="auto"/>
              </w:rPr>
            </w:pPr>
            <w:r>
              <w:rPr>
                <w:rFonts w:ascii="Arial" w:cs="Arial" w:eastAsia="Arial" w:hAnsi="Arial"/>
                <w:sz w:val="18"/>
                <w:szCs w:val="18"/>
                <w:b w:val="1"/>
                <w:bCs w:val="1"/>
                <w:color w:val="auto"/>
                <w:w w:val="94"/>
              </w:rPr>
              <w:t>(Met Coal)</w:t>
            </w:r>
          </w:p>
        </w:tc>
        <w:tc>
          <w:tcPr>
            <w:tcW w:w="1080" w:type="dxa"/>
            <w:vAlign w:val="bottom"/>
          </w:tcPr>
          <w:p>
            <w:pPr>
              <w:jc w:val="center"/>
              <w:ind w:right="90"/>
              <w:spacing w:after="0"/>
              <w:rPr>
                <w:sz w:val="20"/>
                <w:szCs w:val="20"/>
                <w:color w:val="auto"/>
              </w:rPr>
            </w:pPr>
            <w:r>
              <w:rPr>
                <w:rFonts w:ascii="Arial" w:cs="Arial" w:eastAsia="Arial" w:hAnsi="Arial"/>
                <w:sz w:val="18"/>
                <w:szCs w:val="18"/>
                <w:b w:val="1"/>
                <w:bCs w:val="1"/>
                <w:color w:val="auto"/>
                <w:w w:val="88"/>
              </w:rPr>
              <w:t>Gas</w:t>
            </w:r>
          </w:p>
        </w:tc>
        <w:tc>
          <w:tcPr>
            <w:tcW w:w="80" w:type="dxa"/>
            <w:vAlign w:val="bottom"/>
          </w:tcPr>
          <w:p>
            <w:pPr>
              <w:spacing w:after="0"/>
              <w:rPr>
                <w:sz w:val="18"/>
                <w:szCs w:val="18"/>
                <w:color w:val="auto"/>
              </w:rPr>
            </w:pPr>
          </w:p>
        </w:tc>
      </w:tr>
      <w:tr>
        <w:trPr>
          <w:trHeight w:val="234"/>
        </w:trPr>
        <w:tc>
          <w:tcPr>
            <w:tcW w:w="3300" w:type="dxa"/>
            <w:vAlign w:val="bottom"/>
          </w:tcPr>
          <w:p>
            <w:pPr>
              <w:jc w:val="center"/>
              <w:spacing w:after="0"/>
              <w:rPr>
                <w:sz w:val="20"/>
                <w:szCs w:val="20"/>
                <w:color w:val="auto"/>
              </w:rPr>
            </w:pPr>
            <w:r>
              <w:rPr>
                <w:rFonts w:ascii="Arial" w:cs="Arial" w:eastAsia="Arial" w:hAnsi="Arial"/>
                <w:sz w:val="18"/>
                <w:szCs w:val="18"/>
                <w:b w:val="1"/>
                <w:bCs w:val="1"/>
                <w:color w:val="auto"/>
                <w:w w:val="86"/>
              </w:rPr>
              <w:t>ended</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00" w:type="dxa"/>
            <w:vAlign w:val="bottom"/>
          </w:tcPr>
          <w:p>
            <w:pPr>
              <w:jc w:val="center"/>
              <w:ind w:right="130"/>
              <w:spacing w:after="0"/>
              <w:rPr>
                <w:sz w:val="20"/>
                <w:szCs w:val="20"/>
                <w:color w:val="auto"/>
              </w:rPr>
            </w:pPr>
            <w:r>
              <w:rPr>
                <w:rFonts w:ascii="Arial" w:cs="Arial" w:eastAsia="Arial" w:hAnsi="Arial"/>
                <w:sz w:val="18"/>
                <w:szCs w:val="18"/>
                <w:b w:val="1"/>
                <w:bCs w:val="1"/>
                <w:color w:val="auto"/>
                <w:w w:val="94"/>
              </w:rPr>
              <w:t>(per bbl)</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tcPr>
          <w:p>
            <w:pPr>
              <w:jc w:val="center"/>
              <w:ind w:right="90"/>
              <w:spacing w:after="0"/>
              <w:rPr>
                <w:sz w:val="20"/>
                <w:szCs w:val="20"/>
                <w:color w:val="auto"/>
              </w:rPr>
            </w:pPr>
            <w:r>
              <w:rPr>
                <w:rFonts w:ascii="Arial" w:cs="Arial" w:eastAsia="Arial" w:hAnsi="Arial"/>
                <w:sz w:val="18"/>
                <w:szCs w:val="18"/>
                <w:b w:val="1"/>
                <w:bCs w:val="1"/>
                <w:color w:val="auto"/>
                <w:w w:val="94"/>
              </w:rPr>
              <w:t>(per bbl)</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00" w:type="dxa"/>
            <w:vAlign w:val="bottom"/>
            <w:gridSpan w:val="3"/>
          </w:tcPr>
          <w:p>
            <w:pPr>
              <w:jc w:val="center"/>
              <w:ind w:right="405"/>
              <w:spacing w:after="0"/>
              <w:rPr>
                <w:sz w:val="20"/>
                <w:szCs w:val="20"/>
                <w:color w:val="auto"/>
              </w:rPr>
            </w:pPr>
            <w:r>
              <w:rPr>
                <w:rFonts w:ascii="Arial" w:cs="Arial" w:eastAsia="Arial" w:hAnsi="Arial"/>
                <w:sz w:val="18"/>
                <w:szCs w:val="18"/>
                <w:b w:val="1"/>
                <w:bCs w:val="1"/>
                <w:color w:val="auto"/>
                <w:w w:val="91"/>
              </w:rPr>
              <w:t>(per tonne)</w:t>
            </w:r>
          </w:p>
        </w:tc>
        <w:tc>
          <w:tcPr>
            <w:tcW w:w="1080" w:type="dxa"/>
            <w:vAlign w:val="bottom"/>
          </w:tcPr>
          <w:p>
            <w:pPr>
              <w:jc w:val="center"/>
              <w:ind w:right="110"/>
              <w:spacing w:after="0"/>
              <w:rPr>
                <w:sz w:val="20"/>
                <w:szCs w:val="20"/>
                <w:color w:val="auto"/>
              </w:rPr>
            </w:pPr>
            <w:r>
              <w:rPr>
                <w:rFonts w:ascii="Arial" w:cs="Arial" w:eastAsia="Arial" w:hAnsi="Arial"/>
                <w:sz w:val="18"/>
                <w:szCs w:val="18"/>
                <w:b w:val="1"/>
                <w:bCs w:val="1"/>
                <w:color w:val="auto"/>
                <w:w w:val="93"/>
              </w:rPr>
              <w:t>(per mcf)</w:t>
            </w:r>
          </w:p>
        </w:tc>
        <w:tc>
          <w:tcPr>
            <w:tcW w:w="80" w:type="dxa"/>
            <w:vAlign w:val="bottom"/>
          </w:tcPr>
          <w:p>
            <w:pPr>
              <w:spacing w:after="0"/>
              <w:rPr>
                <w:sz w:val="20"/>
                <w:szCs w:val="20"/>
                <w:color w:val="auto"/>
              </w:rPr>
            </w:pPr>
          </w:p>
        </w:tc>
      </w:tr>
      <w:tr>
        <w:trPr>
          <w:trHeight w:val="210"/>
        </w:trPr>
        <w:tc>
          <w:tcPr>
            <w:tcW w:w="33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Second Quarter through 4/21/2017</w:t>
            </w:r>
          </w:p>
        </w:tc>
        <w:tc>
          <w:tcPr>
            <w:tcW w:w="8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51.73</w:t>
            </w:r>
          </w:p>
        </w:tc>
        <w:tc>
          <w:tcPr>
            <w:tcW w:w="20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42.03</w:t>
            </w:r>
          </w:p>
        </w:tc>
        <w:tc>
          <w:tcPr>
            <w:tcW w:w="18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N/A</w:t>
            </w:r>
          </w:p>
        </w:tc>
        <w:tc>
          <w:tcPr>
            <w:tcW w:w="16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3.20</w:t>
            </w:r>
          </w:p>
        </w:tc>
        <w:tc>
          <w:tcPr>
            <w:tcW w:w="80" w:type="dxa"/>
            <w:vAlign w:val="bottom"/>
            <w:shd w:val="clear" w:color="auto" w:fill="CCEEFF"/>
          </w:tcPr>
          <w:p>
            <w:pPr>
              <w:spacing w:after="0"/>
              <w:rPr>
                <w:sz w:val="18"/>
                <w:szCs w:val="18"/>
                <w:color w:val="auto"/>
              </w:rPr>
            </w:pPr>
          </w:p>
        </w:tc>
      </w:tr>
      <w:tr>
        <w:trPr>
          <w:trHeight w:val="216"/>
        </w:trPr>
        <w:tc>
          <w:tcPr>
            <w:tcW w:w="3300" w:type="dxa"/>
            <w:vAlign w:val="bottom"/>
          </w:tcPr>
          <w:p>
            <w:pPr>
              <w:jc w:val="center"/>
              <w:spacing w:after="0"/>
              <w:rPr>
                <w:sz w:val="20"/>
                <w:szCs w:val="20"/>
                <w:color w:val="auto"/>
              </w:rPr>
            </w:pPr>
            <w:r>
              <w:rPr>
                <w:rFonts w:ascii="Arial" w:cs="Arial" w:eastAsia="Arial" w:hAnsi="Arial"/>
                <w:sz w:val="18"/>
                <w:szCs w:val="18"/>
                <w:color w:val="auto"/>
                <w:w w:val="89"/>
              </w:rPr>
              <w:t>3/31/2017</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51.70</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38.09</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285.00</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3.06</w:t>
            </w:r>
          </w:p>
        </w:tc>
        <w:tc>
          <w:tcPr>
            <w:tcW w:w="80" w:type="dxa"/>
            <w:vAlign w:val="bottom"/>
          </w:tcPr>
          <w:p>
            <w:pPr>
              <w:spacing w:after="0"/>
              <w:rPr>
                <w:sz w:val="18"/>
                <w:szCs w:val="18"/>
                <w:color w:val="auto"/>
              </w:rPr>
            </w:pPr>
          </w:p>
        </w:tc>
      </w:tr>
      <w:tr>
        <w:trPr>
          <w:trHeight w:val="216"/>
        </w:trPr>
        <w:tc>
          <w:tcPr>
            <w:tcW w:w="33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12/31/2016</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49.16</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34.34</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200.00</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3.18</w:t>
            </w:r>
          </w:p>
        </w:tc>
        <w:tc>
          <w:tcPr>
            <w:tcW w:w="80" w:type="dxa"/>
            <w:vAlign w:val="bottom"/>
            <w:shd w:val="clear" w:color="auto" w:fill="CCEEFF"/>
          </w:tcPr>
          <w:p>
            <w:pPr>
              <w:spacing w:after="0"/>
              <w:rPr>
                <w:sz w:val="18"/>
                <w:szCs w:val="18"/>
                <w:color w:val="auto"/>
              </w:rPr>
            </w:pPr>
          </w:p>
        </w:tc>
      </w:tr>
      <w:tr>
        <w:trPr>
          <w:trHeight w:val="216"/>
        </w:trPr>
        <w:tc>
          <w:tcPr>
            <w:tcW w:w="3300" w:type="dxa"/>
            <w:vAlign w:val="bottom"/>
          </w:tcPr>
          <w:p>
            <w:pPr>
              <w:jc w:val="center"/>
              <w:spacing w:after="0"/>
              <w:rPr>
                <w:sz w:val="20"/>
                <w:szCs w:val="20"/>
                <w:color w:val="auto"/>
              </w:rPr>
            </w:pPr>
            <w:r>
              <w:rPr>
                <w:rFonts w:ascii="Arial" w:cs="Arial" w:eastAsia="Arial" w:hAnsi="Arial"/>
                <w:sz w:val="18"/>
                <w:szCs w:val="18"/>
                <w:color w:val="auto"/>
                <w:w w:val="89"/>
              </w:rPr>
              <w:t>9/30/2016</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44.88</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30.67</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92.50</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2.79</w:t>
            </w:r>
          </w:p>
        </w:tc>
        <w:tc>
          <w:tcPr>
            <w:tcW w:w="80" w:type="dxa"/>
            <w:vAlign w:val="bottom"/>
          </w:tcPr>
          <w:p>
            <w:pPr>
              <w:spacing w:after="0"/>
              <w:rPr>
                <w:sz w:val="18"/>
                <w:szCs w:val="18"/>
                <w:color w:val="auto"/>
              </w:rPr>
            </w:pPr>
          </w:p>
        </w:tc>
      </w:tr>
      <w:tr>
        <w:trPr>
          <w:trHeight w:val="216"/>
        </w:trPr>
        <w:tc>
          <w:tcPr>
            <w:tcW w:w="33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6/30/2016</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45.53</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32.84</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84.00</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w:t>
            </w:r>
          </w:p>
        </w:tc>
        <w:tc>
          <w:tcPr>
            <w:tcW w:w="80" w:type="dxa"/>
            <w:vAlign w:val="bottom"/>
            <w:shd w:val="clear" w:color="auto" w:fill="CCEEFF"/>
          </w:tcPr>
          <w:p>
            <w:pPr>
              <w:spacing w:after="0"/>
              <w:rPr>
                <w:sz w:val="18"/>
                <w:szCs w:val="18"/>
                <w:color w:val="auto"/>
              </w:rPr>
            </w:pPr>
          </w:p>
        </w:tc>
      </w:tr>
      <w:tr>
        <w:trPr>
          <w:trHeight w:val="216"/>
        </w:trPr>
        <w:tc>
          <w:tcPr>
            <w:tcW w:w="3300" w:type="dxa"/>
            <w:vAlign w:val="bottom"/>
          </w:tcPr>
          <w:p>
            <w:pPr>
              <w:jc w:val="center"/>
              <w:spacing w:after="0"/>
              <w:rPr>
                <w:sz w:val="20"/>
                <w:szCs w:val="20"/>
                <w:color w:val="auto"/>
              </w:rPr>
            </w:pPr>
            <w:r>
              <w:rPr>
                <w:rFonts w:ascii="Arial" w:cs="Arial" w:eastAsia="Arial" w:hAnsi="Arial"/>
                <w:sz w:val="18"/>
                <w:szCs w:val="18"/>
                <w:color w:val="auto"/>
                <w:w w:val="89"/>
              </w:rPr>
              <w:t>3/31/2016</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33.41</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20.26</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81.00</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1.98</w:t>
            </w:r>
          </w:p>
        </w:tc>
        <w:tc>
          <w:tcPr>
            <w:tcW w:w="80" w:type="dxa"/>
            <w:vAlign w:val="bottom"/>
          </w:tcPr>
          <w:p>
            <w:pPr>
              <w:spacing w:after="0"/>
              <w:rPr>
                <w:sz w:val="18"/>
                <w:szCs w:val="18"/>
                <w:color w:val="auto"/>
              </w:rPr>
            </w:pPr>
          </w:p>
        </w:tc>
      </w:tr>
      <w:tr>
        <w:trPr>
          <w:trHeight w:val="216"/>
        </w:trPr>
        <w:tc>
          <w:tcPr>
            <w:tcW w:w="33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12/31/2015</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42.02</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27.82</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89.00</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w:t>
            </w:r>
          </w:p>
        </w:tc>
        <w:tc>
          <w:tcPr>
            <w:tcW w:w="80" w:type="dxa"/>
            <w:vAlign w:val="bottom"/>
            <w:shd w:val="clear" w:color="auto" w:fill="CCEEFF"/>
          </w:tcPr>
          <w:p>
            <w:pPr>
              <w:spacing w:after="0"/>
              <w:rPr>
                <w:sz w:val="18"/>
                <w:szCs w:val="18"/>
                <w:color w:val="auto"/>
              </w:rPr>
            </w:pPr>
          </w:p>
        </w:tc>
      </w:tr>
      <w:tr>
        <w:trPr>
          <w:trHeight w:val="216"/>
        </w:trPr>
        <w:tc>
          <w:tcPr>
            <w:tcW w:w="3300" w:type="dxa"/>
            <w:vAlign w:val="bottom"/>
          </w:tcPr>
          <w:p>
            <w:pPr>
              <w:jc w:val="center"/>
              <w:spacing w:after="0"/>
              <w:rPr>
                <w:sz w:val="20"/>
                <w:szCs w:val="20"/>
                <w:color w:val="auto"/>
              </w:rPr>
            </w:pPr>
            <w:r>
              <w:rPr>
                <w:rFonts w:ascii="Arial" w:cs="Arial" w:eastAsia="Arial" w:hAnsi="Arial"/>
                <w:sz w:val="18"/>
                <w:szCs w:val="18"/>
                <w:color w:val="auto"/>
                <w:w w:val="89"/>
              </w:rPr>
              <w:t>9/30/2015</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46.48</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31.54</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93.00</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2.73</w:t>
            </w:r>
          </w:p>
        </w:tc>
        <w:tc>
          <w:tcPr>
            <w:tcW w:w="80" w:type="dxa"/>
            <w:vAlign w:val="bottom"/>
          </w:tcPr>
          <w:p>
            <w:pPr>
              <w:spacing w:after="0"/>
              <w:rPr>
                <w:sz w:val="18"/>
                <w:szCs w:val="18"/>
                <w:color w:val="auto"/>
              </w:rPr>
            </w:pPr>
          </w:p>
        </w:tc>
      </w:tr>
      <w:tr>
        <w:trPr>
          <w:trHeight w:val="216"/>
        </w:trPr>
        <w:tc>
          <w:tcPr>
            <w:tcW w:w="33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6/30/2015</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57.64</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48.09</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109.50</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w:t>
            </w:r>
          </w:p>
        </w:tc>
        <w:tc>
          <w:tcPr>
            <w:tcW w:w="80" w:type="dxa"/>
            <w:vAlign w:val="bottom"/>
            <w:shd w:val="clear" w:color="auto" w:fill="CCEEFF"/>
          </w:tcPr>
          <w:p>
            <w:pPr>
              <w:spacing w:after="0"/>
              <w:rPr>
                <w:sz w:val="18"/>
                <w:szCs w:val="18"/>
                <w:color w:val="auto"/>
              </w:rPr>
            </w:pPr>
          </w:p>
        </w:tc>
      </w:tr>
      <w:tr>
        <w:trPr>
          <w:trHeight w:val="216"/>
        </w:trPr>
        <w:tc>
          <w:tcPr>
            <w:tcW w:w="3300" w:type="dxa"/>
            <w:vAlign w:val="bottom"/>
          </w:tcPr>
          <w:p>
            <w:pPr>
              <w:jc w:val="center"/>
              <w:spacing w:after="0"/>
              <w:rPr>
                <w:sz w:val="20"/>
                <w:szCs w:val="20"/>
                <w:color w:val="auto"/>
              </w:rPr>
            </w:pPr>
            <w:r>
              <w:rPr>
                <w:rFonts w:ascii="Arial" w:cs="Arial" w:eastAsia="Arial" w:hAnsi="Arial"/>
                <w:sz w:val="18"/>
                <w:szCs w:val="18"/>
                <w:color w:val="auto"/>
                <w:w w:val="89"/>
              </w:rPr>
              <w:t>3/31/2015</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48.49</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35.03</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117.00</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2.81</w:t>
            </w:r>
          </w:p>
        </w:tc>
        <w:tc>
          <w:tcPr>
            <w:tcW w:w="80" w:type="dxa"/>
            <w:vAlign w:val="bottom"/>
          </w:tcPr>
          <w:p>
            <w:pPr>
              <w:spacing w:after="0"/>
              <w:rPr>
                <w:sz w:val="18"/>
                <w:szCs w:val="18"/>
                <w:color w:val="auto"/>
              </w:rPr>
            </w:pPr>
          </w:p>
        </w:tc>
      </w:tr>
      <w:tr>
        <w:trPr>
          <w:trHeight w:val="216"/>
        </w:trPr>
        <w:tc>
          <w:tcPr>
            <w:tcW w:w="33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12/31/2014</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73.21</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57.75</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119.00</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3.83</w:t>
            </w:r>
          </w:p>
        </w:tc>
        <w:tc>
          <w:tcPr>
            <w:tcW w:w="80" w:type="dxa"/>
            <w:vAlign w:val="bottom"/>
            <w:shd w:val="clear" w:color="auto" w:fill="CCEEFF"/>
          </w:tcPr>
          <w:p>
            <w:pPr>
              <w:spacing w:after="0"/>
              <w:rPr>
                <w:sz w:val="18"/>
                <w:szCs w:val="18"/>
                <w:color w:val="auto"/>
              </w:rPr>
            </w:pPr>
          </w:p>
        </w:tc>
      </w:tr>
      <w:tr>
        <w:trPr>
          <w:trHeight w:val="216"/>
        </w:trPr>
        <w:tc>
          <w:tcPr>
            <w:tcW w:w="3300" w:type="dxa"/>
            <w:vAlign w:val="bottom"/>
          </w:tcPr>
          <w:p>
            <w:pPr>
              <w:jc w:val="center"/>
              <w:spacing w:after="0"/>
              <w:rPr>
                <w:sz w:val="20"/>
                <w:szCs w:val="20"/>
                <w:color w:val="auto"/>
              </w:rPr>
            </w:pPr>
            <w:r>
              <w:rPr>
                <w:rFonts w:ascii="Arial" w:cs="Arial" w:eastAsia="Arial" w:hAnsi="Arial"/>
                <w:sz w:val="18"/>
                <w:szCs w:val="18"/>
                <w:color w:val="auto"/>
                <w:w w:val="89"/>
              </w:rPr>
              <w:t>9/30/2014</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97.60</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78.69</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120.00</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3.95</w:t>
            </w:r>
          </w:p>
        </w:tc>
        <w:tc>
          <w:tcPr>
            <w:tcW w:w="80" w:type="dxa"/>
            <w:vAlign w:val="bottom"/>
          </w:tcPr>
          <w:p>
            <w:pPr>
              <w:spacing w:after="0"/>
              <w:rPr>
                <w:sz w:val="18"/>
                <w:szCs w:val="18"/>
                <w:color w:val="auto"/>
              </w:rPr>
            </w:pPr>
          </w:p>
        </w:tc>
      </w:tr>
      <w:tr>
        <w:trPr>
          <w:trHeight w:val="216"/>
        </w:trPr>
        <w:tc>
          <w:tcPr>
            <w:tcW w:w="33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6/30/2014</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103.06</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83.78</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120.00</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4.58</w:t>
            </w:r>
          </w:p>
        </w:tc>
        <w:tc>
          <w:tcPr>
            <w:tcW w:w="80" w:type="dxa"/>
            <w:vAlign w:val="bottom"/>
            <w:shd w:val="clear" w:color="auto" w:fill="CCEEFF"/>
          </w:tcPr>
          <w:p>
            <w:pPr>
              <w:spacing w:after="0"/>
              <w:rPr>
                <w:sz w:val="18"/>
                <w:szCs w:val="18"/>
                <w:color w:val="auto"/>
              </w:rPr>
            </w:pPr>
          </w:p>
        </w:tc>
      </w:tr>
      <w:tr>
        <w:trPr>
          <w:trHeight w:val="218"/>
        </w:trPr>
        <w:tc>
          <w:tcPr>
            <w:tcW w:w="3300" w:type="dxa"/>
            <w:vAlign w:val="bottom"/>
          </w:tcPr>
          <w:p>
            <w:pPr>
              <w:jc w:val="center"/>
              <w:spacing w:after="0"/>
              <w:rPr>
                <w:sz w:val="20"/>
                <w:szCs w:val="20"/>
                <w:color w:val="auto"/>
              </w:rPr>
            </w:pPr>
            <w:r>
              <w:rPr>
                <w:rFonts w:ascii="Arial" w:cs="Arial" w:eastAsia="Arial" w:hAnsi="Arial"/>
                <w:sz w:val="18"/>
                <w:szCs w:val="18"/>
                <w:color w:val="auto"/>
                <w:w w:val="89"/>
              </w:rPr>
              <w:t>3/31/2014</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98.68</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77.76</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143.00</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5.18</w:t>
            </w:r>
          </w:p>
        </w:tc>
        <w:tc>
          <w:tcPr>
            <w:tcW w:w="80" w:type="dxa"/>
            <w:vAlign w:val="bottom"/>
          </w:tcPr>
          <w:p>
            <w:pPr>
              <w:spacing w:after="0"/>
              <w:rPr>
                <w:sz w:val="18"/>
                <w:szCs w:val="18"/>
                <w:color w:val="auto"/>
              </w:rPr>
            </w:pPr>
          </w:p>
        </w:tc>
      </w:tr>
    </w:tbl>
    <w:p>
      <w:pPr>
        <w:ind w:left="820"/>
        <w:spacing w:after="0"/>
        <w:rPr>
          <w:sz w:val="20"/>
          <w:szCs w:val="20"/>
          <w:color w:val="auto"/>
        </w:rPr>
      </w:pPr>
      <w:r>
        <w:rPr>
          <w:rFonts w:ascii="Arial" w:cs="Arial" w:eastAsia="Arial" w:hAnsi="Arial"/>
          <w:sz w:val="18"/>
          <w:szCs w:val="18"/>
          <w:color w:val="auto"/>
        </w:rPr>
        <w:t>__________</w:t>
      </w:r>
    </w:p>
    <w:p>
      <w:pPr>
        <w:spacing w:after="0" w:line="7" w:lineRule="exact"/>
        <w:rPr>
          <w:sz w:val="20"/>
          <w:szCs w:val="20"/>
          <w:color w:val="auto"/>
        </w:rPr>
      </w:pPr>
    </w:p>
    <w:p>
      <w:pPr>
        <w:ind w:left="980" w:right="260" w:hanging="324"/>
        <w:spacing w:after="0" w:line="261" w:lineRule="auto"/>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Source: WTI crude and natural gas prices are from U.S. Energy Information Administration (EIA), and WCS crude prices and Seaborne hard coking coal contract prices are from Bloomberg.</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right="160" w:firstLine="324"/>
        <w:spacing w:after="0" w:line="342" w:lineRule="auto"/>
        <w:rPr>
          <w:sz w:val="20"/>
          <w:szCs w:val="20"/>
          <w:color w:val="auto"/>
        </w:rPr>
      </w:pPr>
      <w:r>
        <w:rPr>
          <w:rFonts w:ascii="Arial" w:cs="Arial" w:eastAsia="Arial" w:hAnsi="Arial"/>
          <w:sz w:val="16"/>
          <w:szCs w:val="16"/>
          <w:color w:val="auto"/>
        </w:rPr>
        <w:t>As noted above, demand for our services is primarily tied to the outlook for crude oil and met coal prices. Other factors that can affect our business and financial results include the general global economic environment and regulatory changes in Canada, Australia, the U.S. and other markets.</w:t>
      </w:r>
    </w:p>
    <w:p>
      <w:pPr>
        <w:spacing w:after="0" w:line="124" w:lineRule="exact"/>
        <w:rPr>
          <w:sz w:val="20"/>
          <w:szCs w:val="20"/>
          <w:color w:val="auto"/>
        </w:rPr>
      </w:pPr>
    </w:p>
    <w:p>
      <w:pPr>
        <w:ind w:right="60" w:firstLine="324"/>
        <w:spacing w:after="0" w:line="255" w:lineRule="auto"/>
        <w:rPr>
          <w:sz w:val="20"/>
          <w:szCs w:val="20"/>
          <w:color w:val="auto"/>
        </w:rPr>
      </w:pPr>
      <w:r>
        <w:rPr>
          <w:rFonts w:ascii="Arial" w:cs="Arial" w:eastAsia="Arial" w:hAnsi="Arial"/>
          <w:sz w:val="18"/>
          <w:szCs w:val="18"/>
          <w:color w:val="auto"/>
        </w:rPr>
        <w:t>Our business is predominantly located in northern Alberta, Canada and Queensland, Australia, and we derive most of our business from resource companies who are developing and producing oil sands and met coal resources and, to a lesser extent, other hydrocarbon and mineral resources. More than three-fourths of our revenue is generated by our large-scale lodge and village facilities. Where traditional accommodations and infrastructure are insufficient, inaccessible or cost ineffective, our lodge and village facilities provide comprehensive accommodations services similar to those found in an urban hotel. We typically contract our facilities to our customers on a fee-per-day basis that covers lodging and meals and is based on the duration of customer needs, which can range from several weeks to several years.</w:t>
      </w:r>
    </w:p>
    <w:p>
      <w:pPr>
        <w:spacing w:after="0" w:line="193" w:lineRule="exact"/>
        <w:rPr>
          <w:sz w:val="20"/>
          <w:szCs w:val="20"/>
          <w:color w:val="auto"/>
        </w:rPr>
      </w:pPr>
    </w:p>
    <w:p>
      <w:pPr>
        <w:ind w:right="340" w:firstLine="324"/>
        <w:spacing w:after="0" w:line="342" w:lineRule="auto"/>
        <w:rPr>
          <w:sz w:val="20"/>
          <w:szCs w:val="20"/>
          <w:color w:val="auto"/>
        </w:rPr>
      </w:pPr>
      <w:r>
        <w:rPr>
          <w:rFonts w:ascii="Arial" w:cs="Arial" w:eastAsia="Arial" w:hAnsi="Arial"/>
          <w:sz w:val="16"/>
          <w:szCs w:val="16"/>
          <w:color w:val="auto"/>
        </w:rPr>
        <w:t>Generally, our customers are making multi-billion dollar investments to develop their prospects, which have estimated reserve lives ranging from ten years to in excess of 30 years. Consequently, these investments are dependent on those customers’ long-term views of commodity demand and prices.</w:t>
      </w:r>
    </w:p>
    <w:p>
      <w:pPr>
        <w:spacing w:after="0" w:line="124" w:lineRule="exact"/>
        <w:rPr>
          <w:sz w:val="20"/>
          <w:szCs w:val="20"/>
          <w:color w:val="auto"/>
        </w:rPr>
      </w:pPr>
    </w:p>
    <w:p>
      <w:pPr>
        <w:jc w:val="both"/>
        <w:ind w:right="140" w:firstLine="324"/>
        <w:spacing w:after="0" w:line="279" w:lineRule="auto"/>
        <w:rPr>
          <w:sz w:val="20"/>
          <w:szCs w:val="20"/>
          <w:color w:val="auto"/>
        </w:rPr>
      </w:pPr>
      <w:r>
        <w:rPr>
          <w:rFonts w:ascii="Arial" w:cs="Arial" w:eastAsia="Arial" w:hAnsi="Arial"/>
          <w:sz w:val="17"/>
          <w:szCs w:val="17"/>
          <w:color w:val="auto"/>
        </w:rPr>
        <w:t>In response to decreases in crude oil prices beginning in late 2014, many of our customers in Canada curtailed their operations and spending, and most major oil sands mining operators are continuing to seek to reduce their costs and limit capital spending, thereby limiting the demand for accommodations of the kind we provide. In Australia, approximately 80% of our rooms are located in the Bowen Basin and primarily serve met coal mines in that region, where our customers continue to implement cost productivity and efficiency measures, in order to drive down their cost base.</w:t>
      </w:r>
    </w:p>
    <w:p>
      <w:pPr>
        <w:spacing w:after="0" w:line="171" w:lineRule="exact"/>
        <w:rPr>
          <w:sz w:val="20"/>
          <w:szCs w:val="20"/>
          <w:color w:val="auto"/>
        </w:rPr>
      </w:pPr>
    </w:p>
    <w:p>
      <w:pPr>
        <w:ind w:firstLine="324"/>
        <w:spacing w:after="0" w:line="291" w:lineRule="auto"/>
        <w:rPr>
          <w:sz w:val="20"/>
          <w:szCs w:val="20"/>
          <w:color w:val="auto"/>
        </w:rPr>
      </w:pPr>
      <w:r>
        <w:rPr>
          <w:rFonts w:ascii="Arial" w:cs="Arial" w:eastAsia="Arial" w:hAnsi="Arial"/>
          <w:sz w:val="16"/>
          <w:szCs w:val="16"/>
          <w:color w:val="auto"/>
        </w:rPr>
        <w:t>In recent months, however, several catalysts have emerged that we believe could have favorable intermediate to long-term implications for our core end markets. Since the announcement by OPEC in late November 2016 to cut production quotas and the subsequent rise in oil prices and oil price expectations, certain operators with steam-assisted gravity drainage operations in the Canadian oil sands have announced increased capital budgets for 2017. In addition, recent regulatory approvals of several major pipeline projects has the potential to both drive incremental demand for mobile accommodations assets and to improve take-away capacity for Canadian oil sands producers over the longer term. Additionally, we believe that the Keystone XL pipeline in the U.S., if constructed, would be a positive catalyst for Canadian oil sands producers, as it would bolster confidence in future take-away capacity from the region to U.S. Gulf Coast refineries. In Australia, we believe prices are currently at a level that may contribute to increased activity over the long term.</w:t>
      </w:r>
    </w:p>
    <w:p>
      <w:pPr>
        <w:spacing w:after="0" w:line="200" w:lineRule="exact"/>
        <w:rPr>
          <w:sz w:val="20"/>
          <w:szCs w:val="20"/>
          <w:color w:val="auto"/>
        </w:rPr>
      </w:pPr>
    </w:p>
    <w:p>
      <w:pPr>
        <w:spacing w:after="0" w:line="21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00"/>
          </w:cols>
          <w:pgMar w:left="240" w:top="584" w:right="259" w:bottom="1440" w:gutter="0" w:footer="0" w:header="0"/>
        </w:sectPr>
      </w:pPr>
    </w:p>
    <w:bookmarkStart w:id="18" w:name="page19"/>
    <w:bookmarkEnd w:id="18"/>
    <w:p>
      <w:pPr>
        <w:ind w:right="180" w:firstLine="324"/>
        <w:spacing w:after="0" w:line="259" w:lineRule="auto"/>
        <w:rPr>
          <w:sz w:val="20"/>
          <w:szCs w:val="20"/>
          <w:color w:val="auto"/>
        </w:rPr>
      </w:pPr>
      <w:r>
        <w:rPr>
          <w:rFonts w:ascii="Arial" w:cs="Arial" w:eastAsia="Arial" w:hAnsi="Arial"/>
          <w:sz w:val="18"/>
          <w:szCs w:val="18"/>
          <w:color w:val="auto"/>
        </w:rPr>
        <w:t>While we believe that these macroeconomic developments are positive for our customers and for the underlying demand for our accommodations services, we do not expect an immediate improvement in our business and are expecting our full year 2017 revenues and EBITDA to be materially lower compared to 2016. Accordingly, we plan to focus on enhancing the quality of our operations, maintaining financial discipline and proactively managing our business as market conditions continue to evolve.</w:t>
      </w:r>
    </w:p>
    <w:p>
      <w:pPr>
        <w:spacing w:after="0" w:line="187" w:lineRule="exact"/>
        <w:rPr>
          <w:sz w:val="20"/>
          <w:szCs w:val="20"/>
          <w:color w:val="auto"/>
        </w:rPr>
      </w:pPr>
    </w:p>
    <w:p>
      <w:pPr>
        <w:ind w:right="40" w:firstLine="324"/>
        <w:spacing w:after="0" w:line="257" w:lineRule="auto"/>
        <w:rPr>
          <w:sz w:val="20"/>
          <w:szCs w:val="20"/>
          <w:color w:val="auto"/>
        </w:rPr>
      </w:pPr>
      <w:r>
        <w:rPr>
          <w:rFonts w:ascii="Arial" w:cs="Arial" w:eastAsia="Arial" w:hAnsi="Arial"/>
          <w:sz w:val="18"/>
          <w:szCs w:val="18"/>
          <w:color w:val="auto"/>
        </w:rPr>
        <w:t>We began expansion of our room count in Kitimat, British Columbia during the second half of 2015 to support potential liquefied natural gas (LNG) projects on the west coast of British Columbia. We were awarded a contract with LNG Canada (LNGC) for the provision of open lodge rooms and associated services that runs through September 2017. To support this contract, we have developed a new accommodations facility, named Sitka Lodge, which includes private washrooms, recreational facilities and other amenities. This lodge currently has 436 rooms, with the potential to expand to serve future accommodations demand in the region.</w:t>
      </w:r>
    </w:p>
    <w:p>
      <w:pPr>
        <w:spacing w:after="0" w:line="188" w:lineRule="exact"/>
        <w:rPr>
          <w:sz w:val="20"/>
          <w:szCs w:val="20"/>
          <w:color w:val="auto"/>
        </w:rPr>
      </w:pPr>
    </w:p>
    <w:p>
      <w:pPr>
        <w:ind w:firstLine="324"/>
        <w:spacing w:after="0" w:line="269" w:lineRule="auto"/>
        <w:rPr>
          <w:sz w:val="20"/>
          <w:szCs w:val="20"/>
          <w:color w:val="auto"/>
        </w:rPr>
      </w:pPr>
      <w:r>
        <w:rPr>
          <w:rFonts w:ascii="Arial" w:cs="Arial" w:eastAsia="Arial" w:hAnsi="Arial"/>
          <w:sz w:val="17"/>
          <w:szCs w:val="17"/>
          <w:color w:val="auto"/>
        </w:rPr>
        <w:t>In addition, we were awarded a contract with LNGC to construct a 4,500 person workforce accommodation center (Cedar Valley Lodge) for a proposed liquefaction and export facility in Kitimat, British Columbia. Construction of Cedar Valley Lodge will not commence until LNGC’s joint venture participants have made a positive final investment decision (FID). The FID was originally planned for the end of 2016. However, FID has been delayed until an indeterminate future time. We are currently in discussions with LNGC to extend this contract until a positive FID is made. Should the project ultimately move forward, British Columbia LNG activity could become a material driver of future activity for our Sitka Lodge, as well as for our mobile fleet assets, which are well suited for the related pipeline construction activity. However, should the project, and other potential projects in the area, not move forward, the resulting impact may negatively affect our future results of operations and our existing long-lived assets in Canada, including our Sitka Lodge, and may require us to record material impairment charges equal to the excess of the carrying values of these assets over their fair values. With the delay in the FID, we currently expect that LNGC will continue to utilize rooms at our Sitka Lodge through September 2017 in accordance with the terms of our contract. However, this contract may be extended to a new FID date based upon our current discussions with LNGC. There can be no assurance that LNGC’s joint venture participants will reach a positive FID or that our contracts with LNGC will be extended.</w:t>
      </w:r>
    </w:p>
    <w:p>
      <w:pPr>
        <w:spacing w:after="0" w:line="183" w:lineRule="exact"/>
        <w:rPr>
          <w:sz w:val="20"/>
          <w:szCs w:val="20"/>
          <w:color w:val="auto"/>
        </w:rPr>
      </w:pPr>
    </w:p>
    <w:p>
      <w:pPr>
        <w:ind w:right="20" w:firstLine="324"/>
        <w:spacing w:after="0" w:line="254" w:lineRule="auto"/>
        <w:rPr>
          <w:sz w:val="20"/>
          <w:szCs w:val="20"/>
          <w:color w:val="auto"/>
        </w:rPr>
      </w:pPr>
      <w:r>
        <w:rPr>
          <w:rFonts w:ascii="Arial" w:cs="Arial" w:eastAsia="Arial" w:hAnsi="Arial"/>
          <w:sz w:val="18"/>
          <w:szCs w:val="18"/>
          <w:color w:val="auto"/>
        </w:rPr>
        <w:t>We expanded our Australian room capacity in 2012 and 2013 to meet increasing demand, notably in the Bowen Basin in Queensland and in the Gunnedah Basin in New South Wales to support coal production, and in Western Australia to support LNG and other energy-related projects. In early 2013, a confluence of falling met coal prices, additional carbon and mining taxes on our Australian customers and several years of cost inflation caused several of our customers to curtail or cease production from higher cost mines and delay or materially reduce their growth plans. This negatively affected our ability to expand our room count and led to a decrease in occupancy levels. With supply disruptions in the fourth quarter of 2016 due to Chinese production policy and adverse Australian weather conditions, the supply and demand balance in global met coal has improved. As a result, met coal prices have increased materially. We expect our Australian customers will wait for prices to stabilize above $150/tonne before significantly increasing their spending, which may take nine months or longer.</w:t>
      </w:r>
    </w:p>
    <w:p>
      <w:pPr>
        <w:spacing w:after="0" w:line="192" w:lineRule="exact"/>
        <w:rPr>
          <w:sz w:val="20"/>
          <w:szCs w:val="20"/>
          <w:color w:val="auto"/>
        </w:rPr>
      </w:pPr>
    </w:p>
    <w:p>
      <w:pPr>
        <w:ind w:firstLine="324"/>
        <w:spacing w:after="0" w:line="270" w:lineRule="auto"/>
        <w:rPr>
          <w:sz w:val="20"/>
          <w:szCs w:val="20"/>
          <w:color w:val="auto"/>
        </w:rPr>
      </w:pPr>
      <w:r>
        <w:rPr>
          <w:rFonts w:ascii="Arial" w:cs="Arial" w:eastAsia="Arial" w:hAnsi="Arial"/>
          <w:sz w:val="17"/>
          <w:szCs w:val="17"/>
          <w:color w:val="auto"/>
        </w:rPr>
        <w:t>Exchange rates between the U.S. dollar and each of the Canadian dollar and the Australian dollar influence our U.S. dollar reported financial results. Our business has historically derived the vast majority of its revenues and operating income in Canada and Australia. These revenues and profits are translated into U.S. dollars for U.S. Generally Accepted Accounting Principles (U.S. GAAP) financial reporting purposes. The Canadian dollar was valued at an average exchange rate of U.S. $0.76 for the first quarter of 2017, compared to U.S. $0.73 for the first quarter of 2016, an increase of approximately 4%. The Canadian dollar was valued at an exchange rate of $0.75 on March 31, 2017 and $0.74 on December 31, 2016. The Australian dollar was valued at an average exchange rate of U.S. $0.76 for the first quarter of 2017 compared to U.S. $0.72 for the first quarter of 2016, an increase of approximately 5%. The Australian dollar was valued at an exchange rate of $0.76 on March 31, 2017 and $0.72 on December 31, 2016. These fluctuations of the Canadian and Australian dollars have had and will continue to have an impact on the translation of earnings generated from our Canadian and Australian subsidiaries and, therefore, our financial results.</w:t>
      </w:r>
    </w:p>
    <w:p>
      <w:pPr>
        <w:spacing w:after="0" w:line="200" w:lineRule="exact"/>
        <w:rPr>
          <w:sz w:val="20"/>
          <w:szCs w:val="20"/>
          <w:color w:val="auto"/>
        </w:rPr>
      </w:pP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00"/>
          </w:cols>
          <w:pgMar w:left="240" w:top="584" w:right="259" w:bottom="1440" w:gutter="0" w:footer="0" w:header="0"/>
        </w:sectPr>
      </w:pPr>
    </w:p>
    <w:bookmarkStart w:id="19" w:name="page20"/>
    <w:bookmarkEnd w:id="19"/>
    <w:p>
      <w:pPr>
        <w:ind w:firstLine="324"/>
        <w:spacing w:after="0" w:line="259" w:lineRule="auto"/>
        <w:rPr>
          <w:sz w:val="20"/>
          <w:szCs w:val="20"/>
          <w:color w:val="auto"/>
        </w:rPr>
      </w:pPr>
      <w:r>
        <w:rPr>
          <w:rFonts w:ascii="Arial" w:cs="Arial" w:eastAsia="Arial" w:hAnsi="Arial"/>
          <w:sz w:val="18"/>
          <w:szCs w:val="18"/>
          <w:color w:val="auto"/>
        </w:rPr>
        <w:t>We continue to monitor the global economy, the demand for crude oil, met coal and natural gas and the resultant impact on the capital spending plans of our customers in order to plan our business activities. We currently expect that our 2017 capital expenditures, exclusive of any business acquisitions, will total approximately $15 million to $18 million, compared to 2016 capital expenditures of $19.8 million. Please see “Liquidity and Capital Resources</w:t>
      </w:r>
      <w:r>
        <w:rPr>
          <w:rFonts w:ascii="Arial" w:cs="Arial" w:eastAsia="Arial" w:hAnsi="Arial"/>
          <w:sz w:val="18"/>
          <w:szCs w:val="18"/>
          <w:i w:val="1"/>
          <w:iCs w:val="1"/>
          <w:color w:val="auto"/>
        </w:rPr>
        <w:t>”</w:t>
      </w:r>
      <w:r>
        <w:rPr>
          <w:rFonts w:ascii="Arial" w:cs="Arial" w:eastAsia="Arial" w:hAnsi="Arial"/>
          <w:sz w:val="18"/>
          <w:szCs w:val="18"/>
          <w:color w:val="auto"/>
        </w:rPr>
        <w:t xml:space="preserve"> below for further discussion of 2017 capital expenditures.</w:t>
      </w:r>
    </w:p>
    <w:p>
      <w:pPr>
        <w:spacing w:after="0" w:line="187" w:lineRule="exact"/>
        <w:rPr>
          <w:sz w:val="20"/>
          <w:szCs w:val="20"/>
          <w:color w:val="auto"/>
        </w:rPr>
      </w:pPr>
    </w:p>
    <w:p>
      <w:pPr>
        <w:ind w:firstLine="324"/>
        <w:spacing w:after="0" w:line="264" w:lineRule="auto"/>
        <w:rPr>
          <w:sz w:val="20"/>
          <w:szCs w:val="20"/>
          <w:color w:val="auto"/>
        </w:rPr>
      </w:pPr>
      <w:r>
        <w:rPr>
          <w:rFonts w:ascii="Arial" w:cs="Arial" w:eastAsia="Arial" w:hAnsi="Arial"/>
          <w:sz w:val="18"/>
          <w:szCs w:val="18"/>
          <w:color w:val="auto"/>
        </w:rPr>
        <w:t>During January 2017, we completed a public offering of 23 million common shares. We used a portion of the net proceeds of $64.8 million from the offering to repay amounts outstanding under several revolving credit facilities provided by our primary credit agreement (the Credit Agreement) and expect to use the remaining proceeds for general corporate purposes.</w:t>
      </w: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00"/>
          </w:cols>
          <w:pgMar w:left="240" w:top="584" w:right="25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i w:val="1"/>
          <w:iCs w:val="1"/>
          <w:color w:val="auto"/>
        </w:rPr>
        <w:t>Unless otherwise indicated, discussion of results for the three-month period ended March 31, 2017 is based on a comparison to the corresponding period of 2016.</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86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Consolidated Results of Operations</w:t>
            </w:r>
          </w:p>
        </w:tc>
        <w:tc>
          <w:tcPr>
            <w:tcW w:w="3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68"/>
        </w:trPr>
        <w:tc>
          <w:tcPr>
            <w:tcW w:w="116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20" w:type="dxa"/>
            <w:vAlign w:val="bottom"/>
            <w:gridSpan w:val="8"/>
          </w:tcPr>
          <w:p>
            <w:pPr>
              <w:jc w:val="center"/>
              <w:ind w:left="830"/>
              <w:spacing w:after="0"/>
              <w:rPr>
                <w:sz w:val="20"/>
                <w:szCs w:val="20"/>
                <w:color w:val="auto"/>
              </w:rPr>
            </w:pPr>
            <w:r>
              <w:rPr>
                <w:rFonts w:ascii="Arial" w:cs="Arial" w:eastAsia="Arial" w:hAnsi="Arial"/>
                <w:sz w:val="18"/>
                <w:szCs w:val="18"/>
                <w:b w:val="1"/>
                <w:bCs w:val="1"/>
                <w:color w:val="auto"/>
              </w:rPr>
              <w:t>THREE MONTHS ENDED</w:t>
            </w:r>
          </w:p>
        </w:tc>
        <w:tc>
          <w:tcPr>
            <w:tcW w:w="1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1160" w:type="dxa"/>
            <w:vAlign w:val="bottom"/>
          </w:tcPr>
          <w:p>
            <w:pPr>
              <w:spacing w:after="0"/>
              <w:rPr>
                <w:sz w:val="20"/>
                <w:szCs w:val="20"/>
                <w:color w:val="auto"/>
              </w:rPr>
            </w:pPr>
          </w:p>
        </w:tc>
        <w:tc>
          <w:tcPr>
            <w:tcW w:w="37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gridSpan w:val="3"/>
          </w:tcPr>
          <w:p>
            <w:pPr>
              <w:jc w:val="center"/>
              <w:ind w:right="160"/>
              <w:spacing w:after="0"/>
              <w:rPr>
                <w:sz w:val="20"/>
                <w:szCs w:val="20"/>
                <w:color w:val="auto"/>
              </w:rPr>
            </w:pPr>
            <w:r>
              <w:rPr>
                <w:rFonts w:ascii="Arial" w:cs="Arial" w:eastAsia="Arial" w:hAnsi="Arial"/>
                <w:sz w:val="18"/>
                <w:szCs w:val="18"/>
                <w:b w:val="1"/>
                <w:bCs w:val="1"/>
                <w:color w:val="auto"/>
              </w:rPr>
              <w:t>MARCH 31,</w:t>
            </w:r>
          </w:p>
        </w:tc>
        <w:tc>
          <w:tcPr>
            <w:tcW w:w="6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3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2017</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center"/>
              <w:ind w:right="230"/>
              <w:spacing w:after="0"/>
              <w:rPr>
                <w:sz w:val="20"/>
                <w:szCs w:val="20"/>
                <w:color w:val="auto"/>
              </w:rPr>
            </w:pPr>
            <w:r>
              <w:rPr>
                <w:rFonts w:ascii="Arial" w:cs="Arial" w:eastAsia="Arial" w:hAnsi="Arial"/>
                <w:sz w:val="18"/>
                <w:szCs w:val="18"/>
                <w:b w:val="1"/>
                <w:bCs w:val="1"/>
                <w:color w:val="auto"/>
                <w:w w:val="89"/>
              </w:rPr>
              <w:t>2016</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Change</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3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240" w:type="dxa"/>
            <w:vAlign w:val="bottom"/>
          </w:tcPr>
          <w:p>
            <w:pPr>
              <w:jc w:val="right"/>
              <w:ind w:right="90"/>
              <w:spacing w:after="0"/>
              <w:rPr>
                <w:sz w:val="20"/>
                <w:szCs w:val="20"/>
                <w:color w:val="auto"/>
              </w:rPr>
            </w:pPr>
            <w:r>
              <w:rPr>
                <w:rFonts w:ascii="Arial" w:cs="Arial" w:eastAsia="Arial" w:hAnsi="Arial"/>
                <w:sz w:val="18"/>
                <w:szCs w:val="18"/>
                <w:b w:val="1"/>
                <w:bCs w:val="1"/>
                <w:color w:val="auto"/>
                <w:w w:val="88"/>
              </w:rPr>
              <w:t>in thousands)</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3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700" w:type="dxa"/>
            <w:vAlign w:val="bottom"/>
          </w:tcPr>
          <w:p>
            <w:pPr>
              <w:ind w:left="160"/>
              <w:spacing w:after="0"/>
              <w:rPr>
                <w:sz w:val="20"/>
                <w:szCs w:val="20"/>
                <w:color w:val="auto"/>
              </w:rPr>
            </w:pPr>
            <w:r>
              <w:rPr>
                <w:rFonts w:ascii="Arial" w:cs="Arial" w:eastAsia="Arial" w:hAnsi="Arial"/>
                <w:sz w:val="18"/>
                <w:szCs w:val="18"/>
                <w:color w:val="auto"/>
              </w:rPr>
              <w:t>Canada</w:t>
            </w:r>
          </w:p>
        </w:tc>
        <w:tc>
          <w:tcPr>
            <w:tcW w:w="660" w:type="dxa"/>
            <w:vAlign w:val="bottom"/>
            <w:gridSpan w:val="2"/>
          </w:tcPr>
          <w:p>
            <w:pPr>
              <w:jc w:val="right"/>
              <w:ind w:right="185"/>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60,506</w:t>
            </w:r>
          </w:p>
        </w:tc>
        <w:tc>
          <w:tcPr>
            <w:tcW w:w="120" w:type="dxa"/>
            <w:vAlign w:val="bottom"/>
          </w:tcPr>
          <w:p>
            <w:pPr>
              <w:spacing w:after="0"/>
              <w:rPr>
                <w:sz w:val="18"/>
                <w:szCs w:val="18"/>
                <w:color w:val="auto"/>
              </w:rPr>
            </w:pPr>
          </w:p>
        </w:tc>
        <w:tc>
          <w:tcPr>
            <w:tcW w:w="36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65,522</w:t>
            </w:r>
          </w:p>
        </w:tc>
        <w:tc>
          <w:tcPr>
            <w:tcW w:w="120" w:type="dxa"/>
            <w:vAlign w:val="bottom"/>
          </w:tcPr>
          <w:p>
            <w:pPr>
              <w:spacing w:after="0"/>
              <w:rPr>
                <w:sz w:val="18"/>
                <w:szCs w:val="18"/>
                <w:color w:val="auto"/>
              </w:rPr>
            </w:pPr>
          </w:p>
        </w:tc>
        <w:tc>
          <w:tcPr>
            <w:tcW w:w="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20"/>
              <w:spacing w:after="0"/>
              <w:rPr>
                <w:sz w:val="20"/>
                <w:szCs w:val="20"/>
                <w:color w:val="auto"/>
              </w:rPr>
            </w:pPr>
            <w:r>
              <w:rPr>
                <w:rFonts w:ascii="Arial" w:cs="Arial" w:eastAsia="Arial" w:hAnsi="Arial"/>
                <w:sz w:val="18"/>
                <w:szCs w:val="18"/>
                <w:color w:val="auto"/>
              </w:rPr>
              <w:t>(5,016)</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7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Australia</w:t>
            </w:r>
          </w:p>
        </w:tc>
        <w:tc>
          <w:tcPr>
            <w:tcW w:w="3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27,016</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25,510</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700" w:type="dxa"/>
            <w:vAlign w:val="bottom"/>
          </w:tcPr>
          <w:p>
            <w:pPr>
              <w:ind w:left="160"/>
              <w:spacing w:after="0"/>
              <w:rPr>
                <w:sz w:val="20"/>
                <w:szCs w:val="20"/>
                <w:color w:val="auto"/>
              </w:rPr>
            </w:pPr>
            <w:r>
              <w:rPr>
                <w:rFonts w:ascii="Arial" w:cs="Arial" w:eastAsia="Arial" w:hAnsi="Arial"/>
                <w:sz w:val="18"/>
                <w:szCs w:val="18"/>
                <w:color w:val="auto"/>
              </w:rPr>
              <w:t>United States and other</w:t>
            </w: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3,907</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4,004</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40" w:type="dxa"/>
            <w:vAlign w:val="bottom"/>
            <w:gridSpan w:val="2"/>
          </w:tcPr>
          <w:p>
            <w:pPr>
              <w:jc w:val="right"/>
              <w:ind w:right="20"/>
              <w:spacing w:after="0"/>
              <w:rPr>
                <w:sz w:val="20"/>
                <w:szCs w:val="20"/>
                <w:color w:val="auto"/>
              </w:rPr>
            </w:pPr>
            <w:r>
              <w:rPr>
                <w:rFonts w:ascii="Arial" w:cs="Arial" w:eastAsia="Arial" w:hAnsi="Arial"/>
                <w:sz w:val="18"/>
                <w:szCs w:val="18"/>
                <w:color w:val="auto"/>
              </w:rPr>
              <w:t>(97)</w:t>
            </w: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37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Total revenues</w:t>
            </w:r>
          </w:p>
        </w:tc>
        <w:tc>
          <w:tcPr>
            <w:tcW w:w="320" w:type="dxa"/>
            <w:vAlign w:val="bottom"/>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91,429</w:t>
            </w:r>
          </w:p>
        </w:tc>
        <w:tc>
          <w:tcPr>
            <w:tcW w:w="12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95,036</w:t>
            </w:r>
          </w:p>
        </w:tc>
        <w:tc>
          <w:tcPr>
            <w:tcW w:w="12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(3,607)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700" w:type="dxa"/>
            <w:vAlign w:val="bottom"/>
          </w:tcPr>
          <w:p>
            <w:pPr>
              <w:spacing w:after="0"/>
              <w:rPr>
                <w:sz w:val="20"/>
                <w:szCs w:val="20"/>
                <w:color w:val="auto"/>
              </w:rPr>
            </w:pPr>
            <w:r>
              <w:rPr>
                <w:rFonts w:ascii="Arial" w:cs="Arial" w:eastAsia="Arial" w:hAnsi="Arial"/>
                <w:sz w:val="18"/>
                <w:szCs w:val="18"/>
                <w:color w:val="auto"/>
              </w:rPr>
              <w:t>Costs and expenses</w:t>
            </w: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7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Cost of sales and services</w:t>
            </w:r>
          </w:p>
        </w:tc>
        <w:tc>
          <w:tcPr>
            <w:tcW w:w="3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700" w:type="dxa"/>
            <w:vAlign w:val="bottom"/>
          </w:tcPr>
          <w:p>
            <w:pPr>
              <w:ind w:left="320"/>
              <w:spacing w:after="0"/>
              <w:rPr>
                <w:sz w:val="20"/>
                <w:szCs w:val="20"/>
                <w:color w:val="auto"/>
              </w:rPr>
            </w:pPr>
            <w:r>
              <w:rPr>
                <w:rFonts w:ascii="Arial" w:cs="Arial" w:eastAsia="Arial" w:hAnsi="Arial"/>
                <w:sz w:val="18"/>
                <w:szCs w:val="18"/>
                <w:color w:val="auto"/>
              </w:rPr>
              <w:t>Canada</w:t>
            </w: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43,288</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47,764</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40" w:type="dxa"/>
            <w:vAlign w:val="bottom"/>
            <w:gridSpan w:val="2"/>
          </w:tcPr>
          <w:p>
            <w:pPr>
              <w:jc w:val="right"/>
              <w:ind w:right="20"/>
              <w:spacing w:after="0"/>
              <w:rPr>
                <w:sz w:val="20"/>
                <w:szCs w:val="20"/>
                <w:color w:val="auto"/>
              </w:rPr>
            </w:pPr>
            <w:r>
              <w:rPr>
                <w:rFonts w:ascii="Arial" w:cs="Arial" w:eastAsia="Arial" w:hAnsi="Arial"/>
                <w:sz w:val="18"/>
                <w:szCs w:val="18"/>
                <w:color w:val="auto"/>
              </w:rPr>
              <w:t>(4,476)</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7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Australia</w:t>
            </w:r>
          </w:p>
        </w:tc>
        <w:tc>
          <w:tcPr>
            <w:tcW w:w="3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13,402</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12,519</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700" w:type="dxa"/>
            <w:vAlign w:val="bottom"/>
          </w:tcPr>
          <w:p>
            <w:pPr>
              <w:ind w:left="320"/>
              <w:spacing w:after="0"/>
              <w:rPr>
                <w:sz w:val="20"/>
                <w:szCs w:val="20"/>
                <w:color w:val="auto"/>
              </w:rPr>
            </w:pPr>
            <w:r>
              <w:rPr>
                <w:rFonts w:ascii="Arial" w:cs="Arial" w:eastAsia="Arial" w:hAnsi="Arial"/>
                <w:sz w:val="18"/>
                <w:szCs w:val="18"/>
                <w:color w:val="auto"/>
              </w:rPr>
              <w:t>United States and other</w:t>
            </w: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4,982</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5,660</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40" w:type="dxa"/>
            <w:vAlign w:val="bottom"/>
            <w:gridSpan w:val="2"/>
          </w:tcPr>
          <w:p>
            <w:pPr>
              <w:jc w:val="right"/>
              <w:ind w:right="20"/>
              <w:spacing w:after="0"/>
              <w:rPr>
                <w:sz w:val="20"/>
                <w:szCs w:val="20"/>
                <w:color w:val="auto"/>
              </w:rPr>
            </w:pPr>
            <w:r>
              <w:rPr>
                <w:rFonts w:ascii="Arial" w:cs="Arial" w:eastAsia="Arial" w:hAnsi="Arial"/>
                <w:sz w:val="18"/>
                <w:szCs w:val="18"/>
                <w:color w:val="auto"/>
              </w:rPr>
              <w:t>(678)</w:t>
            </w: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3700" w:type="dxa"/>
            <w:vAlign w:val="bottom"/>
            <w:shd w:val="clear" w:color="auto" w:fill="CCEEFF"/>
          </w:tcPr>
          <w:p>
            <w:pPr>
              <w:ind w:left="480"/>
              <w:spacing w:after="0"/>
              <w:rPr>
                <w:sz w:val="20"/>
                <w:szCs w:val="20"/>
                <w:color w:val="auto"/>
              </w:rPr>
            </w:pPr>
            <w:r>
              <w:rPr>
                <w:rFonts w:ascii="Arial" w:cs="Arial" w:eastAsia="Arial" w:hAnsi="Arial"/>
                <w:sz w:val="18"/>
                <w:szCs w:val="18"/>
                <w:color w:val="auto"/>
              </w:rPr>
              <w:t>Total cost of sales and services</w:t>
            </w:r>
          </w:p>
        </w:tc>
        <w:tc>
          <w:tcPr>
            <w:tcW w:w="320" w:type="dxa"/>
            <w:vAlign w:val="bottom"/>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61,672</w:t>
            </w:r>
          </w:p>
        </w:tc>
        <w:tc>
          <w:tcPr>
            <w:tcW w:w="12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65,943</w:t>
            </w:r>
          </w:p>
        </w:tc>
        <w:tc>
          <w:tcPr>
            <w:tcW w:w="12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(4,271)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700" w:type="dxa"/>
            <w:vAlign w:val="bottom"/>
          </w:tcPr>
          <w:p>
            <w:pPr>
              <w:ind w:left="160"/>
              <w:spacing w:after="0"/>
              <w:rPr>
                <w:sz w:val="20"/>
                <w:szCs w:val="20"/>
                <w:color w:val="auto"/>
              </w:rPr>
            </w:pPr>
            <w:r>
              <w:rPr>
                <w:rFonts w:ascii="Arial" w:cs="Arial" w:eastAsia="Arial" w:hAnsi="Arial"/>
                <w:sz w:val="18"/>
                <w:szCs w:val="18"/>
                <w:color w:val="auto"/>
                <w:w w:val="98"/>
              </w:rPr>
              <w:t>Selling, general and administrative expenses</w:t>
            </w: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14,210</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13,117</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1,093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7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Depreciation and amortization expense</w:t>
            </w:r>
          </w:p>
        </w:tc>
        <w:tc>
          <w:tcPr>
            <w:tcW w:w="3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32,829</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33,555</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(726)</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700" w:type="dxa"/>
            <w:vAlign w:val="bottom"/>
          </w:tcPr>
          <w:p>
            <w:pPr>
              <w:ind w:left="160"/>
              <w:spacing w:after="0"/>
              <w:rPr>
                <w:sz w:val="20"/>
                <w:szCs w:val="20"/>
                <w:color w:val="auto"/>
              </w:rPr>
            </w:pPr>
            <w:r>
              <w:rPr>
                <w:rFonts w:ascii="Arial" w:cs="Arial" w:eastAsia="Arial" w:hAnsi="Arial"/>
                <w:sz w:val="18"/>
                <w:szCs w:val="18"/>
                <w:color w:val="auto"/>
              </w:rPr>
              <w:t>Impairment expense</w:t>
            </w: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8,400</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40" w:type="dxa"/>
            <w:vAlign w:val="bottom"/>
            <w:gridSpan w:val="2"/>
          </w:tcPr>
          <w:p>
            <w:pPr>
              <w:jc w:val="right"/>
              <w:ind w:right="20"/>
              <w:spacing w:after="0"/>
              <w:rPr>
                <w:sz w:val="20"/>
                <w:szCs w:val="20"/>
                <w:color w:val="auto"/>
              </w:rPr>
            </w:pPr>
            <w:r>
              <w:rPr>
                <w:rFonts w:ascii="Arial" w:cs="Arial" w:eastAsia="Arial" w:hAnsi="Arial"/>
                <w:sz w:val="18"/>
                <w:szCs w:val="18"/>
                <w:color w:val="auto"/>
              </w:rPr>
              <w:t>(8,400)</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7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Other operating expense (income)</w:t>
            </w:r>
          </w:p>
        </w:tc>
        <w:tc>
          <w:tcPr>
            <w:tcW w:w="32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450</w:t>
            </w:r>
          </w:p>
        </w:tc>
        <w:tc>
          <w:tcPr>
            <w:tcW w:w="120" w:type="dxa"/>
            <w:vAlign w:val="bottom"/>
            <w:tcBorders>
              <w:bottom w:val="single" w:sz="8" w:color="auto"/>
            </w:tcBorders>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218</w:t>
            </w:r>
          </w:p>
        </w:tc>
        <w:tc>
          <w:tcPr>
            <w:tcW w:w="120" w:type="dxa"/>
            <w:vAlign w:val="bottom"/>
            <w:tcBorders>
              <w:bottom w:val="single" w:sz="8" w:color="auto"/>
            </w:tcBorders>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232</w:t>
            </w:r>
          </w:p>
        </w:tc>
        <w:tc>
          <w:tcPr>
            <w:tcW w:w="8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3700" w:type="dxa"/>
            <w:vAlign w:val="bottom"/>
          </w:tcPr>
          <w:p>
            <w:pPr>
              <w:ind w:left="320"/>
              <w:spacing w:after="0"/>
              <w:rPr>
                <w:sz w:val="20"/>
                <w:szCs w:val="20"/>
                <w:color w:val="auto"/>
              </w:rPr>
            </w:pPr>
            <w:r>
              <w:rPr>
                <w:rFonts w:ascii="Arial" w:cs="Arial" w:eastAsia="Arial" w:hAnsi="Arial"/>
                <w:sz w:val="18"/>
                <w:szCs w:val="18"/>
                <w:color w:val="auto"/>
              </w:rPr>
              <w:t>Total costs and expenses</w:t>
            </w: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109,161</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121,233</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40" w:type="dxa"/>
            <w:vAlign w:val="bottom"/>
            <w:gridSpan w:val="2"/>
          </w:tcPr>
          <w:p>
            <w:pPr>
              <w:jc w:val="right"/>
              <w:ind w:right="20"/>
              <w:spacing w:after="0"/>
              <w:rPr>
                <w:sz w:val="20"/>
                <w:szCs w:val="20"/>
                <w:color w:val="auto"/>
              </w:rPr>
            </w:pPr>
            <w:r>
              <w:rPr>
                <w:rFonts w:ascii="Arial" w:cs="Arial" w:eastAsia="Arial" w:hAnsi="Arial"/>
                <w:sz w:val="18"/>
                <w:szCs w:val="18"/>
                <w:color w:val="auto"/>
              </w:rPr>
              <w:t>(12,072)</w:t>
            </w: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 (loss)</w:t>
            </w:r>
          </w:p>
        </w:tc>
        <w:tc>
          <w:tcPr>
            <w:tcW w:w="320" w:type="dxa"/>
            <w:vAlign w:val="bottom"/>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360" w:type="dxa"/>
            <w:vAlign w:val="bottom"/>
            <w:tcBorders>
              <w:top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(17,732)</w:t>
            </w:r>
          </w:p>
        </w:tc>
        <w:tc>
          <w:tcPr>
            <w:tcW w:w="6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360" w:type="dxa"/>
            <w:vAlign w:val="bottom"/>
            <w:tcBorders>
              <w:top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(26,197)</w:t>
            </w:r>
          </w:p>
        </w:tc>
        <w:tc>
          <w:tcPr>
            <w:tcW w:w="6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8,465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vMerge w:val="restart"/>
          </w:tcPr>
          <w:p>
            <w:pPr>
              <w:spacing w:after="0"/>
              <w:rPr>
                <w:sz w:val="18"/>
                <w:szCs w:val="18"/>
                <w:color w:val="auto"/>
              </w:rPr>
            </w:pPr>
          </w:p>
        </w:tc>
        <w:tc>
          <w:tcPr>
            <w:tcW w:w="3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60" w:type="dxa"/>
            <w:vAlign w:val="bottom"/>
            <w:gridSpan w:val="2"/>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gridSpan w:val="2"/>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4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vMerge w:val="continue"/>
          </w:tcPr>
          <w:p>
            <w:pPr>
              <w:spacing w:after="0"/>
              <w:rPr>
                <w:sz w:val="18"/>
                <w:szCs w:val="18"/>
                <w:color w:val="auto"/>
              </w:rPr>
            </w:pPr>
          </w:p>
        </w:tc>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 and income, net</w:t>
            </w:r>
          </w:p>
        </w:tc>
        <w:tc>
          <w:tcPr>
            <w:tcW w:w="3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(6,336)</w:t>
            </w:r>
          </w:p>
        </w:tc>
        <w:tc>
          <w:tcPr>
            <w:tcW w:w="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(5,160)</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(1,176)</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700" w:type="dxa"/>
            <w:vAlign w:val="bottom"/>
          </w:tcPr>
          <w:p>
            <w:pPr>
              <w:spacing w:after="0"/>
              <w:rPr>
                <w:sz w:val="20"/>
                <w:szCs w:val="20"/>
                <w:color w:val="auto"/>
              </w:rPr>
            </w:pPr>
            <w:r>
              <w:rPr>
                <w:rFonts w:ascii="Arial" w:cs="Arial" w:eastAsia="Arial" w:hAnsi="Arial"/>
                <w:sz w:val="18"/>
                <w:szCs w:val="18"/>
                <w:color w:val="auto"/>
              </w:rPr>
              <w:t>Other income</w:t>
            </w:r>
          </w:p>
        </w:tc>
        <w:tc>
          <w:tcPr>
            <w:tcW w:w="32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254</w:t>
            </w:r>
          </w:p>
        </w:tc>
        <w:tc>
          <w:tcPr>
            <w:tcW w:w="12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w:t>
            </w:r>
          </w:p>
        </w:tc>
        <w:tc>
          <w:tcPr>
            <w:tcW w:w="12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37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Income (loss) before income taxes</w:t>
            </w:r>
          </w:p>
        </w:tc>
        <w:tc>
          <w:tcPr>
            <w:tcW w:w="3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(23,814)</w:t>
            </w:r>
          </w:p>
        </w:tc>
        <w:tc>
          <w:tcPr>
            <w:tcW w:w="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(31,245)</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7,431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700" w:type="dxa"/>
            <w:vAlign w:val="bottom"/>
          </w:tcPr>
          <w:p>
            <w:pPr>
              <w:spacing w:after="0"/>
              <w:rPr>
                <w:sz w:val="20"/>
                <w:szCs w:val="20"/>
                <w:color w:val="auto"/>
              </w:rPr>
            </w:pPr>
            <w:r>
              <w:rPr>
                <w:rFonts w:ascii="Arial" w:cs="Arial" w:eastAsia="Arial" w:hAnsi="Arial"/>
                <w:sz w:val="18"/>
                <w:szCs w:val="18"/>
                <w:color w:val="auto"/>
              </w:rPr>
              <w:t>Income tax benefit</w:t>
            </w: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2,948</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4,571</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40" w:type="dxa"/>
            <w:vAlign w:val="bottom"/>
            <w:gridSpan w:val="2"/>
          </w:tcPr>
          <w:p>
            <w:pPr>
              <w:jc w:val="right"/>
              <w:ind w:right="20"/>
              <w:spacing w:after="0"/>
              <w:rPr>
                <w:sz w:val="20"/>
                <w:szCs w:val="20"/>
                <w:color w:val="auto"/>
              </w:rPr>
            </w:pPr>
            <w:r>
              <w:rPr>
                <w:rFonts w:ascii="Arial" w:cs="Arial" w:eastAsia="Arial" w:hAnsi="Arial"/>
                <w:sz w:val="18"/>
                <w:szCs w:val="18"/>
                <w:color w:val="auto"/>
              </w:rPr>
              <w:t>(1,623)</w:t>
            </w: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37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Net income (loss)</w:t>
            </w:r>
          </w:p>
        </w:tc>
        <w:tc>
          <w:tcPr>
            <w:tcW w:w="320" w:type="dxa"/>
            <w:vAlign w:val="bottom"/>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360" w:type="dxa"/>
            <w:vAlign w:val="bottom"/>
            <w:tcBorders>
              <w:top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(20,866)</w:t>
            </w:r>
          </w:p>
        </w:tc>
        <w:tc>
          <w:tcPr>
            <w:tcW w:w="6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360" w:type="dxa"/>
            <w:vAlign w:val="bottom"/>
            <w:tcBorders>
              <w:top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(26,674)</w:t>
            </w:r>
          </w:p>
        </w:tc>
        <w:tc>
          <w:tcPr>
            <w:tcW w:w="6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5,808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1160" w:type="dxa"/>
            <w:vAlign w:val="bottom"/>
          </w:tcPr>
          <w:p>
            <w:pPr>
              <w:spacing w:after="0"/>
              <w:rPr>
                <w:sz w:val="17"/>
                <w:szCs w:val="17"/>
                <w:color w:val="auto"/>
              </w:rPr>
            </w:pPr>
          </w:p>
        </w:tc>
        <w:tc>
          <w:tcPr>
            <w:tcW w:w="3700" w:type="dxa"/>
            <w:vAlign w:val="bottom"/>
          </w:tcPr>
          <w:p>
            <w:pPr>
              <w:spacing w:after="0" w:line="201" w:lineRule="exact"/>
              <w:rPr>
                <w:sz w:val="20"/>
                <w:szCs w:val="20"/>
                <w:color w:val="auto"/>
              </w:rPr>
            </w:pPr>
            <w:r>
              <w:rPr>
                <w:rFonts w:ascii="Arial" w:cs="Arial" w:eastAsia="Arial" w:hAnsi="Arial"/>
                <w:sz w:val="18"/>
                <w:szCs w:val="18"/>
                <w:color w:val="auto"/>
                <w:w w:val="99"/>
              </w:rPr>
              <w:t>Less: Net income attributable to noncontrolling</w:t>
            </w:r>
          </w:p>
        </w:tc>
        <w:tc>
          <w:tcPr>
            <w:tcW w:w="3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40" w:type="dxa"/>
            <w:vAlign w:val="bottom"/>
            <w:vMerge w:val="restart"/>
          </w:tcPr>
          <w:p>
            <w:pPr>
              <w:jc w:val="right"/>
              <w:spacing w:after="0"/>
              <w:rPr>
                <w:sz w:val="20"/>
                <w:szCs w:val="20"/>
                <w:color w:val="auto"/>
              </w:rPr>
            </w:pPr>
            <w:r>
              <w:rPr>
                <w:rFonts w:ascii="Arial" w:cs="Arial" w:eastAsia="Arial" w:hAnsi="Arial"/>
                <w:sz w:val="18"/>
                <w:szCs w:val="18"/>
                <w:color w:val="auto"/>
              </w:rPr>
              <w:t>121</w:t>
            </w: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40" w:type="dxa"/>
            <w:vAlign w:val="bottom"/>
            <w:vMerge w:val="restart"/>
          </w:tcPr>
          <w:p>
            <w:pPr>
              <w:jc w:val="right"/>
              <w:spacing w:after="0"/>
              <w:rPr>
                <w:sz w:val="20"/>
                <w:szCs w:val="20"/>
                <w:color w:val="auto"/>
              </w:rPr>
            </w:pPr>
            <w:r>
              <w:rPr>
                <w:rFonts w:ascii="Arial" w:cs="Arial" w:eastAsia="Arial" w:hAnsi="Arial"/>
                <w:sz w:val="18"/>
                <w:szCs w:val="18"/>
                <w:color w:val="auto"/>
              </w:rPr>
              <w:t>148</w:t>
            </w: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40" w:type="dxa"/>
            <w:vAlign w:val="bottom"/>
            <w:gridSpan w:val="2"/>
            <w:vMerge w:val="restart"/>
          </w:tcPr>
          <w:p>
            <w:pPr>
              <w:jc w:val="right"/>
              <w:ind w:right="2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17"/>
        </w:trPr>
        <w:tc>
          <w:tcPr>
            <w:tcW w:w="1160" w:type="dxa"/>
            <w:vAlign w:val="bottom"/>
          </w:tcPr>
          <w:p>
            <w:pPr>
              <w:spacing w:after="0"/>
              <w:rPr>
                <w:sz w:val="18"/>
                <w:szCs w:val="18"/>
                <w:color w:val="auto"/>
              </w:rPr>
            </w:pPr>
          </w:p>
        </w:tc>
        <w:tc>
          <w:tcPr>
            <w:tcW w:w="3700" w:type="dxa"/>
            <w:vAlign w:val="bottom"/>
          </w:tcPr>
          <w:p>
            <w:pPr>
              <w:ind w:left="160"/>
              <w:spacing w:after="0"/>
              <w:rPr>
                <w:sz w:val="20"/>
                <w:szCs w:val="20"/>
                <w:color w:val="auto"/>
              </w:rPr>
            </w:pPr>
            <w:r>
              <w:rPr>
                <w:rFonts w:ascii="Arial" w:cs="Arial" w:eastAsia="Arial" w:hAnsi="Arial"/>
                <w:sz w:val="18"/>
                <w:szCs w:val="18"/>
                <w:color w:val="auto"/>
              </w:rPr>
              <w:t>interest</w:t>
            </w: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4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1160" w:type="dxa"/>
            <w:vAlign w:val="bottom"/>
          </w:tcPr>
          <w:p>
            <w:pPr>
              <w:spacing w:after="0"/>
              <w:rPr>
                <w:sz w:val="21"/>
                <w:szCs w:val="21"/>
                <w:color w:val="auto"/>
              </w:rPr>
            </w:pPr>
          </w:p>
        </w:tc>
        <w:tc>
          <w:tcPr>
            <w:tcW w:w="37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income (loss) attributable to Civeo</w:t>
            </w:r>
          </w:p>
        </w:tc>
        <w:tc>
          <w:tcPr>
            <w:tcW w:w="3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jc w:val="right"/>
              <w:ind w:right="185"/>
              <w:spacing w:after="0"/>
              <w:rPr>
                <w:sz w:val="20"/>
                <w:szCs w:val="20"/>
                <w:color w:val="auto"/>
              </w:rPr>
            </w:pPr>
            <w:r>
              <w:rPr>
                <w:rFonts w:ascii="Arial" w:cs="Arial" w:eastAsia="Arial" w:hAnsi="Arial"/>
                <w:sz w:val="15"/>
                <w:szCs w:val="15"/>
                <w:color w:val="auto"/>
                <w:w w:val="71"/>
              </w:rPr>
              <w:t>$</w:t>
            </w:r>
          </w:p>
        </w:tc>
        <w:tc>
          <w:tcPr>
            <w:tcW w:w="1360" w:type="dxa"/>
            <w:vAlign w:val="bottom"/>
            <w:tcBorders>
              <w:top w:val="single" w:sz="8" w:color="auto"/>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(20,987)</w:t>
            </w:r>
          </w:p>
        </w:tc>
        <w:tc>
          <w:tcPr>
            <w:tcW w:w="360" w:type="dxa"/>
            <w:vAlign w:val="bottom"/>
            <w:tcBorders>
              <w:top w:val="single" w:sz="8" w:color="auto"/>
              <w:bottom w:val="single" w:sz="8" w:color="auto"/>
            </w:tcBorders>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360" w:type="dxa"/>
            <w:vAlign w:val="bottom"/>
            <w:tcBorders>
              <w:top w:val="single" w:sz="8" w:color="auto"/>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(26,822)</w:t>
            </w:r>
          </w:p>
        </w:tc>
        <w:tc>
          <w:tcPr>
            <w:tcW w:w="340" w:type="dxa"/>
            <w:vAlign w:val="bottom"/>
            <w:tcBorders>
              <w:top w:val="single" w:sz="8" w:color="auto"/>
              <w:bottom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5,835</w:t>
            </w:r>
          </w:p>
        </w:tc>
        <w:tc>
          <w:tcPr>
            <w:tcW w:w="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bl>
    <w:p>
      <w:pPr>
        <w:spacing w:after="0" w:line="25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reported net loss attributable to Civeo for the first quarter of 2017 of $21.0 million, or $0.17 per diluted share.</w:t>
      </w:r>
    </w:p>
    <w:p>
      <w:pPr>
        <w:spacing w:after="0" w:line="225"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We reported net loss attributable to Civeo for the first quarter of 2016 of $26.8 million, or $0.25 per diluted share. As further discussed below, the net loss included (1) an $8.4 million pre-tax loss ($5.5 million after-tax, or $0.05 per diluted share) resulting from the impairment of fixed assets, and (2) a $1.0 million pre-tax loss ($0.7 million after-tax, or $0.01 per diluted share) from costs incurred in connection with our redomicile transaction, included in Selling, general and administrative (SG&amp;A) expenses.</w:t>
      </w:r>
    </w:p>
    <w:p>
      <w:pPr>
        <w:spacing w:after="0" w:line="183" w:lineRule="exact"/>
        <w:rPr>
          <w:sz w:val="20"/>
          <w:szCs w:val="20"/>
          <w:color w:val="auto"/>
        </w:rPr>
      </w:pPr>
    </w:p>
    <w:p>
      <w:pPr>
        <w:ind w:right="80" w:firstLine="324"/>
        <w:spacing w:after="0" w:line="258" w:lineRule="auto"/>
        <w:rPr>
          <w:sz w:val="20"/>
          <w:szCs w:val="20"/>
          <w:color w:val="auto"/>
        </w:rPr>
      </w:pPr>
      <w:r>
        <w:rPr>
          <w:rFonts w:ascii="Arial" w:cs="Arial" w:eastAsia="Arial" w:hAnsi="Arial"/>
          <w:sz w:val="18"/>
          <w:szCs w:val="18"/>
          <w:b w:val="1"/>
          <w:bCs w:val="1"/>
          <w:color w:val="auto"/>
        </w:rPr>
        <w:t xml:space="preserve">Revenues. </w:t>
      </w:r>
      <w:r>
        <w:rPr>
          <w:rFonts w:ascii="Arial" w:cs="Arial" w:eastAsia="Arial" w:hAnsi="Arial"/>
          <w:sz w:val="18"/>
          <w:szCs w:val="18"/>
          <w:color w:val="auto"/>
        </w:rPr>
        <w:t>Consolidated revenues decreased $3.6 million, or 4%, in the first quarter of 2017 compared to the first quarter of 2016. This decline was</w:t>
      </w:r>
      <w:r>
        <w:rPr>
          <w:rFonts w:ascii="Arial" w:cs="Arial" w:eastAsia="Arial" w:hAnsi="Arial"/>
          <w:sz w:val="18"/>
          <w:szCs w:val="18"/>
          <w:b w:val="1"/>
          <w:bCs w:val="1"/>
          <w:color w:val="auto"/>
        </w:rPr>
        <w:t xml:space="preserve"> </w:t>
      </w:r>
      <w:r>
        <w:rPr>
          <w:rFonts w:ascii="Arial" w:cs="Arial" w:eastAsia="Arial" w:hAnsi="Arial"/>
          <w:sz w:val="18"/>
          <w:szCs w:val="18"/>
          <w:color w:val="auto"/>
        </w:rPr>
        <w:t>largely driven by decreases in Canada due to lower mobile, open camp and product activity, somewhat mitigated by higher lodge occupancy and decreases in Australia due to lower occupancy at our villages in the Bowen Basin. This was partially offset by increases in Australia, resulting from increased occupancy at our villages in Western Australia, as well as stronger Canadian and Australian dollars in 2017 compared to 2016. Please see the discussion of segment results of operations below for further information.</w:t>
      </w:r>
    </w:p>
    <w:p>
      <w:pPr>
        <w:spacing w:after="0" w:line="184" w:lineRule="exact"/>
        <w:rPr>
          <w:sz w:val="20"/>
          <w:szCs w:val="20"/>
          <w:color w:val="auto"/>
        </w:rPr>
      </w:pPr>
    </w:p>
    <w:p>
      <w:pPr>
        <w:ind w:right="360" w:firstLine="324"/>
        <w:spacing w:after="0" w:line="303" w:lineRule="auto"/>
        <w:rPr>
          <w:sz w:val="20"/>
          <w:szCs w:val="20"/>
          <w:color w:val="auto"/>
        </w:rPr>
      </w:pPr>
      <w:r>
        <w:rPr>
          <w:rFonts w:ascii="Arial" w:cs="Arial" w:eastAsia="Arial" w:hAnsi="Arial"/>
          <w:sz w:val="16"/>
          <w:szCs w:val="16"/>
          <w:b w:val="1"/>
          <w:bCs w:val="1"/>
          <w:color w:val="auto"/>
        </w:rPr>
        <w:t xml:space="preserve">Cost of Sales and Services. </w:t>
      </w:r>
      <w:r>
        <w:rPr>
          <w:rFonts w:ascii="Arial" w:cs="Arial" w:eastAsia="Arial" w:hAnsi="Arial"/>
          <w:sz w:val="16"/>
          <w:szCs w:val="16"/>
          <w:color w:val="auto"/>
        </w:rPr>
        <w:t>Our consolidated cost of sales decreased $4.3 million, or 6%, in the first quarter of 2017 compared to the first quarter of</w:t>
      </w:r>
      <w:r>
        <w:rPr>
          <w:rFonts w:ascii="Arial" w:cs="Arial" w:eastAsia="Arial" w:hAnsi="Arial"/>
          <w:sz w:val="16"/>
          <w:szCs w:val="16"/>
          <w:b w:val="1"/>
          <w:bCs w:val="1"/>
          <w:color w:val="auto"/>
        </w:rPr>
        <w:t xml:space="preserve"> </w:t>
      </w:r>
      <w:r>
        <w:rPr>
          <w:rFonts w:ascii="Arial" w:cs="Arial" w:eastAsia="Arial" w:hAnsi="Arial"/>
          <w:sz w:val="16"/>
          <w:szCs w:val="16"/>
          <w:color w:val="auto"/>
        </w:rPr>
        <w:t>2016, primarily due to decreases in Canada due to lower mobile, open camp and product activity and in the U.S. due to a focus on cost containment and operational efficiencies. This was partially offset by increases in Australia, as well as stronger Canadian and Australian dollars in the first quarter of 2017 compared to the first quarter of 2016. Please see the discussion of segment results of operations below for further description.</w:t>
      </w:r>
    </w:p>
    <w:p>
      <w:pPr>
        <w:spacing w:after="0" w:line="3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21" w:name="page22"/>
    <w:bookmarkEnd w:id="21"/>
    <w:p>
      <w:pPr>
        <w:ind w:right="40" w:firstLine="324"/>
        <w:spacing w:after="0" w:line="258" w:lineRule="auto"/>
        <w:rPr>
          <w:sz w:val="20"/>
          <w:szCs w:val="20"/>
          <w:color w:val="auto"/>
        </w:rPr>
      </w:pPr>
      <w:r>
        <w:rPr>
          <w:rFonts w:ascii="Arial" w:cs="Arial" w:eastAsia="Arial" w:hAnsi="Arial"/>
          <w:sz w:val="18"/>
          <w:szCs w:val="18"/>
          <w:b w:val="1"/>
          <w:bCs w:val="1"/>
          <w:color w:val="auto"/>
        </w:rPr>
        <w:t xml:space="preserve">Selling, General and Administrative Expenses. </w:t>
      </w:r>
      <w:r>
        <w:rPr>
          <w:rFonts w:ascii="Arial" w:cs="Arial" w:eastAsia="Arial" w:hAnsi="Arial"/>
          <w:sz w:val="18"/>
          <w:szCs w:val="18"/>
          <w:color w:val="auto"/>
        </w:rPr>
        <w:t>SG&amp;A expense increased $1.1 million, or 8%, in the first quarter of 2017 compared to the first quarter</w:t>
      </w:r>
      <w:r>
        <w:rPr>
          <w:rFonts w:ascii="Arial" w:cs="Arial" w:eastAsia="Arial" w:hAnsi="Arial"/>
          <w:sz w:val="18"/>
          <w:szCs w:val="18"/>
          <w:b w:val="1"/>
          <w:bCs w:val="1"/>
          <w:color w:val="auto"/>
        </w:rPr>
        <w:t xml:space="preserve"> </w:t>
      </w:r>
      <w:r>
        <w:rPr>
          <w:rFonts w:ascii="Arial" w:cs="Arial" w:eastAsia="Arial" w:hAnsi="Arial"/>
          <w:sz w:val="18"/>
          <w:szCs w:val="18"/>
          <w:color w:val="auto"/>
        </w:rPr>
        <w:t>of 2016. This increase was primarily due to higher share-based compensation expense associated with phantom share awards. The increase in share-based compensation was largely due to an increase in our share price during the first quarter of 2017. We use current market prices to remeasure these awards at each reporting date. This increase was partially offset by reduced compensation as a result of workforce reductions in 2016 and lower professional fees when compared to 2016.</w:t>
      </w:r>
    </w:p>
    <w:p>
      <w:pPr>
        <w:spacing w:after="0" w:line="184" w:lineRule="exact"/>
        <w:rPr>
          <w:sz w:val="20"/>
          <w:szCs w:val="20"/>
          <w:color w:val="auto"/>
        </w:rPr>
      </w:pPr>
    </w:p>
    <w:p>
      <w:pPr>
        <w:ind w:right="100" w:firstLine="324"/>
        <w:spacing w:after="0" w:line="266" w:lineRule="auto"/>
        <w:rPr>
          <w:sz w:val="20"/>
          <w:szCs w:val="20"/>
          <w:color w:val="auto"/>
        </w:rPr>
      </w:pPr>
      <w:r>
        <w:rPr>
          <w:rFonts w:ascii="Arial" w:cs="Arial" w:eastAsia="Arial" w:hAnsi="Arial"/>
          <w:sz w:val="18"/>
          <w:szCs w:val="18"/>
          <w:b w:val="1"/>
          <w:bCs w:val="1"/>
          <w:color w:val="auto"/>
        </w:rPr>
        <w:t xml:space="preserve">Depreciation and Amortization Expense. </w:t>
      </w:r>
      <w:r>
        <w:rPr>
          <w:rFonts w:ascii="Arial" w:cs="Arial" w:eastAsia="Arial" w:hAnsi="Arial"/>
          <w:sz w:val="18"/>
          <w:szCs w:val="18"/>
          <w:color w:val="auto"/>
        </w:rPr>
        <w:t>Depreciation and amortization expense decreased $0.7 million, or 2%, in the first quarter of 2017 compared</w:t>
      </w:r>
      <w:r>
        <w:rPr>
          <w:rFonts w:ascii="Arial" w:cs="Arial" w:eastAsia="Arial" w:hAnsi="Arial"/>
          <w:sz w:val="18"/>
          <w:szCs w:val="18"/>
          <w:b w:val="1"/>
          <w:bCs w:val="1"/>
          <w:color w:val="auto"/>
        </w:rPr>
        <w:t xml:space="preserve"> </w:t>
      </w:r>
      <w:r>
        <w:rPr>
          <w:rFonts w:ascii="Arial" w:cs="Arial" w:eastAsia="Arial" w:hAnsi="Arial"/>
          <w:sz w:val="18"/>
          <w:szCs w:val="18"/>
          <w:color w:val="auto"/>
        </w:rPr>
        <w:t>to the first quarter of 2016, primarily due to reduced depreciation expense resulting from impairments recorded in 2016, partially offset by increased depreciation expense associated with an enterprise information system placed in service in 2017.</w:t>
      </w:r>
    </w:p>
    <w:p>
      <w:pPr>
        <w:spacing w:after="0" w:line="176" w:lineRule="exact"/>
        <w:rPr>
          <w:sz w:val="20"/>
          <w:szCs w:val="20"/>
          <w:color w:val="auto"/>
        </w:rPr>
      </w:pPr>
    </w:p>
    <w:p>
      <w:pPr>
        <w:ind w:right="180" w:firstLine="324"/>
        <w:spacing w:after="0" w:line="282" w:lineRule="auto"/>
        <w:rPr>
          <w:sz w:val="20"/>
          <w:szCs w:val="20"/>
          <w:color w:val="auto"/>
        </w:rPr>
      </w:pPr>
      <w:r>
        <w:rPr>
          <w:rFonts w:ascii="Arial" w:cs="Arial" w:eastAsia="Arial" w:hAnsi="Arial"/>
          <w:sz w:val="18"/>
          <w:szCs w:val="18"/>
          <w:b w:val="1"/>
          <w:bCs w:val="1"/>
          <w:color w:val="auto"/>
        </w:rPr>
        <w:t xml:space="preserve">Impairment Expense. </w:t>
      </w:r>
      <w:r>
        <w:rPr>
          <w:rFonts w:ascii="Arial" w:cs="Arial" w:eastAsia="Arial" w:hAnsi="Arial"/>
          <w:sz w:val="18"/>
          <w:szCs w:val="18"/>
          <w:color w:val="auto"/>
        </w:rPr>
        <w:t>We recorded pre-tax impairment expense of $8.4 million in the first quarter of 2016 related to the impairment of fixed assets in</w:t>
      </w:r>
      <w:r>
        <w:rPr>
          <w:rFonts w:ascii="Arial" w:cs="Arial" w:eastAsia="Arial" w:hAnsi="Arial"/>
          <w:sz w:val="18"/>
          <w:szCs w:val="18"/>
          <w:b w:val="1"/>
          <w:bCs w:val="1"/>
          <w:color w:val="auto"/>
        </w:rPr>
        <w:t xml:space="preserve"> </w:t>
      </w:r>
      <w:r>
        <w:rPr>
          <w:rFonts w:ascii="Arial" w:cs="Arial" w:eastAsia="Arial" w:hAnsi="Arial"/>
          <w:sz w:val="18"/>
          <w:szCs w:val="18"/>
          <w:color w:val="auto"/>
        </w:rPr>
        <w:t>our U.S. segment, due to a continued reduction of U.S. drilling activity in the Bakken Shale region.</w:t>
      </w:r>
    </w:p>
    <w:p>
      <w:pPr>
        <w:spacing w:after="0" w:line="162" w:lineRule="exact"/>
        <w:rPr>
          <w:sz w:val="20"/>
          <w:szCs w:val="20"/>
          <w:color w:val="auto"/>
        </w:rPr>
      </w:pPr>
    </w:p>
    <w:p>
      <w:pPr>
        <w:ind w:right="20" w:firstLine="324"/>
        <w:spacing w:after="0" w:line="282" w:lineRule="auto"/>
        <w:rPr>
          <w:sz w:val="20"/>
          <w:szCs w:val="20"/>
          <w:color w:val="auto"/>
        </w:rPr>
      </w:pPr>
      <w:r>
        <w:rPr>
          <w:rFonts w:ascii="Arial" w:cs="Arial" w:eastAsia="Arial" w:hAnsi="Arial"/>
          <w:sz w:val="18"/>
          <w:szCs w:val="18"/>
          <w:b w:val="1"/>
          <w:bCs w:val="1"/>
          <w:color w:val="auto"/>
        </w:rPr>
        <w:t xml:space="preserve">Operating Loss. </w:t>
      </w:r>
      <w:r>
        <w:rPr>
          <w:rFonts w:ascii="Arial" w:cs="Arial" w:eastAsia="Arial" w:hAnsi="Arial"/>
          <w:sz w:val="18"/>
          <w:szCs w:val="18"/>
          <w:color w:val="auto"/>
        </w:rPr>
        <w:t>Consolidated operating loss decreased $8.5 million, or 32%, in the first quarter of 2017 compared to the first quarter of 2016, primarily</w:t>
      </w:r>
      <w:r>
        <w:rPr>
          <w:rFonts w:ascii="Arial" w:cs="Arial" w:eastAsia="Arial" w:hAnsi="Arial"/>
          <w:sz w:val="18"/>
          <w:szCs w:val="18"/>
          <w:b w:val="1"/>
          <w:bCs w:val="1"/>
          <w:color w:val="auto"/>
        </w:rPr>
        <w:t xml:space="preserve"> </w:t>
      </w:r>
      <w:r>
        <w:rPr>
          <w:rFonts w:ascii="Arial" w:cs="Arial" w:eastAsia="Arial" w:hAnsi="Arial"/>
          <w:sz w:val="18"/>
          <w:szCs w:val="18"/>
          <w:color w:val="auto"/>
        </w:rPr>
        <w:t>due to the impairment expense recorded in the first quarter of 2016, which was not repeated in the first quarter of 2017.</w:t>
      </w:r>
    </w:p>
    <w:p>
      <w:pPr>
        <w:spacing w:after="0" w:line="216" w:lineRule="exact"/>
        <w:rPr>
          <w:sz w:val="20"/>
          <w:szCs w:val="20"/>
          <w:color w:val="auto"/>
        </w:rPr>
      </w:pPr>
    </w:p>
    <w:p>
      <w:pPr>
        <w:ind w:right="260" w:firstLine="324"/>
        <w:spacing w:after="0" w:line="258" w:lineRule="auto"/>
        <w:rPr>
          <w:sz w:val="20"/>
          <w:szCs w:val="20"/>
          <w:color w:val="auto"/>
        </w:rPr>
      </w:pPr>
      <w:r>
        <w:rPr>
          <w:rFonts w:ascii="Arial" w:cs="Arial" w:eastAsia="Arial" w:hAnsi="Arial"/>
          <w:sz w:val="18"/>
          <w:szCs w:val="18"/>
          <w:b w:val="1"/>
          <w:bCs w:val="1"/>
          <w:color w:val="auto"/>
        </w:rPr>
        <w:t xml:space="preserve">Interest Expense and Interest Income, net. </w:t>
      </w:r>
      <w:r>
        <w:rPr>
          <w:rFonts w:ascii="Arial" w:cs="Arial" w:eastAsia="Arial" w:hAnsi="Arial"/>
          <w:sz w:val="18"/>
          <w:szCs w:val="18"/>
          <w:color w:val="auto"/>
        </w:rPr>
        <w:t>Net interest expense increased by $1.2 million, or 23%, in the first quarter of 2017 compared to the first</w:t>
      </w:r>
      <w:r>
        <w:rPr>
          <w:rFonts w:ascii="Arial" w:cs="Arial" w:eastAsia="Arial" w:hAnsi="Arial"/>
          <w:sz w:val="18"/>
          <w:szCs w:val="18"/>
          <w:b w:val="1"/>
          <w:bCs w:val="1"/>
          <w:color w:val="auto"/>
        </w:rPr>
        <w:t xml:space="preserve"> </w:t>
      </w:r>
      <w:r>
        <w:rPr>
          <w:rFonts w:ascii="Arial" w:cs="Arial" w:eastAsia="Arial" w:hAnsi="Arial"/>
          <w:sz w:val="18"/>
          <w:szCs w:val="18"/>
          <w:color w:val="auto"/>
        </w:rPr>
        <w:t>quarter of 2016, primarily due to the 2017 write-off of $0.8 million of debt issuance costs associated with an amendment to the Credit Agreement (as compared to a $0.3 million write-off of debt issuance costs in the first quarter 2016) and higher interest rates on term loan and revolving credit facility borrowings, partially offset by lower amounts outstanding under the revolving credit facility in the first quarter of 2017 as compared to the first quarter of 2016.</w:t>
      </w:r>
    </w:p>
    <w:p>
      <w:pPr>
        <w:spacing w:after="0" w:line="184" w:lineRule="exact"/>
        <w:rPr>
          <w:sz w:val="20"/>
          <w:szCs w:val="20"/>
          <w:color w:val="auto"/>
        </w:rPr>
      </w:pPr>
    </w:p>
    <w:p>
      <w:pPr>
        <w:ind w:right="160" w:firstLine="324"/>
        <w:spacing w:after="0" w:line="261" w:lineRule="auto"/>
        <w:rPr>
          <w:sz w:val="20"/>
          <w:szCs w:val="20"/>
          <w:color w:val="auto"/>
        </w:rPr>
      </w:pPr>
      <w:r>
        <w:rPr>
          <w:rFonts w:ascii="Arial" w:cs="Arial" w:eastAsia="Arial" w:hAnsi="Arial"/>
          <w:sz w:val="18"/>
          <w:szCs w:val="18"/>
          <w:b w:val="1"/>
          <w:bCs w:val="1"/>
          <w:color w:val="auto"/>
        </w:rPr>
        <w:t xml:space="preserve">Income Tax Benefit. </w:t>
      </w:r>
      <w:r>
        <w:rPr>
          <w:rFonts w:ascii="Arial" w:cs="Arial" w:eastAsia="Arial" w:hAnsi="Arial"/>
          <w:sz w:val="18"/>
          <w:szCs w:val="18"/>
          <w:color w:val="auto"/>
        </w:rPr>
        <w:t>Our income tax benefit for the three months ended March 31, 2017 totaled $2.9 million, or 12.4% of pretax loss, compared to a</w:t>
      </w:r>
      <w:r>
        <w:rPr>
          <w:rFonts w:ascii="Arial" w:cs="Arial" w:eastAsia="Arial" w:hAnsi="Arial"/>
          <w:sz w:val="18"/>
          <w:szCs w:val="18"/>
          <w:b w:val="1"/>
          <w:bCs w:val="1"/>
          <w:color w:val="auto"/>
        </w:rPr>
        <w:t xml:space="preserve"> </w:t>
      </w:r>
      <w:r>
        <w:rPr>
          <w:rFonts w:ascii="Arial" w:cs="Arial" w:eastAsia="Arial" w:hAnsi="Arial"/>
          <w:sz w:val="18"/>
          <w:szCs w:val="18"/>
          <w:color w:val="auto"/>
        </w:rPr>
        <w:t>benefit of $4.6 million, or 14.6% of pretax loss, for the three months ended March 31, 2016. The decrease in the effective tax rate from the prior year was largely the result of a change in the earnings mix between different tax jurisdictions. In addition, 2017 and 2016 include discrete items totaling $0.6 million and $0.9 million, respectively.</w:t>
      </w:r>
    </w:p>
    <w:p>
      <w:pPr>
        <w:spacing w:after="0" w:line="234" w:lineRule="exact"/>
        <w:rPr>
          <w:sz w:val="20"/>
          <w:szCs w:val="20"/>
          <w:color w:val="auto"/>
        </w:rPr>
      </w:pPr>
    </w:p>
    <w:p>
      <w:pPr>
        <w:ind w:firstLine="324"/>
        <w:spacing w:after="0" w:line="303" w:lineRule="auto"/>
        <w:rPr>
          <w:sz w:val="20"/>
          <w:szCs w:val="20"/>
          <w:color w:val="auto"/>
        </w:rPr>
      </w:pPr>
      <w:r>
        <w:rPr>
          <w:rFonts w:ascii="Arial" w:cs="Arial" w:eastAsia="Arial" w:hAnsi="Arial"/>
          <w:sz w:val="16"/>
          <w:szCs w:val="16"/>
          <w:b w:val="1"/>
          <w:bCs w:val="1"/>
          <w:color w:val="auto"/>
        </w:rPr>
        <w:t xml:space="preserve">Other Comprehensive Income (Loss). </w:t>
      </w:r>
      <w:r>
        <w:rPr>
          <w:rFonts w:ascii="Arial" w:cs="Arial" w:eastAsia="Arial" w:hAnsi="Arial"/>
          <w:sz w:val="16"/>
          <w:szCs w:val="16"/>
          <w:color w:val="auto"/>
        </w:rPr>
        <w:t>Other comprehensive income decreased $11.4 million in the first quarter of 2017 compared to the first quarter of</w:t>
      </w:r>
      <w:r>
        <w:rPr>
          <w:rFonts w:ascii="Arial" w:cs="Arial" w:eastAsia="Arial" w:hAnsi="Arial"/>
          <w:sz w:val="16"/>
          <w:szCs w:val="16"/>
          <w:b w:val="1"/>
          <w:bCs w:val="1"/>
          <w:color w:val="auto"/>
        </w:rPr>
        <w:t xml:space="preserve"> </w:t>
      </w:r>
      <w:r>
        <w:rPr>
          <w:rFonts w:ascii="Arial" w:cs="Arial" w:eastAsia="Arial" w:hAnsi="Arial"/>
          <w:sz w:val="16"/>
          <w:szCs w:val="16"/>
          <w:color w:val="auto"/>
        </w:rPr>
        <w:t>2016, primarily as a result of foreign currency translation adjustments due to changes in the Canadian and Australian dollar exchange rates compared to the U.S. dollar. The Canadian dollar exchange rate to the U.S. dollar increased 1% in the first quarter of 2017 compared to a 7% increase in the first quarter of 2016. The Australian dollar exchange rate to the U.S. dollar increased 6% in the first quarter of 2017 compared to a 5% increase in the first quarter of 2016.</w:t>
      </w:r>
    </w:p>
    <w:p>
      <w:pPr>
        <w:spacing w:after="0" w:line="39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360"/>
          </w:cols>
          <w:pgMar w:left="240" w:top="580" w:right="299" w:bottom="1440" w:gutter="0" w:footer="0" w:header="0"/>
        </w:sectPr>
      </w:pPr>
    </w:p>
    <w:bookmarkStart w:id="22" w:name="page23"/>
    <w:bookmarkEnd w:id="22"/>
    <w:tbl>
      <w:tblPr>
        <w:tblLayout w:type="fixed"/>
        <w:tblInd w:w="0" w:type="dxa"/>
        <w:tblCellMar>
          <w:top w:w="0" w:type="dxa"/>
          <w:left w:w="0" w:type="dxa"/>
          <w:bottom w:w="0" w:type="dxa"/>
          <w:right w:w="0" w:type="dxa"/>
        </w:tblCellMar>
      </w:tblPr>
      <w:tr>
        <w:trPr>
          <w:trHeight w:val="230"/>
        </w:trPr>
        <w:tc>
          <w:tcPr>
            <w:tcW w:w="464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Segment Results of Operations – Canadian Segment</w:t>
            </w:r>
          </w:p>
        </w:tc>
        <w:tc>
          <w:tcPr>
            <w:tcW w:w="4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116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820" w:type="dxa"/>
            <w:vAlign w:val="bottom"/>
            <w:gridSpan w:val="8"/>
          </w:tcPr>
          <w:p>
            <w:pPr>
              <w:jc w:val="center"/>
              <w:ind w:left="170"/>
              <w:spacing w:after="0"/>
              <w:rPr>
                <w:sz w:val="20"/>
                <w:szCs w:val="20"/>
                <w:color w:val="auto"/>
              </w:rPr>
            </w:pPr>
            <w:r>
              <w:rPr>
                <w:rFonts w:ascii="Arial" w:cs="Arial" w:eastAsia="Arial" w:hAnsi="Arial"/>
                <w:sz w:val="18"/>
                <w:szCs w:val="18"/>
                <w:b w:val="1"/>
                <w:bCs w:val="1"/>
                <w:color w:val="auto"/>
              </w:rPr>
              <w:t>THREE MONTHS ENDED</w:t>
            </w:r>
          </w:p>
        </w:tc>
        <w:tc>
          <w:tcPr>
            <w:tcW w:w="1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1160" w:type="dxa"/>
            <w:vAlign w:val="bottom"/>
          </w:tcPr>
          <w:p>
            <w:pPr>
              <w:spacing w:after="0"/>
              <w:rPr>
                <w:sz w:val="20"/>
                <w:szCs w:val="20"/>
                <w:color w:val="auto"/>
              </w:rPr>
            </w:pPr>
          </w:p>
        </w:tc>
        <w:tc>
          <w:tcPr>
            <w:tcW w:w="34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gridSpan w:val="2"/>
          </w:tcPr>
          <w:p>
            <w:pPr>
              <w:jc w:val="center"/>
              <w:ind w:right="380"/>
              <w:spacing w:after="0"/>
              <w:rPr>
                <w:sz w:val="20"/>
                <w:szCs w:val="20"/>
                <w:color w:val="auto"/>
              </w:rPr>
            </w:pPr>
            <w:r>
              <w:rPr>
                <w:rFonts w:ascii="Arial" w:cs="Arial" w:eastAsia="Arial" w:hAnsi="Arial"/>
                <w:sz w:val="18"/>
                <w:szCs w:val="18"/>
                <w:b w:val="1"/>
                <w:bCs w:val="1"/>
                <w:color w:val="auto"/>
                <w:w w:val="98"/>
              </w:rPr>
              <w:t>MARCH 31,</w:t>
            </w:r>
          </w:p>
        </w:tc>
        <w:tc>
          <w:tcPr>
            <w:tcW w:w="6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34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2017</w:t>
            </w:r>
          </w:p>
        </w:tc>
        <w:tc>
          <w:tcPr>
            <w:tcW w:w="54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b w:val="1"/>
                <w:bCs w:val="1"/>
                <w:color w:val="auto"/>
                <w:w w:val="89"/>
              </w:rPr>
              <w:t>2016</w:t>
            </w: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Change</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3480" w:type="dxa"/>
            <w:vAlign w:val="bottom"/>
            <w:shd w:val="clear" w:color="auto" w:fill="CCEEFF"/>
          </w:tcPr>
          <w:p>
            <w:pPr>
              <w:spacing w:after="0"/>
              <w:rPr>
                <w:sz w:val="20"/>
                <w:szCs w:val="20"/>
                <w:color w:val="auto"/>
              </w:rPr>
            </w:pPr>
            <w:r>
              <w:rPr>
                <w:rFonts w:ascii="Arial" w:cs="Arial" w:eastAsia="Arial" w:hAnsi="Arial"/>
                <w:sz w:val="18"/>
                <w:szCs w:val="18"/>
                <w:color w:val="auto"/>
              </w:rPr>
              <w:t>Revenues ($ in thousands)</w:t>
            </w:r>
          </w:p>
        </w:tc>
        <w:tc>
          <w:tcPr>
            <w:tcW w:w="4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480" w:type="dxa"/>
            <w:vAlign w:val="bottom"/>
          </w:tcPr>
          <w:p>
            <w:pPr>
              <w:ind w:left="160"/>
              <w:spacing w:after="0"/>
              <w:rPr>
                <w:sz w:val="20"/>
                <w:szCs w:val="20"/>
                <w:color w:val="auto"/>
              </w:rPr>
            </w:pPr>
            <w:r>
              <w:rPr>
                <w:rFonts w:ascii="Arial" w:cs="Arial" w:eastAsia="Arial" w:hAnsi="Arial"/>
                <w:sz w:val="18"/>
                <w:szCs w:val="18"/>
                <w:color w:val="auto"/>
              </w:rPr>
              <w:t>Lodge revenue (1)</w:t>
            </w:r>
          </w:p>
        </w:tc>
        <w:tc>
          <w:tcPr>
            <w:tcW w:w="1400" w:type="dxa"/>
            <w:vAlign w:val="bottom"/>
            <w:gridSpan w:val="2"/>
          </w:tcPr>
          <w:p>
            <w:pPr>
              <w:jc w:val="right"/>
              <w:ind w:right="81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w w:val="94"/>
              </w:rPr>
              <w:t>55,920</w:t>
            </w:r>
          </w:p>
        </w:tc>
        <w:tc>
          <w:tcPr>
            <w:tcW w:w="200" w:type="dxa"/>
            <w:vAlign w:val="bottom"/>
          </w:tcPr>
          <w:p>
            <w:pPr>
              <w:spacing w:after="0"/>
              <w:rPr>
                <w:sz w:val="18"/>
                <w:szCs w:val="18"/>
                <w:color w:val="auto"/>
              </w:rPr>
            </w:pPr>
          </w:p>
        </w:tc>
        <w:tc>
          <w:tcPr>
            <w:tcW w:w="2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54,886</w:t>
            </w:r>
          </w:p>
        </w:tc>
        <w:tc>
          <w:tcPr>
            <w:tcW w:w="180" w:type="dxa"/>
            <w:vAlign w:val="bottom"/>
          </w:tcPr>
          <w:p>
            <w:pPr>
              <w:spacing w:after="0"/>
              <w:rPr>
                <w:sz w:val="18"/>
                <w:szCs w:val="18"/>
                <w:color w:val="auto"/>
              </w:rPr>
            </w:pPr>
          </w:p>
        </w:tc>
        <w:tc>
          <w:tcPr>
            <w:tcW w:w="3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1,034</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4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Mobile, open camp and product revenue</w:t>
            </w:r>
          </w:p>
        </w:tc>
        <w:tc>
          <w:tcPr>
            <w:tcW w:w="4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4,586</w:t>
            </w: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10,636</w:t>
            </w: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(6,050)</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3480" w:type="dxa"/>
            <w:vAlign w:val="bottom"/>
            <w:shd w:val="clear" w:color="auto" w:fill="CCEEFF"/>
          </w:tcPr>
          <w:p>
            <w:pPr>
              <w:spacing w:after="0" w:line="20" w:lineRule="exact"/>
              <w:rPr>
                <w:sz w:val="1"/>
                <w:szCs w:val="1"/>
                <w:color w:val="auto"/>
              </w:rPr>
            </w:pPr>
          </w:p>
        </w:tc>
        <w:tc>
          <w:tcPr>
            <w:tcW w:w="420" w:type="dxa"/>
            <w:vAlign w:val="bottom"/>
            <w:shd w:val="clear" w:color="auto" w:fill="CCEEFF"/>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160" w:type="dxa"/>
            <w:vAlign w:val="bottom"/>
          </w:tcPr>
          <w:p>
            <w:pPr>
              <w:spacing w:after="0"/>
              <w:rPr>
                <w:sz w:val="18"/>
                <w:szCs w:val="18"/>
                <w:color w:val="auto"/>
              </w:rPr>
            </w:pPr>
          </w:p>
        </w:tc>
        <w:tc>
          <w:tcPr>
            <w:tcW w:w="3480" w:type="dxa"/>
            <w:vAlign w:val="bottom"/>
          </w:tcPr>
          <w:p>
            <w:pPr>
              <w:ind w:left="320"/>
              <w:spacing w:after="0"/>
              <w:rPr>
                <w:sz w:val="20"/>
                <w:szCs w:val="20"/>
                <w:color w:val="auto"/>
              </w:rPr>
            </w:pPr>
            <w:r>
              <w:rPr>
                <w:rFonts w:ascii="Arial" w:cs="Arial" w:eastAsia="Arial" w:hAnsi="Arial"/>
                <w:sz w:val="18"/>
                <w:szCs w:val="18"/>
                <w:color w:val="auto"/>
              </w:rPr>
              <w:t>Total revenues</w:t>
            </w:r>
          </w:p>
        </w:tc>
        <w:tc>
          <w:tcPr>
            <w:tcW w:w="1400" w:type="dxa"/>
            <w:vAlign w:val="bottom"/>
            <w:gridSpan w:val="2"/>
          </w:tcPr>
          <w:p>
            <w:pPr>
              <w:jc w:val="right"/>
              <w:ind w:right="81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w w:val="94"/>
              </w:rPr>
              <w:t>60,506</w:t>
            </w:r>
          </w:p>
        </w:tc>
        <w:tc>
          <w:tcPr>
            <w:tcW w:w="200" w:type="dxa"/>
            <w:vAlign w:val="bottom"/>
          </w:tcPr>
          <w:p>
            <w:pPr>
              <w:spacing w:after="0"/>
              <w:rPr>
                <w:sz w:val="18"/>
                <w:szCs w:val="18"/>
                <w:color w:val="auto"/>
              </w:rPr>
            </w:pPr>
          </w:p>
        </w:tc>
        <w:tc>
          <w:tcPr>
            <w:tcW w:w="2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65,522</w:t>
            </w:r>
          </w:p>
        </w:tc>
        <w:tc>
          <w:tcPr>
            <w:tcW w:w="180" w:type="dxa"/>
            <w:vAlign w:val="bottom"/>
          </w:tcPr>
          <w:p>
            <w:pPr>
              <w:spacing w:after="0"/>
              <w:rPr>
                <w:sz w:val="18"/>
                <w:szCs w:val="18"/>
                <w:color w:val="auto"/>
              </w:rPr>
            </w:pPr>
          </w:p>
        </w:tc>
        <w:tc>
          <w:tcPr>
            <w:tcW w:w="3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(5,016)</w:t>
            </w:r>
          </w:p>
        </w:tc>
        <w:tc>
          <w:tcPr>
            <w:tcW w:w="0" w:type="dxa"/>
            <w:vAlign w:val="bottom"/>
          </w:tcPr>
          <w:p>
            <w:pPr>
              <w:spacing w:after="0"/>
              <w:rPr>
                <w:sz w:val="1"/>
                <w:szCs w:val="1"/>
                <w:color w:val="auto"/>
              </w:rPr>
            </w:pPr>
          </w:p>
        </w:tc>
      </w:tr>
      <w:tr>
        <w:trPr>
          <w:trHeight w:val="216"/>
        </w:trPr>
        <w:tc>
          <w:tcPr>
            <w:tcW w:w="1160" w:type="dxa"/>
            <w:vAlign w:val="bottom"/>
            <w:vMerge w:val="restart"/>
          </w:tcPr>
          <w:p>
            <w:pPr>
              <w:spacing w:after="0"/>
              <w:rPr>
                <w:sz w:val="18"/>
                <w:szCs w:val="18"/>
                <w:color w:val="auto"/>
              </w:rPr>
            </w:pPr>
          </w:p>
        </w:tc>
        <w:tc>
          <w:tcPr>
            <w:tcW w:w="34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gridSpan w:val="2"/>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20" w:type="dxa"/>
            <w:vAlign w:val="bottom"/>
            <w:gridSpan w:val="2"/>
            <w:shd w:val="clear" w:color="auto" w:fill="CCEEFF"/>
          </w:tcPr>
          <w:p>
            <w:pPr>
              <w:spacing w:after="0"/>
              <w:rPr>
                <w:sz w:val="18"/>
                <w:szCs w:val="18"/>
                <w:color w:val="auto"/>
              </w:rPr>
            </w:pPr>
          </w:p>
        </w:tc>
        <w:tc>
          <w:tcPr>
            <w:tcW w:w="142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vMerge w:val="continue"/>
          </w:tcPr>
          <w:p>
            <w:pPr>
              <w:spacing w:after="0"/>
              <w:rPr>
                <w:sz w:val="18"/>
                <w:szCs w:val="18"/>
                <w:color w:val="auto"/>
              </w:rPr>
            </w:pPr>
          </w:p>
        </w:tc>
        <w:tc>
          <w:tcPr>
            <w:tcW w:w="3480" w:type="dxa"/>
            <w:vAlign w:val="bottom"/>
          </w:tcPr>
          <w:p>
            <w:pPr>
              <w:spacing w:after="0"/>
              <w:rPr>
                <w:sz w:val="20"/>
                <w:szCs w:val="20"/>
                <w:color w:val="auto"/>
              </w:rPr>
            </w:pPr>
            <w:r>
              <w:rPr>
                <w:rFonts w:ascii="Arial" w:cs="Arial" w:eastAsia="Arial" w:hAnsi="Arial"/>
                <w:sz w:val="18"/>
                <w:szCs w:val="18"/>
                <w:color w:val="auto"/>
              </w:rPr>
              <w:t>Cost of sales and services ($ in thousands)</w:t>
            </w:r>
          </w:p>
        </w:tc>
        <w:tc>
          <w:tcPr>
            <w:tcW w:w="1400" w:type="dxa"/>
            <w:vAlign w:val="bottom"/>
            <w:gridSpan w:val="2"/>
          </w:tcPr>
          <w:p>
            <w:pPr>
              <w:jc w:val="right"/>
              <w:ind w:right="81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w w:val="94"/>
              </w:rPr>
              <w:t>43,288</w:t>
            </w:r>
          </w:p>
        </w:tc>
        <w:tc>
          <w:tcPr>
            <w:tcW w:w="200" w:type="dxa"/>
            <w:vAlign w:val="bottom"/>
          </w:tcPr>
          <w:p>
            <w:pPr>
              <w:spacing w:after="0"/>
              <w:rPr>
                <w:sz w:val="18"/>
                <w:szCs w:val="18"/>
                <w:color w:val="auto"/>
              </w:rPr>
            </w:pPr>
          </w:p>
        </w:tc>
        <w:tc>
          <w:tcPr>
            <w:tcW w:w="2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47,764</w:t>
            </w:r>
          </w:p>
        </w:tc>
        <w:tc>
          <w:tcPr>
            <w:tcW w:w="180" w:type="dxa"/>
            <w:vAlign w:val="bottom"/>
          </w:tcPr>
          <w:p>
            <w:pPr>
              <w:spacing w:after="0"/>
              <w:rPr>
                <w:sz w:val="18"/>
                <w:szCs w:val="18"/>
                <w:color w:val="auto"/>
              </w:rPr>
            </w:pPr>
          </w:p>
        </w:tc>
        <w:tc>
          <w:tcPr>
            <w:tcW w:w="3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(4,476)</w:t>
            </w:r>
          </w:p>
        </w:tc>
        <w:tc>
          <w:tcPr>
            <w:tcW w:w="0" w:type="dxa"/>
            <w:vAlign w:val="bottom"/>
          </w:tcPr>
          <w:p>
            <w:pPr>
              <w:spacing w:after="0"/>
              <w:rPr>
                <w:sz w:val="1"/>
                <w:szCs w:val="1"/>
                <w:color w:val="auto"/>
              </w:rPr>
            </w:pPr>
          </w:p>
        </w:tc>
      </w:tr>
      <w:tr>
        <w:trPr>
          <w:trHeight w:val="216"/>
        </w:trPr>
        <w:tc>
          <w:tcPr>
            <w:tcW w:w="1160" w:type="dxa"/>
            <w:vAlign w:val="bottom"/>
            <w:vMerge w:val="restart"/>
          </w:tcPr>
          <w:p>
            <w:pPr>
              <w:spacing w:after="0"/>
              <w:rPr>
                <w:sz w:val="18"/>
                <w:szCs w:val="18"/>
                <w:color w:val="auto"/>
              </w:rPr>
            </w:pPr>
          </w:p>
        </w:tc>
        <w:tc>
          <w:tcPr>
            <w:tcW w:w="34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vMerge w:val="continue"/>
          </w:tcPr>
          <w:p>
            <w:pPr>
              <w:spacing w:after="0"/>
              <w:rPr>
                <w:sz w:val="18"/>
                <w:szCs w:val="18"/>
                <w:color w:val="auto"/>
              </w:rPr>
            </w:pPr>
          </w:p>
        </w:tc>
        <w:tc>
          <w:tcPr>
            <w:tcW w:w="3480" w:type="dxa"/>
            <w:vAlign w:val="bottom"/>
          </w:tcPr>
          <w:p>
            <w:pPr>
              <w:spacing w:after="0"/>
              <w:rPr>
                <w:sz w:val="20"/>
                <w:szCs w:val="20"/>
                <w:color w:val="auto"/>
              </w:rPr>
            </w:pPr>
            <w:r>
              <w:rPr>
                <w:rFonts w:ascii="Arial" w:cs="Arial" w:eastAsia="Arial" w:hAnsi="Arial"/>
                <w:sz w:val="18"/>
                <w:szCs w:val="18"/>
                <w:color w:val="auto"/>
              </w:rPr>
              <w:t>Gross margin as a % of revenues</w:t>
            </w:r>
          </w:p>
        </w:tc>
        <w:tc>
          <w:tcPr>
            <w:tcW w:w="4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28.5%</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40" w:type="dxa"/>
            <w:vAlign w:val="bottom"/>
            <w:gridSpan w:val="2"/>
          </w:tcPr>
          <w:p>
            <w:pPr>
              <w:jc w:val="right"/>
              <w:ind w:right="40"/>
              <w:spacing w:after="0"/>
              <w:rPr>
                <w:sz w:val="20"/>
                <w:szCs w:val="20"/>
                <w:color w:val="auto"/>
              </w:rPr>
            </w:pPr>
            <w:r>
              <w:rPr>
                <w:rFonts w:ascii="Arial" w:cs="Arial" w:eastAsia="Arial" w:hAnsi="Arial"/>
                <w:sz w:val="18"/>
                <w:szCs w:val="18"/>
                <w:color w:val="auto"/>
              </w:rPr>
              <w:t>27.1%</w:t>
            </w: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20" w:type="dxa"/>
            <w:vAlign w:val="bottom"/>
            <w:gridSpan w:val="2"/>
          </w:tcPr>
          <w:p>
            <w:pPr>
              <w:jc w:val="right"/>
              <w:ind w:right="2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1160" w:type="dxa"/>
            <w:vAlign w:val="bottom"/>
            <w:vMerge w:val="restart"/>
          </w:tcPr>
          <w:p>
            <w:pPr>
              <w:spacing w:after="0"/>
              <w:rPr>
                <w:sz w:val="18"/>
                <w:szCs w:val="18"/>
                <w:color w:val="auto"/>
              </w:rPr>
            </w:pPr>
          </w:p>
        </w:tc>
        <w:tc>
          <w:tcPr>
            <w:tcW w:w="34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vMerge w:val="continue"/>
          </w:tcPr>
          <w:p>
            <w:pPr>
              <w:spacing w:after="0"/>
              <w:rPr>
                <w:sz w:val="18"/>
                <w:szCs w:val="18"/>
                <w:color w:val="auto"/>
              </w:rPr>
            </w:pPr>
          </w:p>
        </w:tc>
        <w:tc>
          <w:tcPr>
            <w:tcW w:w="3480" w:type="dxa"/>
            <w:vAlign w:val="bottom"/>
          </w:tcPr>
          <w:p>
            <w:pPr>
              <w:spacing w:after="0"/>
              <w:rPr>
                <w:sz w:val="20"/>
                <w:szCs w:val="20"/>
                <w:color w:val="auto"/>
              </w:rPr>
            </w:pPr>
            <w:r>
              <w:rPr>
                <w:rFonts w:ascii="Arial" w:cs="Arial" w:eastAsia="Arial" w:hAnsi="Arial"/>
                <w:sz w:val="18"/>
                <w:szCs w:val="18"/>
                <w:color w:val="auto"/>
              </w:rPr>
              <w:t>Average available lodge rooms (2)</w:t>
            </w:r>
          </w:p>
        </w:tc>
        <w:tc>
          <w:tcPr>
            <w:tcW w:w="4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4"/>
              </w:rPr>
              <w:t>14,720</w:t>
            </w: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14,602</w:t>
            </w: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118</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vMerge w:val="restart"/>
          </w:tcPr>
          <w:p>
            <w:pPr>
              <w:spacing w:after="0"/>
              <w:rPr>
                <w:sz w:val="18"/>
                <w:szCs w:val="18"/>
                <w:color w:val="auto"/>
              </w:rPr>
            </w:pPr>
          </w:p>
        </w:tc>
        <w:tc>
          <w:tcPr>
            <w:tcW w:w="34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vMerge w:val="continue"/>
          </w:tcPr>
          <w:p>
            <w:pPr>
              <w:spacing w:after="0"/>
              <w:rPr>
                <w:sz w:val="18"/>
                <w:szCs w:val="18"/>
                <w:color w:val="auto"/>
              </w:rPr>
            </w:pPr>
          </w:p>
        </w:tc>
        <w:tc>
          <w:tcPr>
            <w:tcW w:w="3480" w:type="dxa"/>
            <w:vAlign w:val="bottom"/>
          </w:tcPr>
          <w:p>
            <w:pPr>
              <w:spacing w:after="0"/>
              <w:rPr>
                <w:sz w:val="20"/>
                <w:szCs w:val="20"/>
                <w:color w:val="auto"/>
              </w:rPr>
            </w:pPr>
            <w:r>
              <w:rPr>
                <w:rFonts w:ascii="Arial" w:cs="Arial" w:eastAsia="Arial" w:hAnsi="Arial"/>
                <w:sz w:val="18"/>
                <w:szCs w:val="18"/>
                <w:color w:val="auto"/>
              </w:rPr>
              <w:t>Rentable rooms for lodges (3)</w:t>
            </w:r>
          </w:p>
        </w:tc>
        <w:tc>
          <w:tcPr>
            <w:tcW w:w="4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8,859</w:t>
            </w: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9,103</w:t>
            </w: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(244)</w:t>
            </w:r>
          </w:p>
        </w:tc>
        <w:tc>
          <w:tcPr>
            <w:tcW w:w="0" w:type="dxa"/>
            <w:vAlign w:val="bottom"/>
          </w:tcPr>
          <w:p>
            <w:pPr>
              <w:spacing w:after="0"/>
              <w:rPr>
                <w:sz w:val="1"/>
                <w:szCs w:val="1"/>
                <w:color w:val="auto"/>
              </w:rPr>
            </w:pPr>
          </w:p>
        </w:tc>
      </w:tr>
      <w:tr>
        <w:trPr>
          <w:trHeight w:val="216"/>
        </w:trPr>
        <w:tc>
          <w:tcPr>
            <w:tcW w:w="1160" w:type="dxa"/>
            <w:vAlign w:val="bottom"/>
            <w:vMerge w:val="restart"/>
          </w:tcPr>
          <w:p>
            <w:pPr>
              <w:spacing w:after="0"/>
              <w:rPr>
                <w:sz w:val="18"/>
                <w:szCs w:val="18"/>
                <w:color w:val="auto"/>
              </w:rPr>
            </w:pPr>
          </w:p>
        </w:tc>
        <w:tc>
          <w:tcPr>
            <w:tcW w:w="34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gridSpan w:val="2"/>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20" w:type="dxa"/>
            <w:vAlign w:val="bottom"/>
            <w:gridSpan w:val="2"/>
            <w:shd w:val="clear" w:color="auto" w:fill="CCEEFF"/>
          </w:tcPr>
          <w:p>
            <w:pPr>
              <w:spacing w:after="0"/>
              <w:rPr>
                <w:sz w:val="18"/>
                <w:szCs w:val="18"/>
                <w:color w:val="auto"/>
              </w:rPr>
            </w:pPr>
          </w:p>
        </w:tc>
        <w:tc>
          <w:tcPr>
            <w:tcW w:w="142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vMerge w:val="continue"/>
          </w:tcPr>
          <w:p>
            <w:pPr>
              <w:spacing w:after="0"/>
              <w:rPr>
                <w:sz w:val="18"/>
                <w:szCs w:val="18"/>
                <w:color w:val="auto"/>
              </w:rPr>
            </w:pPr>
          </w:p>
        </w:tc>
        <w:tc>
          <w:tcPr>
            <w:tcW w:w="3480" w:type="dxa"/>
            <w:vAlign w:val="bottom"/>
          </w:tcPr>
          <w:p>
            <w:pPr>
              <w:spacing w:after="0"/>
              <w:rPr>
                <w:sz w:val="20"/>
                <w:szCs w:val="20"/>
                <w:color w:val="auto"/>
              </w:rPr>
            </w:pPr>
            <w:r>
              <w:rPr>
                <w:rFonts w:ascii="Arial" w:cs="Arial" w:eastAsia="Arial" w:hAnsi="Arial"/>
                <w:sz w:val="18"/>
                <w:szCs w:val="18"/>
                <w:color w:val="auto"/>
              </w:rPr>
              <w:t>Average daily rate for lodges (4)</w:t>
            </w:r>
          </w:p>
        </w:tc>
        <w:tc>
          <w:tcPr>
            <w:tcW w:w="1400" w:type="dxa"/>
            <w:vAlign w:val="bottom"/>
            <w:gridSpan w:val="2"/>
          </w:tcPr>
          <w:p>
            <w:pPr>
              <w:jc w:val="right"/>
              <w:ind w:right="81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97</w:t>
            </w:r>
          </w:p>
        </w:tc>
        <w:tc>
          <w:tcPr>
            <w:tcW w:w="200" w:type="dxa"/>
            <w:vAlign w:val="bottom"/>
          </w:tcPr>
          <w:p>
            <w:pPr>
              <w:spacing w:after="0"/>
              <w:rPr>
                <w:sz w:val="18"/>
                <w:szCs w:val="18"/>
                <w:color w:val="auto"/>
              </w:rPr>
            </w:pPr>
          </w:p>
        </w:tc>
        <w:tc>
          <w:tcPr>
            <w:tcW w:w="2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111</w:t>
            </w:r>
          </w:p>
        </w:tc>
        <w:tc>
          <w:tcPr>
            <w:tcW w:w="180" w:type="dxa"/>
            <w:vAlign w:val="bottom"/>
          </w:tcPr>
          <w:p>
            <w:pPr>
              <w:spacing w:after="0"/>
              <w:rPr>
                <w:sz w:val="18"/>
                <w:szCs w:val="18"/>
                <w:color w:val="auto"/>
              </w:rPr>
            </w:pPr>
          </w:p>
        </w:tc>
        <w:tc>
          <w:tcPr>
            <w:tcW w:w="3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1160" w:type="dxa"/>
            <w:vAlign w:val="bottom"/>
            <w:vMerge w:val="restart"/>
          </w:tcPr>
          <w:p>
            <w:pPr>
              <w:spacing w:after="0"/>
              <w:rPr>
                <w:sz w:val="18"/>
                <w:szCs w:val="18"/>
                <w:color w:val="auto"/>
              </w:rPr>
            </w:pPr>
          </w:p>
        </w:tc>
        <w:tc>
          <w:tcPr>
            <w:tcW w:w="34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vMerge w:val="continue"/>
          </w:tcPr>
          <w:p>
            <w:pPr>
              <w:spacing w:after="0"/>
              <w:rPr>
                <w:sz w:val="18"/>
                <w:szCs w:val="18"/>
                <w:color w:val="auto"/>
              </w:rPr>
            </w:pPr>
          </w:p>
        </w:tc>
        <w:tc>
          <w:tcPr>
            <w:tcW w:w="3480" w:type="dxa"/>
            <w:vAlign w:val="bottom"/>
          </w:tcPr>
          <w:p>
            <w:pPr>
              <w:spacing w:after="0"/>
              <w:rPr>
                <w:sz w:val="20"/>
                <w:szCs w:val="20"/>
                <w:color w:val="auto"/>
              </w:rPr>
            </w:pPr>
            <w:r>
              <w:rPr>
                <w:rFonts w:ascii="Arial" w:cs="Arial" w:eastAsia="Arial" w:hAnsi="Arial"/>
                <w:sz w:val="18"/>
                <w:szCs w:val="18"/>
                <w:color w:val="auto"/>
              </w:rPr>
              <w:t>Occupancy in lodges (5)</w:t>
            </w:r>
          </w:p>
        </w:tc>
        <w:tc>
          <w:tcPr>
            <w:tcW w:w="4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72%</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40" w:type="dxa"/>
            <w:vAlign w:val="bottom"/>
            <w:gridSpan w:val="2"/>
          </w:tcPr>
          <w:p>
            <w:pPr>
              <w:jc w:val="right"/>
              <w:ind w:right="40"/>
              <w:spacing w:after="0"/>
              <w:rPr>
                <w:sz w:val="20"/>
                <w:szCs w:val="20"/>
                <w:color w:val="auto"/>
              </w:rPr>
            </w:pPr>
            <w:r>
              <w:rPr>
                <w:rFonts w:ascii="Arial" w:cs="Arial" w:eastAsia="Arial" w:hAnsi="Arial"/>
                <w:sz w:val="18"/>
                <w:szCs w:val="18"/>
                <w:color w:val="auto"/>
              </w:rPr>
              <w:t>60%</w:t>
            </w: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20" w:type="dxa"/>
            <w:vAlign w:val="bottom"/>
            <w:gridSpan w:val="2"/>
          </w:tcPr>
          <w:p>
            <w:pPr>
              <w:jc w:val="right"/>
              <w:ind w:right="2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1160" w:type="dxa"/>
            <w:vAlign w:val="bottom"/>
            <w:vMerge w:val="restart"/>
          </w:tcPr>
          <w:p>
            <w:pPr>
              <w:spacing w:after="0"/>
              <w:rPr>
                <w:sz w:val="18"/>
                <w:szCs w:val="18"/>
                <w:color w:val="auto"/>
              </w:rPr>
            </w:pPr>
          </w:p>
        </w:tc>
        <w:tc>
          <w:tcPr>
            <w:tcW w:w="34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gridSpan w:val="2"/>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20" w:type="dxa"/>
            <w:vAlign w:val="bottom"/>
            <w:gridSpan w:val="2"/>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160" w:type="dxa"/>
            <w:vAlign w:val="bottom"/>
            <w:vMerge w:val="continue"/>
          </w:tcPr>
          <w:p>
            <w:pPr>
              <w:spacing w:after="0"/>
              <w:rPr>
                <w:sz w:val="20"/>
                <w:szCs w:val="20"/>
                <w:color w:val="auto"/>
              </w:rPr>
            </w:pPr>
          </w:p>
        </w:tc>
        <w:tc>
          <w:tcPr>
            <w:tcW w:w="3480" w:type="dxa"/>
            <w:vAlign w:val="bottom"/>
          </w:tcPr>
          <w:p>
            <w:pPr>
              <w:spacing w:after="0"/>
              <w:rPr>
                <w:sz w:val="20"/>
                <w:szCs w:val="20"/>
                <w:color w:val="auto"/>
              </w:rPr>
            </w:pPr>
            <w:r>
              <w:rPr>
                <w:rFonts w:ascii="Arial" w:cs="Arial" w:eastAsia="Arial" w:hAnsi="Arial"/>
                <w:sz w:val="18"/>
                <w:szCs w:val="18"/>
                <w:color w:val="auto"/>
              </w:rPr>
              <w:t>Average Canadian dollar to U.S. dollar</w:t>
            </w:r>
          </w:p>
        </w:tc>
        <w:tc>
          <w:tcPr>
            <w:tcW w:w="1400" w:type="dxa"/>
            <w:vAlign w:val="bottom"/>
            <w:gridSpan w:val="2"/>
          </w:tcPr>
          <w:p>
            <w:pPr>
              <w:jc w:val="right"/>
              <w:ind w:right="81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0.756</w:t>
            </w:r>
          </w:p>
        </w:tc>
        <w:tc>
          <w:tcPr>
            <w:tcW w:w="200" w:type="dxa"/>
            <w:vAlign w:val="bottom"/>
          </w:tcPr>
          <w:p>
            <w:pPr>
              <w:spacing w:after="0"/>
              <w:rPr>
                <w:sz w:val="20"/>
                <w:szCs w:val="20"/>
                <w:color w:val="auto"/>
              </w:rPr>
            </w:pPr>
          </w:p>
        </w:tc>
        <w:tc>
          <w:tcPr>
            <w:tcW w:w="2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0.728</w:t>
            </w:r>
          </w:p>
        </w:tc>
        <w:tc>
          <w:tcPr>
            <w:tcW w:w="180" w:type="dxa"/>
            <w:vAlign w:val="bottom"/>
          </w:tcPr>
          <w:p>
            <w:pPr>
              <w:spacing w:after="0"/>
              <w:rPr>
                <w:sz w:val="20"/>
                <w:szCs w:val="20"/>
                <w:color w:val="auto"/>
              </w:rPr>
            </w:pPr>
          </w:p>
        </w:tc>
        <w:tc>
          <w:tcPr>
            <w:tcW w:w="3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0.028</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519430</wp:posOffset>
            </wp:positionH>
            <wp:positionV relativeFrom="paragraph">
              <wp:posOffset>102235</wp:posOffset>
            </wp:positionV>
            <wp:extent cx="82867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828675" cy="8890"/>
                    </a:xfrm>
                    <a:prstGeom prst="rect">
                      <a:avLst/>
                    </a:prstGeom>
                    <a:noFill/>
                  </pic:spPr>
                </pic:pic>
              </a:graphicData>
            </a:graphic>
          </wp:anchor>
        </w:drawing>
      </w:r>
    </w:p>
    <w:p>
      <w:pPr>
        <w:spacing w:after="0" w:line="167" w:lineRule="exact"/>
        <w:rPr>
          <w:sz w:val="20"/>
          <w:szCs w:val="20"/>
          <w:color w:val="auto"/>
        </w:rPr>
      </w:pPr>
    </w:p>
    <w:p>
      <w:pPr>
        <w:ind w:left="980" w:hanging="324"/>
        <w:spacing w:after="0"/>
        <w:tabs>
          <w:tab w:leader="none" w:pos="980" w:val="left"/>
        </w:tabs>
        <w:numPr>
          <w:ilvl w:val="0"/>
          <w:numId w:val="17"/>
        </w:numPr>
        <w:rPr>
          <w:rFonts w:ascii="Arial" w:cs="Arial" w:eastAsia="Arial" w:hAnsi="Arial"/>
          <w:sz w:val="16"/>
          <w:szCs w:val="16"/>
          <w:color w:val="auto"/>
        </w:rPr>
      </w:pPr>
      <w:r>
        <w:rPr>
          <w:rFonts w:ascii="Arial" w:cs="Arial" w:eastAsia="Arial" w:hAnsi="Arial"/>
          <w:sz w:val="16"/>
          <w:szCs w:val="16"/>
          <w:color w:val="auto"/>
        </w:rPr>
        <w:t>Includes revenues related to rooms as well as the fees associated with catering, laundry and other services including facilities management.</w:t>
      </w:r>
    </w:p>
    <w:p>
      <w:pPr>
        <w:spacing w:after="0" w:line="248" w:lineRule="exact"/>
        <w:rPr>
          <w:rFonts w:ascii="Arial" w:cs="Arial" w:eastAsia="Arial" w:hAnsi="Arial"/>
          <w:sz w:val="16"/>
          <w:szCs w:val="16"/>
          <w:color w:val="auto"/>
        </w:rPr>
      </w:pPr>
    </w:p>
    <w:p>
      <w:pPr>
        <w:ind w:left="980" w:hanging="324"/>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Average available rooms include rooms that are utilized for our personnel.</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Rentable rooms exclude rooms that are utilized for our personnel and out-of-service rooms.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Average daily rate is based on rentable rooms and lodge/village revenue.</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Occupancy represents total billed days divided by rentable days. Rentable days excludes staff rooms and out-of-service rooms.</w:t>
      </w:r>
    </w:p>
    <w:p>
      <w:pPr>
        <w:spacing w:after="0" w:line="225"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Our Canadian segment reported revenues in the first quarter of 2017 that were $5.0 million, or 8%, lower than the first quarter of 2016. The strengthening of the average exchange rates for the Canadian dollar relative to the U.S. dollar by 4% in the first quarter of 2017 compared to the first quarter of 2016 resulted in a $2.2 million year-over-year increase in revenues. Excluding the impact of the stronger Canadian exchange rates, the segment experienced a 2% decline in lodge revenues, primarily due to lower room rates partially offset by higher lodge occupancy. Finally, mobile, open camp and product revenues declined due to overall lower activity levels.</w:t>
      </w:r>
    </w:p>
    <w:p>
      <w:pPr>
        <w:spacing w:after="0" w:line="188" w:lineRule="exact"/>
        <w:rPr>
          <w:sz w:val="20"/>
          <w:szCs w:val="20"/>
          <w:color w:val="auto"/>
        </w:rPr>
      </w:pPr>
    </w:p>
    <w:p>
      <w:pPr>
        <w:ind w:right="80" w:firstLine="324"/>
        <w:spacing w:after="0" w:line="264" w:lineRule="auto"/>
        <w:rPr>
          <w:sz w:val="20"/>
          <w:szCs w:val="20"/>
          <w:color w:val="auto"/>
        </w:rPr>
      </w:pPr>
      <w:r>
        <w:rPr>
          <w:rFonts w:ascii="Arial" w:cs="Arial" w:eastAsia="Arial" w:hAnsi="Arial"/>
          <w:sz w:val="18"/>
          <w:szCs w:val="18"/>
          <w:color w:val="auto"/>
        </w:rPr>
        <w:t>Our Canadian segment cost of sales and services decreased $4.5 million, or 9%, in the first quarter of 2017 compared to the first quarter of 2016, primarily due to the decline in mobile, open camp and product activity, as well as a focus on cost containment and operational efficiencies. This decrease was partially offset by the strengthening of the Canadian dollar.</w:t>
      </w:r>
    </w:p>
    <w:p>
      <w:pPr>
        <w:spacing w:after="0" w:line="181" w:lineRule="exact"/>
        <w:rPr>
          <w:sz w:val="20"/>
          <w:szCs w:val="20"/>
          <w:color w:val="auto"/>
        </w:rPr>
      </w:pPr>
    </w:p>
    <w:p>
      <w:pPr>
        <w:ind w:right="460" w:firstLine="324"/>
        <w:spacing w:after="0" w:line="277" w:lineRule="auto"/>
        <w:rPr>
          <w:sz w:val="20"/>
          <w:szCs w:val="20"/>
          <w:color w:val="auto"/>
        </w:rPr>
      </w:pPr>
      <w:r>
        <w:rPr>
          <w:rFonts w:ascii="Arial" w:cs="Arial" w:eastAsia="Arial" w:hAnsi="Arial"/>
          <w:sz w:val="18"/>
          <w:szCs w:val="18"/>
          <w:color w:val="auto"/>
        </w:rPr>
        <w:t>Our Canadian segment gross margin as a percentage of revenues increased from 27% in the first quarter of 2016 to 29% in the first quarter of 2017, primarily due to lower costs related to a focus on cost containment and operational efficiencies.</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23" w:name="page24"/>
    <w:bookmarkEnd w:id="23"/>
    <w:tbl>
      <w:tblPr>
        <w:tblLayout w:type="fixed"/>
        <w:tblInd w:w="0" w:type="dxa"/>
        <w:tblCellMar>
          <w:top w:w="0" w:type="dxa"/>
          <w:left w:w="0" w:type="dxa"/>
          <w:bottom w:w="0" w:type="dxa"/>
          <w:right w:w="0" w:type="dxa"/>
        </w:tblCellMar>
      </w:tblPr>
      <w:tr>
        <w:trPr>
          <w:trHeight w:val="230"/>
        </w:trPr>
        <w:tc>
          <w:tcPr>
            <w:tcW w:w="4480" w:type="dxa"/>
            <w:vAlign w:val="bottom"/>
            <w:gridSpan w:val="2"/>
          </w:tcPr>
          <w:p>
            <w:pPr>
              <w:spacing w:after="0"/>
              <w:rPr>
                <w:sz w:val="20"/>
                <w:szCs w:val="20"/>
                <w:color w:val="auto"/>
              </w:rPr>
            </w:pPr>
            <w:r>
              <w:rPr>
                <w:rFonts w:ascii="Arial" w:cs="Arial" w:eastAsia="Arial" w:hAnsi="Arial"/>
                <w:sz w:val="18"/>
                <w:szCs w:val="18"/>
                <w:b w:val="1"/>
                <w:bCs w:val="1"/>
                <w:i w:val="1"/>
                <w:iCs w:val="1"/>
                <w:color w:val="auto"/>
                <w:w w:val="97"/>
              </w:rPr>
              <w:t>Segment Results of Operations – Australian Segment</w:t>
            </w:r>
          </w:p>
        </w:tc>
        <w:tc>
          <w:tcPr>
            <w:tcW w:w="5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116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840" w:type="dxa"/>
            <w:vAlign w:val="bottom"/>
            <w:gridSpan w:val="8"/>
          </w:tcPr>
          <w:p>
            <w:pPr>
              <w:jc w:val="center"/>
              <w:ind w:left="190"/>
              <w:spacing w:after="0"/>
              <w:rPr>
                <w:sz w:val="20"/>
                <w:szCs w:val="20"/>
                <w:color w:val="auto"/>
              </w:rPr>
            </w:pPr>
            <w:r>
              <w:rPr>
                <w:rFonts w:ascii="Arial" w:cs="Arial" w:eastAsia="Arial" w:hAnsi="Arial"/>
                <w:sz w:val="18"/>
                <w:szCs w:val="18"/>
                <w:b w:val="1"/>
                <w:bCs w:val="1"/>
                <w:color w:val="auto"/>
              </w:rPr>
              <w:t>THREE MONTHS ENDED</w:t>
            </w:r>
          </w:p>
        </w:tc>
        <w:tc>
          <w:tcPr>
            <w:tcW w:w="1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1160" w:type="dxa"/>
            <w:vAlign w:val="bottom"/>
          </w:tcPr>
          <w:p>
            <w:pPr>
              <w:spacing w:after="0"/>
              <w:rPr>
                <w:sz w:val="20"/>
                <w:szCs w:val="20"/>
                <w:color w:val="auto"/>
              </w:rPr>
            </w:pPr>
          </w:p>
        </w:tc>
        <w:tc>
          <w:tcPr>
            <w:tcW w:w="33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gridSpan w:val="2"/>
          </w:tcPr>
          <w:p>
            <w:pPr>
              <w:jc w:val="center"/>
              <w:ind w:right="380"/>
              <w:spacing w:after="0"/>
              <w:rPr>
                <w:sz w:val="20"/>
                <w:szCs w:val="20"/>
                <w:color w:val="auto"/>
              </w:rPr>
            </w:pPr>
            <w:r>
              <w:rPr>
                <w:rFonts w:ascii="Arial" w:cs="Arial" w:eastAsia="Arial" w:hAnsi="Arial"/>
                <w:sz w:val="18"/>
                <w:szCs w:val="18"/>
                <w:b w:val="1"/>
                <w:bCs w:val="1"/>
                <w:color w:val="auto"/>
                <w:w w:val="98"/>
              </w:rPr>
              <w:t>MARCH 31,</w:t>
            </w:r>
          </w:p>
        </w:tc>
        <w:tc>
          <w:tcPr>
            <w:tcW w:w="4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2017</w:t>
            </w:r>
          </w:p>
        </w:tc>
        <w:tc>
          <w:tcPr>
            <w:tcW w:w="560" w:type="dxa"/>
            <w:vAlign w:val="bottom"/>
            <w:tcBorders>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89"/>
              </w:rPr>
              <w:t>2016</w:t>
            </w: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Change</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Revenues ($ in thousands)</w:t>
            </w:r>
          </w:p>
        </w:tc>
        <w:tc>
          <w:tcPr>
            <w:tcW w:w="5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320" w:type="dxa"/>
            <w:vAlign w:val="bottom"/>
          </w:tcPr>
          <w:p>
            <w:pPr>
              <w:ind w:left="160"/>
              <w:spacing w:after="0"/>
              <w:rPr>
                <w:sz w:val="20"/>
                <w:szCs w:val="20"/>
                <w:color w:val="auto"/>
              </w:rPr>
            </w:pPr>
            <w:r>
              <w:rPr>
                <w:rFonts w:ascii="Arial" w:cs="Arial" w:eastAsia="Arial" w:hAnsi="Arial"/>
                <w:sz w:val="18"/>
                <w:szCs w:val="18"/>
                <w:color w:val="auto"/>
              </w:rPr>
              <w:t>Village revenue (1)</w:t>
            </w:r>
          </w:p>
        </w:tc>
        <w:tc>
          <w:tcPr>
            <w:tcW w:w="1500" w:type="dxa"/>
            <w:vAlign w:val="bottom"/>
            <w:gridSpan w:val="2"/>
          </w:tcPr>
          <w:p>
            <w:pPr>
              <w:jc w:val="right"/>
              <w:ind w:right="790"/>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94"/>
              </w:rPr>
              <w:t>27,016</w:t>
            </w:r>
          </w:p>
        </w:tc>
        <w:tc>
          <w:tcPr>
            <w:tcW w:w="180" w:type="dxa"/>
            <w:vAlign w:val="bottom"/>
          </w:tcPr>
          <w:p>
            <w:pPr>
              <w:spacing w:after="0"/>
              <w:rPr>
                <w:sz w:val="18"/>
                <w:szCs w:val="18"/>
                <w:color w:val="auto"/>
              </w:rPr>
            </w:pPr>
          </w:p>
        </w:tc>
        <w:tc>
          <w:tcPr>
            <w:tcW w:w="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25,510</w:t>
            </w:r>
          </w:p>
        </w:tc>
        <w:tc>
          <w:tcPr>
            <w:tcW w:w="200" w:type="dxa"/>
            <w:vAlign w:val="bottom"/>
          </w:tcPr>
          <w:p>
            <w:pPr>
              <w:spacing w:after="0"/>
              <w:rPr>
                <w:sz w:val="18"/>
                <w:szCs w:val="18"/>
                <w:color w:val="auto"/>
              </w:rPr>
            </w:pPr>
          </w:p>
        </w:tc>
        <w:tc>
          <w:tcPr>
            <w:tcW w:w="320" w:type="dxa"/>
            <w:vAlign w:val="bottom"/>
            <w:gridSpan w:val="2"/>
          </w:tcPr>
          <w:p>
            <w:pPr>
              <w:jc w:val="right"/>
              <w:ind w:right="20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1,506</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33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Total revenues</w:t>
            </w:r>
          </w:p>
        </w:tc>
        <w:tc>
          <w:tcPr>
            <w:tcW w:w="540" w:type="dxa"/>
            <w:vAlign w:val="bottom"/>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27,016</w:t>
            </w: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25,510</w:t>
            </w: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1,506</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vMerge w:val="restart"/>
          </w:tcPr>
          <w:p>
            <w:pPr>
              <w:spacing w:after="0"/>
              <w:rPr>
                <w:sz w:val="18"/>
                <w:szCs w:val="18"/>
                <w:color w:val="auto"/>
              </w:rPr>
            </w:pPr>
          </w:p>
        </w:tc>
        <w:tc>
          <w:tcPr>
            <w:tcW w:w="3320" w:type="dxa"/>
            <w:vAlign w:val="bottom"/>
          </w:tcPr>
          <w:p>
            <w:pPr>
              <w:spacing w:after="0"/>
              <w:rPr>
                <w:sz w:val="18"/>
                <w:szCs w:val="18"/>
                <w:color w:val="auto"/>
              </w:rPr>
            </w:pPr>
          </w:p>
        </w:tc>
        <w:tc>
          <w:tcPr>
            <w:tcW w:w="1500" w:type="dxa"/>
            <w:vAlign w:val="bottom"/>
            <w:gridSpan w:val="2"/>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gridSpan w:val="2"/>
          </w:tcPr>
          <w:p>
            <w:pPr>
              <w:spacing w:after="0"/>
              <w:rPr>
                <w:sz w:val="18"/>
                <w:szCs w:val="18"/>
                <w:color w:val="auto"/>
              </w:rPr>
            </w:pPr>
          </w:p>
        </w:tc>
        <w:tc>
          <w:tcPr>
            <w:tcW w:w="1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gridSpan w:val="2"/>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vMerge w:val="continue"/>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Cost of sales ($ in thousands)</w:t>
            </w:r>
          </w:p>
        </w:tc>
        <w:tc>
          <w:tcPr>
            <w:tcW w:w="1500" w:type="dxa"/>
            <w:vAlign w:val="bottom"/>
            <w:gridSpan w:val="2"/>
            <w:shd w:val="clear" w:color="auto" w:fill="CCEEFF"/>
          </w:tcPr>
          <w:p>
            <w:pPr>
              <w:jc w:val="right"/>
              <w:ind w:right="79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13,402</w:t>
            </w:r>
          </w:p>
        </w:tc>
        <w:tc>
          <w:tcPr>
            <w:tcW w:w="18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12,519</w:t>
            </w:r>
          </w:p>
        </w:tc>
        <w:tc>
          <w:tcPr>
            <w:tcW w:w="20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883</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vMerge w:val="restart"/>
          </w:tcPr>
          <w:p>
            <w:pPr>
              <w:spacing w:after="0"/>
              <w:rPr>
                <w:sz w:val="18"/>
                <w:szCs w:val="18"/>
                <w:color w:val="auto"/>
              </w:rPr>
            </w:pPr>
          </w:p>
        </w:tc>
        <w:tc>
          <w:tcPr>
            <w:tcW w:w="33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40" w:type="dxa"/>
            <w:vAlign w:val="bottom"/>
            <w:gridSpan w:val="2"/>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40" w:type="dxa"/>
            <w:vAlign w:val="bottom"/>
            <w:gridSpan w:val="2"/>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6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vMerge w:val="continue"/>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Gross margin as a % of revenues</w:t>
            </w:r>
          </w:p>
        </w:tc>
        <w:tc>
          <w:tcPr>
            <w:tcW w:w="5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50.4%</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50.9%</w:t>
            </w:r>
          </w:p>
        </w:tc>
        <w:tc>
          <w:tcPr>
            <w:tcW w:w="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16"/>
        </w:trPr>
        <w:tc>
          <w:tcPr>
            <w:tcW w:w="1160" w:type="dxa"/>
            <w:vAlign w:val="bottom"/>
            <w:vMerge w:val="restart"/>
          </w:tcPr>
          <w:p>
            <w:pPr>
              <w:spacing w:after="0"/>
              <w:rPr>
                <w:sz w:val="18"/>
                <w:szCs w:val="18"/>
                <w:color w:val="auto"/>
              </w:rPr>
            </w:pPr>
          </w:p>
        </w:tc>
        <w:tc>
          <w:tcPr>
            <w:tcW w:w="33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vMerge w:val="continue"/>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Average available village rooms (2)</w:t>
            </w:r>
          </w:p>
        </w:tc>
        <w:tc>
          <w:tcPr>
            <w:tcW w:w="5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9,386</w:t>
            </w: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9,296</w:t>
            </w: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vMerge w:val="restart"/>
          </w:tcPr>
          <w:p>
            <w:pPr>
              <w:spacing w:after="0"/>
              <w:rPr>
                <w:sz w:val="18"/>
                <w:szCs w:val="18"/>
                <w:color w:val="auto"/>
              </w:rPr>
            </w:pPr>
          </w:p>
        </w:tc>
        <w:tc>
          <w:tcPr>
            <w:tcW w:w="33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vMerge w:val="continue"/>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Rentable rooms for villages (3)</w:t>
            </w:r>
          </w:p>
        </w:tc>
        <w:tc>
          <w:tcPr>
            <w:tcW w:w="5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8,776</w:t>
            </w: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8,696</w:t>
            </w: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vMerge w:val="restart"/>
          </w:tcPr>
          <w:p>
            <w:pPr>
              <w:spacing w:after="0"/>
              <w:rPr>
                <w:sz w:val="18"/>
                <w:szCs w:val="18"/>
                <w:color w:val="auto"/>
              </w:rPr>
            </w:pPr>
          </w:p>
        </w:tc>
        <w:tc>
          <w:tcPr>
            <w:tcW w:w="3320" w:type="dxa"/>
            <w:vAlign w:val="bottom"/>
          </w:tcPr>
          <w:p>
            <w:pPr>
              <w:spacing w:after="0"/>
              <w:rPr>
                <w:sz w:val="18"/>
                <w:szCs w:val="18"/>
                <w:color w:val="auto"/>
              </w:rPr>
            </w:pPr>
          </w:p>
        </w:tc>
        <w:tc>
          <w:tcPr>
            <w:tcW w:w="1500" w:type="dxa"/>
            <w:vAlign w:val="bottom"/>
            <w:gridSpan w:val="2"/>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gridSpan w:val="2"/>
          </w:tcPr>
          <w:p>
            <w:pPr>
              <w:spacing w:after="0"/>
              <w:rPr>
                <w:sz w:val="18"/>
                <w:szCs w:val="18"/>
                <w:color w:val="auto"/>
              </w:rPr>
            </w:pPr>
          </w:p>
        </w:tc>
        <w:tc>
          <w:tcPr>
            <w:tcW w:w="1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gridSpan w:val="2"/>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vMerge w:val="continue"/>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Average daily rate for villages (4)</w:t>
            </w:r>
          </w:p>
        </w:tc>
        <w:tc>
          <w:tcPr>
            <w:tcW w:w="1500" w:type="dxa"/>
            <w:vAlign w:val="bottom"/>
            <w:gridSpan w:val="2"/>
            <w:shd w:val="clear" w:color="auto" w:fill="CCEEFF"/>
          </w:tcPr>
          <w:p>
            <w:pPr>
              <w:jc w:val="right"/>
              <w:ind w:right="79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18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20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vMerge w:val="restart"/>
          </w:tcPr>
          <w:p>
            <w:pPr>
              <w:spacing w:after="0"/>
              <w:rPr>
                <w:sz w:val="18"/>
                <w:szCs w:val="18"/>
                <w:color w:val="auto"/>
              </w:rPr>
            </w:pPr>
          </w:p>
        </w:tc>
        <w:tc>
          <w:tcPr>
            <w:tcW w:w="33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40" w:type="dxa"/>
            <w:vAlign w:val="bottom"/>
            <w:gridSpan w:val="2"/>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40" w:type="dxa"/>
            <w:vAlign w:val="bottom"/>
            <w:gridSpan w:val="2"/>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6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vMerge w:val="continue"/>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Occupancy in Villages (5)</w:t>
            </w:r>
          </w:p>
        </w:tc>
        <w:tc>
          <w:tcPr>
            <w:tcW w:w="5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42%</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47%</w:t>
            </w:r>
          </w:p>
        </w:tc>
        <w:tc>
          <w:tcPr>
            <w:tcW w:w="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1160" w:type="dxa"/>
            <w:vAlign w:val="bottom"/>
            <w:vMerge w:val="restart"/>
          </w:tcPr>
          <w:p>
            <w:pPr>
              <w:spacing w:after="0"/>
              <w:rPr>
                <w:sz w:val="18"/>
                <w:szCs w:val="18"/>
                <w:color w:val="auto"/>
              </w:rPr>
            </w:pPr>
          </w:p>
        </w:tc>
        <w:tc>
          <w:tcPr>
            <w:tcW w:w="3320" w:type="dxa"/>
            <w:vAlign w:val="bottom"/>
          </w:tcPr>
          <w:p>
            <w:pPr>
              <w:spacing w:after="0"/>
              <w:rPr>
                <w:sz w:val="18"/>
                <w:szCs w:val="18"/>
                <w:color w:val="auto"/>
              </w:rPr>
            </w:pPr>
          </w:p>
        </w:tc>
        <w:tc>
          <w:tcPr>
            <w:tcW w:w="1500" w:type="dxa"/>
            <w:vAlign w:val="bottom"/>
            <w:gridSpan w:val="2"/>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gridSpan w:val="2"/>
          </w:tcPr>
          <w:p>
            <w:pPr>
              <w:spacing w:after="0"/>
              <w:rPr>
                <w:sz w:val="18"/>
                <w:szCs w:val="18"/>
                <w:color w:val="auto"/>
              </w:rPr>
            </w:pPr>
          </w:p>
        </w:tc>
        <w:tc>
          <w:tcPr>
            <w:tcW w:w="1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gridSpan w:val="2"/>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vMerge w:val="continue"/>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Australian dollar to U.S. dollar</w:t>
            </w:r>
          </w:p>
        </w:tc>
        <w:tc>
          <w:tcPr>
            <w:tcW w:w="1500" w:type="dxa"/>
            <w:vAlign w:val="bottom"/>
            <w:gridSpan w:val="2"/>
            <w:shd w:val="clear" w:color="auto" w:fill="CCEEFF"/>
          </w:tcPr>
          <w:p>
            <w:pPr>
              <w:jc w:val="right"/>
              <w:ind w:right="79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0.758</w:t>
            </w:r>
          </w:p>
        </w:tc>
        <w:tc>
          <w:tcPr>
            <w:tcW w:w="18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0.721</w:t>
            </w:r>
          </w:p>
        </w:tc>
        <w:tc>
          <w:tcPr>
            <w:tcW w:w="20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0.037</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519430</wp:posOffset>
            </wp:positionH>
            <wp:positionV relativeFrom="paragraph">
              <wp:posOffset>111760</wp:posOffset>
            </wp:positionV>
            <wp:extent cx="80010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800100" cy="8890"/>
                    </a:xfrm>
                    <a:prstGeom prst="rect">
                      <a:avLst/>
                    </a:prstGeom>
                    <a:noFill/>
                  </pic:spPr>
                </pic:pic>
              </a:graphicData>
            </a:graphic>
          </wp:anchor>
        </w:drawing>
      </w:r>
    </w:p>
    <w:p>
      <w:pPr>
        <w:spacing w:after="0" w:line="182" w:lineRule="exact"/>
        <w:rPr>
          <w:sz w:val="20"/>
          <w:szCs w:val="20"/>
          <w:color w:val="auto"/>
        </w:rPr>
      </w:pPr>
    </w:p>
    <w:p>
      <w:pPr>
        <w:ind w:left="980" w:hanging="324"/>
        <w:spacing w:after="0"/>
        <w:tabs>
          <w:tab w:leader="none" w:pos="980" w:val="left"/>
        </w:tabs>
        <w:numPr>
          <w:ilvl w:val="0"/>
          <w:numId w:val="18"/>
        </w:numPr>
        <w:rPr>
          <w:rFonts w:ascii="Arial" w:cs="Arial" w:eastAsia="Arial" w:hAnsi="Arial"/>
          <w:sz w:val="16"/>
          <w:szCs w:val="16"/>
          <w:color w:val="auto"/>
        </w:rPr>
      </w:pPr>
      <w:r>
        <w:rPr>
          <w:rFonts w:ascii="Arial" w:cs="Arial" w:eastAsia="Arial" w:hAnsi="Arial"/>
          <w:sz w:val="16"/>
          <w:szCs w:val="16"/>
          <w:color w:val="auto"/>
        </w:rPr>
        <w:t>Includes revenues related to rooms as well as the fees associated with catering, laundry and other services including facilities management.</w:t>
      </w:r>
    </w:p>
    <w:p>
      <w:pPr>
        <w:spacing w:after="0" w:line="248" w:lineRule="exact"/>
        <w:rPr>
          <w:rFonts w:ascii="Arial" w:cs="Arial" w:eastAsia="Arial" w:hAnsi="Arial"/>
          <w:sz w:val="16"/>
          <w:szCs w:val="16"/>
          <w:color w:val="auto"/>
        </w:rPr>
      </w:pPr>
    </w:p>
    <w:p>
      <w:pPr>
        <w:ind w:left="980" w:hanging="324"/>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Average available rooms include rooms that are utilized for our personnel.</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Rentable rooms exclude rooms that are utilized for our personnel and out-of-service rooms.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Average daily rate is based on rentable rooms and lodge/village revenue.</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Occupancy represents total billed days divided by rentable days. Rentable days excludes staff rooms and out-of-service rooms.</w:t>
      </w:r>
    </w:p>
    <w:p>
      <w:pPr>
        <w:spacing w:after="0" w:line="225"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Our Australian segment reported revenues in the first quarter of 2017 that were $1.5 million, or 6%, higher than the first quarter of 2016. The strengthening of the average exchange rates for Australian dollars relative to the U.S. dollar by 5% in the first quarter of 2017 compared to the first quarter of 2016 resulted in a $1.3 million year-over-year increase in revenues. Excluding the impact of the stronger Australian exchange rates, the segment experienced a 1% increase in revenues due to increased occupancy at our villages in Western Australia, due to increased activity from anchor tenants at both villages in the first quarter of 2017 compared to the first quarter of 2016. This increase was offset by reduced occupancy at our villages in the Bowen Basin, due to a general slowdown in mining activity.</w:t>
      </w:r>
    </w:p>
    <w:p>
      <w:pPr>
        <w:spacing w:after="0" w:line="193" w:lineRule="exact"/>
        <w:rPr>
          <w:sz w:val="20"/>
          <w:szCs w:val="20"/>
          <w:color w:val="auto"/>
        </w:rPr>
      </w:pPr>
    </w:p>
    <w:p>
      <w:pPr>
        <w:ind w:right="260" w:firstLine="324"/>
        <w:spacing w:after="0" w:line="277" w:lineRule="auto"/>
        <w:rPr>
          <w:sz w:val="20"/>
          <w:szCs w:val="20"/>
          <w:color w:val="auto"/>
        </w:rPr>
      </w:pPr>
      <w:r>
        <w:rPr>
          <w:rFonts w:ascii="Arial" w:cs="Arial" w:eastAsia="Arial" w:hAnsi="Arial"/>
          <w:sz w:val="18"/>
          <w:szCs w:val="18"/>
          <w:color w:val="auto"/>
        </w:rPr>
        <w:t>Our Australian segment cost of sales increased $0.9 million, or 7%, in the first quarter of 2017 compared to the first quarter of 2016. The increase was driven by higher occupancy levels at our villages in Western Australia as well as the strengthening of the Australian dollar.</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6"/>
          <w:szCs w:val="16"/>
          <w:color w:val="auto"/>
        </w:rPr>
        <w:t>Our Australian segment gross margin as a percentage of revenues decreased to 50% in the first quarter of 2017 from 51% in the first quarter of 2016.</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This decrease was primarily driven by reduced take or pay revenues on expired contracts compared to the first quarter of 2016.</w:t>
      </w:r>
    </w:p>
    <w:p>
      <w:pPr>
        <w:spacing w:after="0" w:line="200" w:lineRule="exact"/>
        <w:rPr>
          <w:sz w:val="20"/>
          <w:szCs w:val="20"/>
          <w:color w:val="auto"/>
        </w:rPr>
      </w:pPr>
    </w:p>
    <w:p>
      <w:pPr>
        <w:spacing w:after="0" w:line="2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24" w:name="page25"/>
    <w:bookmarkEnd w:id="24"/>
    <w:tbl>
      <w:tblPr>
        <w:tblLayout w:type="fixed"/>
        <w:tblInd w:w="0" w:type="dxa"/>
        <w:tblCellMar>
          <w:top w:w="0" w:type="dxa"/>
          <w:left w:w="0" w:type="dxa"/>
          <w:bottom w:w="0" w:type="dxa"/>
          <w:right w:w="0" w:type="dxa"/>
        </w:tblCellMar>
      </w:tblPr>
      <w:tr>
        <w:trPr>
          <w:trHeight w:val="230"/>
        </w:trPr>
        <w:tc>
          <w:tcPr>
            <w:tcW w:w="426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Segment Results of Operations – U.S. Segment</w:t>
            </w:r>
          </w:p>
        </w:tc>
        <w:tc>
          <w:tcPr>
            <w:tcW w:w="7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1160" w:type="dxa"/>
            <w:vAlign w:val="bottom"/>
          </w:tcPr>
          <w:p>
            <w:pPr>
              <w:spacing w:after="0"/>
              <w:rPr>
                <w:sz w:val="24"/>
                <w:szCs w:val="24"/>
                <w:color w:val="auto"/>
              </w:rPr>
            </w:pPr>
          </w:p>
        </w:tc>
        <w:tc>
          <w:tcPr>
            <w:tcW w:w="3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880" w:type="dxa"/>
            <w:vAlign w:val="bottom"/>
            <w:gridSpan w:val="8"/>
          </w:tcPr>
          <w:p>
            <w:pPr>
              <w:jc w:val="center"/>
              <w:ind w:left="130"/>
              <w:spacing w:after="0"/>
              <w:rPr>
                <w:sz w:val="20"/>
                <w:szCs w:val="20"/>
                <w:color w:val="auto"/>
              </w:rPr>
            </w:pPr>
            <w:r>
              <w:rPr>
                <w:rFonts w:ascii="Arial" w:cs="Arial" w:eastAsia="Arial" w:hAnsi="Arial"/>
                <w:sz w:val="18"/>
                <w:szCs w:val="18"/>
                <w:b w:val="1"/>
                <w:bCs w:val="1"/>
                <w:color w:val="auto"/>
              </w:rPr>
              <w:t>THREE MONTHS ENDED</w:t>
            </w:r>
          </w:p>
        </w:tc>
        <w:tc>
          <w:tcPr>
            <w:tcW w:w="1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1160" w:type="dxa"/>
            <w:vAlign w:val="bottom"/>
          </w:tcPr>
          <w:p>
            <w:pPr>
              <w:spacing w:after="0"/>
              <w:rPr>
                <w:sz w:val="20"/>
                <w:szCs w:val="20"/>
                <w:color w:val="auto"/>
              </w:rPr>
            </w:pPr>
          </w:p>
        </w:tc>
        <w:tc>
          <w:tcPr>
            <w:tcW w:w="31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gridSpan w:val="2"/>
          </w:tcPr>
          <w:p>
            <w:pPr>
              <w:jc w:val="center"/>
              <w:ind w:right="440"/>
              <w:spacing w:after="0"/>
              <w:rPr>
                <w:sz w:val="20"/>
                <w:szCs w:val="20"/>
                <w:color w:val="auto"/>
              </w:rPr>
            </w:pPr>
            <w:r>
              <w:rPr>
                <w:rFonts w:ascii="Arial" w:cs="Arial" w:eastAsia="Arial" w:hAnsi="Arial"/>
                <w:sz w:val="18"/>
                <w:szCs w:val="18"/>
                <w:b w:val="1"/>
                <w:bCs w:val="1"/>
                <w:color w:val="auto"/>
              </w:rPr>
              <w:t>MARCH 31,</w:t>
            </w:r>
          </w:p>
        </w:tc>
        <w:tc>
          <w:tcPr>
            <w:tcW w:w="6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3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2017</w:t>
            </w:r>
          </w:p>
        </w:tc>
        <w:tc>
          <w:tcPr>
            <w:tcW w:w="500" w:type="dxa"/>
            <w:vAlign w:val="bottom"/>
            <w:tcBorders>
              <w:bottom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89"/>
              </w:rPr>
              <w:t>2016</w:t>
            </w: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ind w:left="180"/>
              <w:spacing w:after="0"/>
              <w:rPr>
                <w:sz w:val="20"/>
                <w:szCs w:val="20"/>
                <w:color w:val="auto"/>
              </w:rPr>
            </w:pPr>
            <w:r>
              <w:rPr>
                <w:rFonts w:ascii="Arial" w:cs="Arial" w:eastAsia="Arial" w:hAnsi="Arial"/>
                <w:sz w:val="18"/>
                <w:szCs w:val="18"/>
                <w:b w:val="1"/>
                <w:bCs w:val="1"/>
                <w:color w:val="auto"/>
              </w:rPr>
              <w:t>Change</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60" w:type="dxa"/>
            <w:vAlign w:val="bottom"/>
            <w:vMerge w:val="restart"/>
          </w:tcPr>
          <w:p>
            <w:pPr>
              <w:spacing w:after="0"/>
              <w:rPr>
                <w:sz w:val="18"/>
                <w:szCs w:val="18"/>
                <w:color w:val="auto"/>
              </w:rPr>
            </w:pPr>
          </w:p>
        </w:tc>
        <w:tc>
          <w:tcPr>
            <w:tcW w:w="3100" w:type="dxa"/>
            <w:vAlign w:val="bottom"/>
          </w:tcPr>
          <w:p>
            <w:pPr>
              <w:spacing w:after="0"/>
              <w:rPr>
                <w:sz w:val="18"/>
                <w:szCs w:val="18"/>
                <w:color w:val="auto"/>
              </w:rPr>
            </w:pPr>
          </w:p>
        </w:tc>
        <w:tc>
          <w:tcPr>
            <w:tcW w:w="1740" w:type="dxa"/>
            <w:vAlign w:val="bottom"/>
            <w:gridSpan w:val="2"/>
          </w:tcPr>
          <w:p>
            <w:pPr>
              <w:spacing w:after="0"/>
              <w:rPr>
                <w:sz w:val="18"/>
                <w:szCs w:val="18"/>
                <w:color w:val="auto"/>
              </w:rPr>
            </w:pPr>
          </w:p>
        </w:tc>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gridSpan w:val="2"/>
          </w:tcPr>
          <w:p>
            <w:pPr>
              <w:spacing w:after="0"/>
              <w:rPr>
                <w:sz w:val="18"/>
                <w:szCs w:val="18"/>
                <w:color w:val="auto"/>
              </w:rPr>
            </w:pPr>
          </w:p>
        </w:tc>
        <w:tc>
          <w:tcPr>
            <w:tcW w:w="1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gridSpan w:val="2"/>
          </w:tcPr>
          <w:p>
            <w:pPr>
              <w:spacing w:after="0"/>
              <w:rPr>
                <w:sz w:val="18"/>
                <w:szCs w:val="18"/>
                <w:color w:val="auto"/>
              </w:rPr>
            </w:pPr>
          </w:p>
        </w:tc>
        <w:tc>
          <w:tcPr>
            <w:tcW w:w="14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vMerge w:val="continue"/>
          </w:tcPr>
          <w:p>
            <w:pPr>
              <w:spacing w:after="0"/>
              <w:rPr>
                <w:sz w:val="18"/>
                <w:szCs w:val="18"/>
                <w:color w:val="auto"/>
              </w:rPr>
            </w:pPr>
          </w:p>
        </w:tc>
        <w:tc>
          <w:tcPr>
            <w:tcW w:w="3100" w:type="dxa"/>
            <w:vAlign w:val="bottom"/>
            <w:shd w:val="clear" w:color="auto" w:fill="CCEEFF"/>
          </w:tcPr>
          <w:p>
            <w:pPr>
              <w:spacing w:after="0"/>
              <w:rPr>
                <w:sz w:val="20"/>
                <w:szCs w:val="20"/>
                <w:color w:val="auto"/>
              </w:rPr>
            </w:pPr>
            <w:r>
              <w:rPr>
                <w:rFonts w:ascii="Arial" w:cs="Arial" w:eastAsia="Arial" w:hAnsi="Arial"/>
                <w:sz w:val="18"/>
                <w:szCs w:val="18"/>
                <w:color w:val="auto"/>
              </w:rPr>
              <w:t>Revenues ($ in thousands)</w:t>
            </w:r>
          </w:p>
        </w:tc>
        <w:tc>
          <w:tcPr>
            <w:tcW w:w="1740" w:type="dxa"/>
            <w:vAlign w:val="bottom"/>
            <w:gridSpan w:val="2"/>
            <w:shd w:val="clear" w:color="auto" w:fill="CCEEFF"/>
          </w:tcPr>
          <w:p>
            <w:pPr>
              <w:jc w:val="right"/>
              <w:ind w:right="83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3,907</w:t>
            </w:r>
          </w:p>
        </w:tc>
        <w:tc>
          <w:tcPr>
            <w:tcW w:w="26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4,004</w:t>
            </w:r>
          </w:p>
        </w:tc>
        <w:tc>
          <w:tcPr>
            <w:tcW w:w="24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(97)</w:t>
            </w:r>
          </w:p>
        </w:tc>
        <w:tc>
          <w:tcPr>
            <w:tcW w:w="0" w:type="dxa"/>
            <w:vAlign w:val="bottom"/>
          </w:tcPr>
          <w:p>
            <w:pPr>
              <w:spacing w:after="0"/>
              <w:rPr>
                <w:sz w:val="1"/>
                <w:szCs w:val="1"/>
                <w:color w:val="auto"/>
              </w:rPr>
            </w:pPr>
          </w:p>
        </w:tc>
      </w:tr>
      <w:tr>
        <w:trPr>
          <w:trHeight w:val="216"/>
        </w:trPr>
        <w:tc>
          <w:tcPr>
            <w:tcW w:w="1160" w:type="dxa"/>
            <w:vAlign w:val="bottom"/>
            <w:vMerge w:val="restart"/>
          </w:tcPr>
          <w:p>
            <w:pPr>
              <w:spacing w:after="0"/>
              <w:rPr>
                <w:sz w:val="18"/>
                <w:szCs w:val="18"/>
                <w:color w:val="auto"/>
              </w:rPr>
            </w:pPr>
          </w:p>
        </w:tc>
        <w:tc>
          <w:tcPr>
            <w:tcW w:w="3100" w:type="dxa"/>
            <w:vAlign w:val="bottom"/>
          </w:tcPr>
          <w:p>
            <w:pPr>
              <w:spacing w:after="0"/>
              <w:rPr>
                <w:sz w:val="18"/>
                <w:szCs w:val="18"/>
                <w:color w:val="auto"/>
              </w:rPr>
            </w:pPr>
          </w:p>
        </w:tc>
        <w:tc>
          <w:tcPr>
            <w:tcW w:w="1740" w:type="dxa"/>
            <w:vAlign w:val="bottom"/>
            <w:gridSpan w:val="2"/>
          </w:tcPr>
          <w:p>
            <w:pPr>
              <w:spacing w:after="0"/>
              <w:rPr>
                <w:sz w:val="18"/>
                <w:szCs w:val="18"/>
                <w:color w:val="auto"/>
              </w:rPr>
            </w:pPr>
          </w:p>
        </w:tc>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gridSpan w:val="2"/>
          </w:tcPr>
          <w:p>
            <w:pPr>
              <w:spacing w:after="0"/>
              <w:rPr>
                <w:sz w:val="18"/>
                <w:szCs w:val="18"/>
                <w:color w:val="auto"/>
              </w:rPr>
            </w:pPr>
          </w:p>
        </w:tc>
        <w:tc>
          <w:tcPr>
            <w:tcW w:w="1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gridSpan w:val="2"/>
          </w:tcPr>
          <w:p>
            <w:pPr>
              <w:spacing w:after="0"/>
              <w:rPr>
                <w:sz w:val="18"/>
                <w:szCs w:val="18"/>
                <w:color w:val="auto"/>
              </w:rPr>
            </w:pPr>
          </w:p>
        </w:tc>
        <w:tc>
          <w:tcPr>
            <w:tcW w:w="14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vMerge w:val="continue"/>
          </w:tcPr>
          <w:p>
            <w:pPr>
              <w:spacing w:after="0"/>
              <w:rPr>
                <w:sz w:val="18"/>
                <w:szCs w:val="18"/>
                <w:color w:val="auto"/>
              </w:rPr>
            </w:pPr>
          </w:p>
        </w:tc>
        <w:tc>
          <w:tcPr>
            <w:tcW w:w="3100" w:type="dxa"/>
            <w:vAlign w:val="bottom"/>
            <w:shd w:val="clear" w:color="auto" w:fill="CCEEFF"/>
          </w:tcPr>
          <w:p>
            <w:pPr>
              <w:spacing w:after="0"/>
              <w:rPr>
                <w:sz w:val="20"/>
                <w:szCs w:val="20"/>
                <w:color w:val="auto"/>
              </w:rPr>
            </w:pPr>
            <w:r>
              <w:rPr>
                <w:rFonts w:ascii="Arial" w:cs="Arial" w:eastAsia="Arial" w:hAnsi="Arial"/>
                <w:sz w:val="18"/>
                <w:szCs w:val="18"/>
                <w:color w:val="auto"/>
              </w:rPr>
              <w:t>Cost of sales ($ in thousands)</w:t>
            </w:r>
          </w:p>
        </w:tc>
        <w:tc>
          <w:tcPr>
            <w:tcW w:w="1740" w:type="dxa"/>
            <w:vAlign w:val="bottom"/>
            <w:gridSpan w:val="2"/>
            <w:shd w:val="clear" w:color="auto" w:fill="CCEEFF"/>
          </w:tcPr>
          <w:p>
            <w:pPr>
              <w:jc w:val="right"/>
              <w:ind w:right="83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4,982</w:t>
            </w:r>
          </w:p>
        </w:tc>
        <w:tc>
          <w:tcPr>
            <w:tcW w:w="26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5,660</w:t>
            </w:r>
          </w:p>
        </w:tc>
        <w:tc>
          <w:tcPr>
            <w:tcW w:w="24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(678)</w:t>
            </w:r>
          </w:p>
        </w:tc>
        <w:tc>
          <w:tcPr>
            <w:tcW w:w="0" w:type="dxa"/>
            <w:vAlign w:val="bottom"/>
          </w:tcPr>
          <w:p>
            <w:pPr>
              <w:spacing w:after="0"/>
              <w:rPr>
                <w:sz w:val="1"/>
                <w:szCs w:val="1"/>
                <w:color w:val="auto"/>
              </w:rPr>
            </w:pPr>
          </w:p>
        </w:tc>
      </w:tr>
      <w:tr>
        <w:trPr>
          <w:trHeight w:val="216"/>
        </w:trPr>
        <w:tc>
          <w:tcPr>
            <w:tcW w:w="1160" w:type="dxa"/>
            <w:vAlign w:val="bottom"/>
            <w:vMerge w:val="restart"/>
          </w:tcPr>
          <w:p>
            <w:pPr>
              <w:spacing w:after="0"/>
              <w:rPr>
                <w:sz w:val="18"/>
                <w:szCs w:val="18"/>
                <w:color w:val="auto"/>
              </w:rPr>
            </w:pPr>
          </w:p>
        </w:tc>
        <w:tc>
          <w:tcPr>
            <w:tcW w:w="3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760" w:type="dxa"/>
            <w:vAlign w:val="bottom"/>
            <w:gridSpan w:val="2"/>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80" w:type="dxa"/>
            <w:vAlign w:val="bottom"/>
            <w:gridSpan w:val="2"/>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vMerge w:val="continue"/>
          </w:tcPr>
          <w:p>
            <w:pPr>
              <w:spacing w:after="0"/>
              <w:rPr>
                <w:sz w:val="18"/>
                <w:szCs w:val="18"/>
                <w:color w:val="auto"/>
              </w:rPr>
            </w:pPr>
          </w:p>
        </w:tc>
        <w:tc>
          <w:tcPr>
            <w:tcW w:w="3100" w:type="dxa"/>
            <w:vAlign w:val="bottom"/>
            <w:shd w:val="clear" w:color="auto" w:fill="CCEEFF"/>
          </w:tcPr>
          <w:p>
            <w:pPr>
              <w:spacing w:after="0"/>
              <w:rPr>
                <w:sz w:val="20"/>
                <w:szCs w:val="20"/>
                <w:color w:val="auto"/>
              </w:rPr>
            </w:pPr>
            <w:r>
              <w:rPr>
                <w:rFonts w:ascii="Arial" w:cs="Arial" w:eastAsia="Arial" w:hAnsi="Arial"/>
                <w:sz w:val="18"/>
                <w:szCs w:val="18"/>
                <w:color w:val="auto"/>
              </w:rPr>
              <w:t>Gross margin as a % of revenues</w:t>
            </w:r>
          </w:p>
        </w:tc>
        <w:tc>
          <w:tcPr>
            <w:tcW w:w="7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(27.5%)</w:t>
            </w: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(41.4%)</w:t>
            </w: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13.9%</w:t>
            </w:r>
          </w:p>
        </w:tc>
        <w:tc>
          <w:tcPr>
            <w:tcW w:w="0" w:type="dxa"/>
            <w:vAlign w:val="bottom"/>
          </w:tcPr>
          <w:p>
            <w:pPr>
              <w:spacing w:after="0"/>
              <w:rPr>
                <w:sz w:val="1"/>
                <w:szCs w:val="1"/>
                <w:color w:val="auto"/>
              </w:rPr>
            </w:pPr>
          </w:p>
        </w:tc>
      </w:tr>
    </w:tbl>
    <w:p>
      <w:pPr>
        <w:spacing w:after="0" w:line="256" w:lineRule="exact"/>
        <w:rPr>
          <w:sz w:val="20"/>
          <w:szCs w:val="20"/>
          <w:color w:val="auto"/>
        </w:rPr>
      </w:pPr>
    </w:p>
    <w:p>
      <w:pPr>
        <w:jc w:val="both"/>
        <w:ind w:right="220" w:firstLine="324"/>
        <w:spacing w:after="0" w:line="342" w:lineRule="auto"/>
        <w:rPr>
          <w:sz w:val="20"/>
          <w:szCs w:val="20"/>
          <w:color w:val="auto"/>
        </w:rPr>
      </w:pPr>
      <w:r>
        <w:rPr>
          <w:rFonts w:ascii="Arial" w:cs="Arial" w:eastAsia="Arial" w:hAnsi="Arial"/>
          <w:sz w:val="16"/>
          <w:szCs w:val="16"/>
          <w:color w:val="auto"/>
        </w:rPr>
        <w:t>Our U.S. segment reported revenues in the first quarter of 2017 that were $0.1 million, or 2%, lower than the first quarter of 2016. The reduction was primarily due to decreased revenues from our offshore business partially offset by greater U.S. drilling activity in the Bakken, Rockies and Texas markets.</w:t>
      </w:r>
    </w:p>
    <w:p>
      <w:pPr>
        <w:spacing w:after="0" w:line="124" w:lineRule="exact"/>
        <w:rPr>
          <w:sz w:val="20"/>
          <w:szCs w:val="20"/>
          <w:color w:val="auto"/>
        </w:rPr>
      </w:pPr>
    </w:p>
    <w:p>
      <w:pPr>
        <w:ind w:right="260" w:firstLine="324"/>
        <w:spacing w:after="0" w:line="277" w:lineRule="auto"/>
        <w:rPr>
          <w:sz w:val="20"/>
          <w:szCs w:val="20"/>
          <w:color w:val="auto"/>
        </w:rPr>
      </w:pPr>
      <w:r>
        <w:rPr>
          <w:rFonts w:ascii="Arial" w:cs="Arial" w:eastAsia="Arial" w:hAnsi="Arial"/>
          <w:sz w:val="18"/>
          <w:szCs w:val="18"/>
          <w:color w:val="auto"/>
        </w:rPr>
        <w:t>Our U.S. cost of sales decreased $0.7 million, or 12%, in the first quarter of 2017 compared to the first quarter of 2016. The decrease was driven by a focus on cost containment and operational efficiencies.</w:t>
      </w:r>
    </w:p>
    <w:p>
      <w:pPr>
        <w:spacing w:after="0" w:line="170" w:lineRule="exact"/>
        <w:rPr>
          <w:sz w:val="20"/>
          <w:szCs w:val="20"/>
          <w:color w:val="auto"/>
        </w:rPr>
      </w:pPr>
    </w:p>
    <w:p>
      <w:pPr>
        <w:ind w:right="500" w:firstLine="324"/>
        <w:spacing w:after="0" w:line="342" w:lineRule="auto"/>
        <w:rPr>
          <w:sz w:val="20"/>
          <w:szCs w:val="20"/>
          <w:color w:val="auto"/>
        </w:rPr>
      </w:pPr>
      <w:r>
        <w:rPr>
          <w:rFonts w:ascii="Arial" w:cs="Arial" w:eastAsia="Arial" w:hAnsi="Arial"/>
          <w:sz w:val="16"/>
          <w:szCs w:val="16"/>
          <w:color w:val="auto"/>
        </w:rPr>
        <w:t>Our U.S. segment gross margin as a percentage of revenues increased from (41)% in the first quarter of 2016 to (28)% in the first quarter of 2017, primarily due to a focus on cost containment and operational efficiencies and increased activity in the Bakken, Rockies and Texas markets.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Our primary liquidity needs are to fund capital expenditures, which in the past have included expanding and improving our accommodations, developing new lodges and villages, purchasing or leasing land under our land banking strategy, and for general working capital needs. In addition, capital has been used to repay debt, fund strategic business acquisitions and pay dividends. Historically, our primary sources of funds have been available cash, cash flow from operations, borrowings under the Credit Agreement (as amended by the third amendment described below, the Amended Credit Agreement) and proceeds from our equity issuance. In the future, we may seek to access the debt and equity capital markets from time to time to raise additional capital, increase liquidity, fund acquisitions and refinance debt.</w:t>
      </w:r>
    </w:p>
    <w:p>
      <w:pPr>
        <w:spacing w:after="0" w:line="19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our consolidated liquidity position as of March 31, 2017 and December 31, 2016:</w:t>
      </w:r>
    </w:p>
    <w:p>
      <w:pPr>
        <w:spacing w:after="0" w:line="221"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00" w:type="dxa"/>
            <w:vAlign w:val="bottom"/>
            <w:gridSpan w:val="2"/>
          </w:tcPr>
          <w:p>
            <w:pPr>
              <w:jc w:val="right"/>
              <w:ind w:right="560"/>
              <w:spacing w:after="0"/>
              <w:rPr>
                <w:sz w:val="20"/>
                <w:szCs w:val="20"/>
                <w:color w:val="auto"/>
              </w:rPr>
            </w:pPr>
            <w:r>
              <w:rPr>
                <w:rFonts w:ascii="Arial" w:cs="Arial" w:eastAsia="Arial" w:hAnsi="Arial"/>
                <w:sz w:val="18"/>
                <w:szCs w:val="18"/>
                <w:b w:val="1"/>
                <w:bCs w:val="1"/>
                <w:color w:val="auto"/>
              </w:rPr>
              <w:t>March 31,</w:t>
            </w:r>
          </w:p>
        </w:tc>
        <w:tc>
          <w:tcPr>
            <w:tcW w:w="160" w:type="dxa"/>
            <w:vAlign w:val="bottom"/>
          </w:tcPr>
          <w:p>
            <w:pPr>
              <w:spacing w:after="0"/>
              <w:rPr>
                <w:sz w:val="18"/>
                <w:szCs w:val="18"/>
                <w:color w:val="auto"/>
              </w:rPr>
            </w:pPr>
          </w:p>
        </w:tc>
        <w:tc>
          <w:tcPr>
            <w:tcW w:w="146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w w:val="93"/>
              </w:rPr>
              <w:t>December 31,</w:t>
            </w:r>
          </w:p>
        </w:tc>
      </w:tr>
      <w:tr>
        <w:trPr>
          <w:trHeight w:val="234"/>
        </w:trPr>
        <w:tc>
          <w:tcPr>
            <w:tcW w:w="20" w:type="dxa"/>
            <w:vAlign w:val="bottom"/>
          </w:tcPr>
          <w:p>
            <w:pPr>
              <w:spacing w:after="0"/>
              <w:rPr>
                <w:sz w:val="20"/>
                <w:szCs w:val="20"/>
                <w:color w:val="auto"/>
              </w:rPr>
            </w:pPr>
          </w:p>
        </w:tc>
        <w:tc>
          <w:tcPr>
            <w:tcW w:w="57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2017</w:t>
            </w:r>
          </w:p>
        </w:tc>
        <w:tc>
          <w:tcPr>
            <w:tcW w:w="1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2016</w:t>
            </w:r>
          </w:p>
        </w:tc>
        <w:tc>
          <w:tcPr>
            <w:tcW w:w="80" w:type="dxa"/>
            <w:vAlign w:val="bottom"/>
          </w:tcPr>
          <w:p>
            <w:pPr>
              <w:spacing w:after="0"/>
              <w:rPr>
                <w:sz w:val="20"/>
                <w:szCs w:val="20"/>
                <w:color w:val="auto"/>
              </w:rPr>
            </w:pPr>
          </w:p>
        </w:tc>
      </w:tr>
      <w:tr>
        <w:trPr>
          <w:trHeight w:val="210"/>
        </w:trPr>
        <w:tc>
          <w:tcPr>
            <w:tcW w:w="20" w:type="dxa"/>
            <w:vAlign w:val="bottom"/>
          </w:tcPr>
          <w:p>
            <w:pPr>
              <w:spacing w:after="0"/>
              <w:rPr>
                <w:sz w:val="18"/>
                <w:szCs w:val="18"/>
                <w:color w:val="auto"/>
              </w:rPr>
            </w:pPr>
          </w:p>
        </w:tc>
        <w:tc>
          <w:tcPr>
            <w:tcW w:w="5760" w:type="dxa"/>
            <w:vAlign w:val="bottom"/>
            <w:shd w:val="clear" w:color="auto" w:fill="CCEEFF"/>
          </w:tcPr>
          <w:p>
            <w:pPr>
              <w:spacing w:after="0" w:line="210" w:lineRule="exact"/>
              <w:rPr>
                <w:sz w:val="20"/>
                <w:szCs w:val="20"/>
                <w:color w:val="auto"/>
              </w:rPr>
            </w:pPr>
            <w:r>
              <w:rPr>
                <w:rFonts w:ascii="Arial" w:cs="Arial" w:eastAsia="Arial" w:hAnsi="Arial"/>
                <w:sz w:val="15"/>
                <w:szCs w:val="15"/>
                <w:color w:val="auto"/>
              </w:rPr>
              <w:t xml:space="preserve">Lender commitments </w:t>
            </w:r>
            <w:r>
              <w:rPr>
                <w:rFonts w:ascii="Arial" w:cs="Arial" w:eastAsia="Arial" w:hAnsi="Arial"/>
                <w:sz w:val="24"/>
                <w:szCs w:val="24"/>
                <w:color w:val="auto"/>
                <w:vertAlign w:val="superscript"/>
              </w:rPr>
              <w:t>(1)</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275,000</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350,000</w:t>
            </w: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760" w:type="dxa"/>
            <w:vAlign w:val="bottom"/>
          </w:tcPr>
          <w:p>
            <w:pPr>
              <w:ind w:left="160"/>
              <w:spacing w:after="0" w:line="216" w:lineRule="exact"/>
              <w:rPr>
                <w:sz w:val="20"/>
                <w:szCs w:val="20"/>
                <w:color w:val="auto"/>
              </w:rPr>
            </w:pPr>
            <w:r>
              <w:rPr>
                <w:rFonts w:ascii="Arial" w:cs="Arial" w:eastAsia="Arial" w:hAnsi="Arial"/>
                <w:sz w:val="16"/>
                <w:szCs w:val="16"/>
                <w:color w:val="auto"/>
              </w:rPr>
              <w:t xml:space="preserve">Reductions in availability </w:t>
            </w:r>
            <w:r>
              <w:rPr>
                <w:rFonts w:ascii="Arial" w:cs="Arial" w:eastAsia="Arial" w:hAnsi="Arial"/>
                <w:sz w:val="25"/>
                <w:szCs w:val="25"/>
                <w:color w:val="auto"/>
                <w:vertAlign w:val="superscript"/>
              </w:rPr>
              <w:t>(2)</w:t>
            </w:r>
          </w:p>
        </w:tc>
        <w:tc>
          <w:tcPr>
            <w:tcW w:w="240" w:type="dxa"/>
            <w:vAlign w:val="bottom"/>
          </w:tcPr>
          <w:p>
            <w:pPr>
              <w:spacing w:after="0"/>
              <w:rPr>
                <w:sz w:val="18"/>
                <w:szCs w:val="18"/>
                <w:color w:val="auto"/>
              </w:rPr>
            </w:pPr>
          </w:p>
        </w:tc>
        <w:tc>
          <w:tcPr>
            <w:tcW w:w="1500" w:type="dxa"/>
            <w:vAlign w:val="bottom"/>
            <w:gridSpan w:val="2"/>
          </w:tcPr>
          <w:p>
            <w:pPr>
              <w:jc w:val="right"/>
              <w:ind w:right="120"/>
              <w:spacing w:after="0"/>
              <w:rPr>
                <w:sz w:val="20"/>
                <w:szCs w:val="20"/>
                <w:color w:val="auto"/>
              </w:rPr>
            </w:pPr>
            <w:r>
              <w:rPr>
                <w:rFonts w:ascii="Arial" w:cs="Arial" w:eastAsia="Arial" w:hAnsi="Arial"/>
                <w:sz w:val="18"/>
                <w:szCs w:val="18"/>
                <w:color w:val="auto"/>
              </w:rPr>
              <w:t>(100,941)</w:t>
            </w:r>
          </w:p>
        </w:tc>
        <w:tc>
          <w:tcPr>
            <w:tcW w:w="160" w:type="dxa"/>
            <w:vAlign w:val="bottom"/>
          </w:tcPr>
          <w:p>
            <w:pPr>
              <w:spacing w:after="0"/>
              <w:rPr>
                <w:sz w:val="18"/>
                <w:szCs w:val="18"/>
                <w:color w:val="auto"/>
              </w:rPr>
            </w:pPr>
          </w:p>
        </w:tc>
        <w:tc>
          <w:tcPr>
            <w:tcW w:w="1460" w:type="dxa"/>
            <w:vAlign w:val="bottom"/>
            <w:gridSpan w:val="2"/>
          </w:tcPr>
          <w:p>
            <w:pPr>
              <w:jc w:val="right"/>
              <w:ind w:right="20"/>
              <w:spacing w:after="0"/>
              <w:rPr>
                <w:sz w:val="20"/>
                <w:szCs w:val="20"/>
                <w:color w:val="auto"/>
              </w:rPr>
            </w:pPr>
            <w:r>
              <w:rPr>
                <w:rFonts w:ascii="Arial" w:cs="Arial" w:eastAsia="Arial" w:hAnsi="Arial"/>
                <w:sz w:val="18"/>
                <w:szCs w:val="18"/>
                <w:color w:val="auto"/>
              </w:rPr>
              <w:t>(144,803)</w:t>
            </w:r>
          </w:p>
        </w:tc>
      </w:tr>
      <w:tr>
        <w:trPr>
          <w:trHeight w:val="216"/>
        </w:trPr>
        <w:tc>
          <w:tcPr>
            <w:tcW w:w="20" w:type="dxa"/>
            <w:vAlign w:val="bottom"/>
          </w:tcPr>
          <w:p>
            <w:pPr>
              <w:spacing w:after="0"/>
              <w:rPr>
                <w:sz w:val="18"/>
                <w:szCs w:val="18"/>
                <w:color w:val="auto"/>
              </w:rPr>
            </w:pPr>
          </w:p>
        </w:tc>
        <w:tc>
          <w:tcPr>
            <w:tcW w:w="57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Borrowings against revolving credit capacity</w:t>
            </w:r>
          </w:p>
        </w:tc>
        <w:tc>
          <w:tcPr>
            <w:tcW w:w="24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(39,129)</w:t>
            </w:r>
          </w:p>
        </w:tc>
      </w:tr>
      <w:tr>
        <w:trPr>
          <w:trHeight w:val="216"/>
        </w:trPr>
        <w:tc>
          <w:tcPr>
            <w:tcW w:w="20" w:type="dxa"/>
            <w:vAlign w:val="bottom"/>
          </w:tcPr>
          <w:p>
            <w:pPr>
              <w:spacing w:after="0"/>
              <w:rPr>
                <w:sz w:val="18"/>
                <w:szCs w:val="18"/>
                <w:color w:val="auto"/>
              </w:rPr>
            </w:pPr>
          </w:p>
        </w:tc>
        <w:tc>
          <w:tcPr>
            <w:tcW w:w="5760" w:type="dxa"/>
            <w:vAlign w:val="bottom"/>
          </w:tcPr>
          <w:p>
            <w:pPr>
              <w:ind w:left="160"/>
              <w:spacing w:after="0"/>
              <w:rPr>
                <w:sz w:val="20"/>
                <w:szCs w:val="20"/>
                <w:color w:val="auto"/>
              </w:rPr>
            </w:pPr>
            <w:r>
              <w:rPr>
                <w:rFonts w:ascii="Arial" w:cs="Arial" w:eastAsia="Arial" w:hAnsi="Arial"/>
                <w:sz w:val="18"/>
                <w:szCs w:val="18"/>
                <w:color w:val="auto"/>
              </w:rPr>
              <w:t>Outstanding letters of credit</w:t>
            </w:r>
          </w:p>
        </w:tc>
        <w:tc>
          <w:tcPr>
            <w:tcW w:w="240" w:type="dxa"/>
            <w:vAlign w:val="bottom"/>
          </w:tcPr>
          <w:p>
            <w:pPr>
              <w:spacing w:after="0"/>
              <w:rPr>
                <w:sz w:val="18"/>
                <w:szCs w:val="18"/>
                <w:color w:val="auto"/>
              </w:rPr>
            </w:pPr>
          </w:p>
        </w:tc>
        <w:tc>
          <w:tcPr>
            <w:tcW w:w="1500" w:type="dxa"/>
            <w:vAlign w:val="bottom"/>
            <w:gridSpan w:val="2"/>
          </w:tcPr>
          <w:p>
            <w:pPr>
              <w:jc w:val="right"/>
              <w:ind w:right="120"/>
              <w:spacing w:after="0"/>
              <w:rPr>
                <w:sz w:val="20"/>
                <w:szCs w:val="20"/>
                <w:color w:val="auto"/>
              </w:rPr>
            </w:pPr>
            <w:r>
              <w:rPr>
                <w:rFonts w:ascii="Arial" w:cs="Arial" w:eastAsia="Arial" w:hAnsi="Arial"/>
                <w:sz w:val="18"/>
                <w:szCs w:val="18"/>
                <w:color w:val="auto"/>
              </w:rPr>
              <w:t>(1,397)</w:t>
            </w:r>
          </w:p>
        </w:tc>
        <w:tc>
          <w:tcPr>
            <w:tcW w:w="160" w:type="dxa"/>
            <w:vAlign w:val="bottom"/>
          </w:tcPr>
          <w:p>
            <w:pPr>
              <w:spacing w:after="0"/>
              <w:rPr>
                <w:sz w:val="18"/>
                <w:szCs w:val="18"/>
                <w:color w:val="auto"/>
              </w:rPr>
            </w:pPr>
          </w:p>
        </w:tc>
        <w:tc>
          <w:tcPr>
            <w:tcW w:w="1460" w:type="dxa"/>
            <w:vAlign w:val="bottom"/>
            <w:gridSpan w:val="2"/>
          </w:tcPr>
          <w:p>
            <w:pPr>
              <w:jc w:val="right"/>
              <w:ind w:right="20"/>
              <w:spacing w:after="0"/>
              <w:rPr>
                <w:sz w:val="20"/>
                <w:szCs w:val="20"/>
                <w:color w:val="auto"/>
              </w:rPr>
            </w:pPr>
            <w:r>
              <w:rPr>
                <w:rFonts w:ascii="Arial" w:cs="Arial" w:eastAsia="Arial" w:hAnsi="Arial"/>
                <w:sz w:val="18"/>
                <w:szCs w:val="18"/>
                <w:color w:val="auto"/>
              </w:rPr>
              <w:t>(1,571)</w:t>
            </w:r>
          </w:p>
        </w:tc>
      </w:tr>
      <w:tr>
        <w:trPr>
          <w:trHeight w:val="210"/>
        </w:trPr>
        <w:tc>
          <w:tcPr>
            <w:tcW w:w="20" w:type="dxa"/>
            <w:vAlign w:val="bottom"/>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Unused availability</w:t>
            </w:r>
          </w:p>
        </w:tc>
        <w:tc>
          <w:tcPr>
            <w:tcW w:w="24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172,662</w:t>
            </w:r>
          </w:p>
        </w:tc>
        <w:tc>
          <w:tcPr>
            <w:tcW w:w="18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164,497</w:t>
            </w: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76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2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27,136</w:t>
            </w:r>
          </w:p>
        </w:tc>
        <w:tc>
          <w:tcPr>
            <w:tcW w:w="1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1,785</w:t>
            </w:r>
          </w:p>
        </w:tc>
        <w:tc>
          <w:tcPr>
            <w:tcW w:w="80" w:type="dxa"/>
            <w:vAlign w:val="bottom"/>
          </w:tcPr>
          <w:p>
            <w:pPr>
              <w:spacing w:after="0"/>
              <w:rPr>
                <w:sz w:val="18"/>
                <w:szCs w:val="18"/>
                <w:color w:val="auto"/>
              </w:rPr>
            </w:pPr>
          </w:p>
        </w:tc>
      </w:tr>
      <w:tr>
        <w:trPr>
          <w:trHeight w:val="250"/>
        </w:trPr>
        <w:tc>
          <w:tcPr>
            <w:tcW w:w="20" w:type="dxa"/>
            <w:vAlign w:val="bottom"/>
          </w:tcPr>
          <w:p>
            <w:pPr>
              <w:spacing w:after="0"/>
              <w:rPr>
                <w:sz w:val="21"/>
                <w:szCs w:val="21"/>
                <w:color w:val="auto"/>
              </w:rPr>
            </w:pPr>
          </w:p>
        </w:tc>
        <w:tc>
          <w:tcPr>
            <w:tcW w:w="57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available liquidity</w:t>
            </w:r>
          </w:p>
        </w:tc>
        <w:tc>
          <w:tcPr>
            <w:tcW w:w="240" w:type="dxa"/>
            <w:vAlign w:val="bottom"/>
            <w:tcBorders>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199,798</w:t>
            </w:r>
          </w:p>
        </w:tc>
        <w:tc>
          <w:tcPr>
            <w:tcW w:w="1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166,282</w:t>
            </w:r>
          </w:p>
        </w:tc>
        <w:tc>
          <w:tcPr>
            <w:tcW w:w="80" w:type="dxa"/>
            <w:vAlign w:val="bottom"/>
            <w:tcBorders>
              <w:bottom w:val="single" w:sz="8" w:color="CCEEFF"/>
            </w:tcBorders>
            <w:shd w:val="clear" w:color="auto" w:fill="CCEEFF"/>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111760</wp:posOffset>
            </wp:positionV>
            <wp:extent cx="80010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800100" cy="8890"/>
                    </a:xfrm>
                    <a:prstGeom prst="rect">
                      <a:avLst/>
                    </a:prstGeom>
                    <a:noFill/>
                  </pic:spPr>
                </pic:pic>
              </a:graphicData>
            </a:graphic>
          </wp:anchor>
        </w:drawing>
      </w:r>
    </w:p>
    <w:p>
      <w:pPr>
        <w:spacing w:after="0" w:line="182" w:lineRule="exact"/>
        <w:rPr>
          <w:sz w:val="20"/>
          <w:szCs w:val="20"/>
          <w:color w:val="auto"/>
        </w:rPr>
      </w:pPr>
    </w:p>
    <w:p>
      <w:pPr>
        <w:ind w:left="660" w:right="20" w:hanging="328"/>
        <w:spacing w:after="0" w:line="277"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We also have a A$2.0 million bank guarantee facility. We had bank guarantees of A$0.8 million and A$0.8 million under this facility outstanding as of March 31, 2017 and December 31, 2016, respectively.</w:t>
      </w:r>
    </w:p>
    <w:p>
      <w:pPr>
        <w:spacing w:after="0" w:line="170" w:lineRule="exact"/>
        <w:rPr>
          <w:rFonts w:ascii="Arial" w:cs="Arial" w:eastAsia="Arial" w:hAnsi="Arial"/>
          <w:sz w:val="18"/>
          <w:szCs w:val="18"/>
          <w:color w:val="auto"/>
        </w:rPr>
      </w:pPr>
    </w:p>
    <w:p>
      <w:pPr>
        <w:ind w:left="660" w:right="160" w:hanging="328"/>
        <w:spacing w:after="0" w:line="264"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As of March 31, 2017 and December 31, 2016, $100.9 million and $144.8 million, respectively, of our borrowing capacity under the Amended Credit Agreement (as defined below) could not be utilized in order to maintain compliance with the maximum leverage ratio financial covenant in the Amended Credit Agreement.</w:t>
      </w:r>
    </w:p>
    <w:p>
      <w:pPr>
        <w:spacing w:after="0" w:line="181" w:lineRule="exact"/>
        <w:rPr>
          <w:sz w:val="20"/>
          <w:szCs w:val="20"/>
          <w:color w:val="auto"/>
        </w:rPr>
      </w:pPr>
    </w:p>
    <w:p>
      <w:pPr>
        <w:ind w:right="20" w:firstLine="324"/>
        <w:spacing w:after="0" w:line="279" w:lineRule="auto"/>
        <w:rPr>
          <w:sz w:val="20"/>
          <w:szCs w:val="20"/>
          <w:color w:val="auto"/>
        </w:rPr>
      </w:pPr>
      <w:r>
        <w:rPr>
          <w:rFonts w:ascii="Arial" w:cs="Arial" w:eastAsia="Arial" w:hAnsi="Arial"/>
          <w:sz w:val="17"/>
          <w:szCs w:val="17"/>
          <w:color w:val="auto"/>
        </w:rPr>
        <w:t>Cash totaling $9.8 million was provided by operations during the first quarter of 2017, compared to $11.3 million provided by operations during the first quarter of 2016. The decrease in operating cash flow in 2017 compared to 2016 was primarily due to a reduction in working capital in 2017. During the first quarter of 2017 and 2016, ($2.0) million and $1.3 million, respectively, was provided by (used in) working capital. The reduction in working capital was primarily driven by larger decreases of accounts payable in the first quarter of 2017 compared to the first quarter of 2016.</w:t>
      </w:r>
    </w:p>
    <w:p>
      <w:pPr>
        <w:spacing w:after="0" w:line="200" w:lineRule="exact"/>
        <w:rPr>
          <w:sz w:val="20"/>
          <w:szCs w:val="20"/>
          <w:color w:val="auto"/>
        </w:rPr>
      </w:pPr>
    </w:p>
    <w:p>
      <w:pPr>
        <w:spacing w:after="0" w:line="21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340"/>
          </w:cols>
          <w:pgMar w:left="240" w:top="584" w:right="319" w:bottom="1440" w:gutter="0" w:footer="0" w:header="0"/>
        </w:sectPr>
      </w:pPr>
    </w:p>
    <w:bookmarkStart w:id="25" w:name="page26"/>
    <w:bookmarkEnd w:id="25"/>
    <w:p>
      <w:pPr>
        <w:ind w:right="100" w:firstLine="324"/>
        <w:spacing w:after="0" w:line="279" w:lineRule="auto"/>
        <w:rPr>
          <w:sz w:val="20"/>
          <w:szCs w:val="20"/>
          <w:color w:val="auto"/>
        </w:rPr>
      </w:pPr>
      <w:r>
        <w:rPr>
          <w:rFonts w:ascii="Arial" w:cs="Arial" w:eastAsia="Arial" w:hAnsi="Arial"/>
          <w:sz w:val="17"/>
          <w:szCs w:val="17"/>
          <w:color w:val="auto"/>
        </w:rPr>
        <w:t>Cash was used in investing activities during the three months ended March 31, 2017 in the amount of $3.3 million, compared to cash used in investing activities during the three months ended March 31, 2016 in the amount of $3.5 million. Capital expenditures totaled $3.9 million and $4.8 million during the three months ended March 31, 2017 and 2016, respectively. Capital expenditures in the first quarter of each of 2017 and 2016 consisted primarily of routine maintenance capital expenditures as well as investments in an enterprise information system.</w:t>
      </w:r>
    </w:p>
    <w:p>
      <w:pPr>
        <w:spacing w:after="0" w:line="171" w:lineRule="exact"/>
        <w:rPr>
          <w:sz w:val="20"/>
          <w:szCs w:val="20"/>
          <w:color w:val="auto"/>
        </w:rPr>
      </w:pPr>
    </w:p>
    <w:p>
      <w:pPr>
        <w:ind w:right="20" w:firstLine="324"/>
        <w:spacing w:after="0" w:line="273" w:lineRule="auto"/>
        <w:rPr>
          <w:sz w:val="20"/>
          <w:szCs w:val="20"/>
          <w:color w:val="auto"/>
        </w:rPr>
      </w:pPr>
      <w:r>
        <w:rPr>
          <w:rFonts w:ascii="Arial" w:cs="Arial" w:eastAsia="Arial" w:hAnsi="Arial"/>
          <w:sz w:val="17"/>
          <w:szCs w:val="17"/>
          <w:color w:val="auto"/>
        </w:rPr>
        <w:t>We expect our capital expenditures for 2017 to be in the range of $15 million to $18 million, which excludes any expenditures for unannounced and uncommitted projects, the spending for which is contingent on obtaining customer contracts. Whether planned expenditures will match actual expenditures in 2017 depends on industry conditions, project approvals and schedules, customer room commitments and project and construction timing. We expect to fund these capital expenditures with available cash, cash flow from operations and revolving credit borrowings under our Amended Credit Agreement. The foregoing capital expenditure forecast does not include any funds for strategic acquisitions, which we could pursue depending on the economic environment in our industry and the availability of transactions at prices deemed to be attractive to us.</w:t>
      </w:r>
    </w:p>
    <w:p>
      <w:pPr>
        <w:spacing w:after="0" w:line="178" w:lineRule="exact"/>
        <w:rPr>
          <w:sz w:val="20"/>
          <w:szCs w:val="20"/>
          <w:color w:val="auto"/>
        </w:rPr>
      </w:pPr>
    </w:p>
    <w:p>
      <w:pPr>
        <w:ind w:firstLine="907"/>
        <w:spacing w:after="0" w:line="259" w:lineRule="auto"/>
        <w:rPr>
          <w:sz w:val="20"/>
          <w:szCs w:val="20"/>
          <w:color w:val="auto"/>
        </w:rPr>
      </w:pPr>
      <w:r>
        <w:rPr>
          <w:rFonts w:ascii="Arial" w:cs="Arial" w:eastAsia="Arial" w:hAnsi="Arial"/>
          <w:sz w:val="18"/>
          <w:szCs w:val="18"/>
          <w:color w:val="auto"/>
        </w:rPr>
        <w:t>Net cash of $18.9 million was provided by financing activities during the three months ended March 31, 2017 primarily due to net proceeds from our February 2017 equity offering of $64.8 million, offset by net repayments under our revolving credit facilities of $40.0 million and repayments of term loan borrowings of $3.9 million. Net cash of $13.0 million was used by financing activities during the three months ended March 31, 2016 due to repayments of term loan borrowings of $29.1 million, partially offset by net revolver borrowings of $18.1 million.</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the changes in debt outstanding during the first quarter of 2017 (in thousands):</w:t>
      </w:r>
    </w:p>
    <w:p>
      <w:pPr>
        <w:spacing w:after="0" w:line="275" w:lineRule="exact"/>
        <w:rPr>
          <w:sz w:val="20"/>
          <w:szCs w:val="20"/>
          <w:color w:val="auto"/>
        </w:rPr>
      </w:pPr>
    </w:p>
    <w:tbl>
      <w:tblPr>
        <w:tblLayout w:type="fixed"/>
        <w:tblInd w:w="50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46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6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Canada</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rPr>
              <w:t>Australia</w:t>
            </w: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20" w:type="dxa"/>
            <w:vAlign w:val="bottom"/>
            <w:gridSpan w:val="2"/>
          </w:tcPr>
          <w:p>
            <w:pPr>
              <w:jc w:val="right"/>
              <w:ind w:right="620"/>
              <w:spacing w:after="0"/>
              <w:rPr>
                <w:sz w:val="20"/>
                <w:szCs w:val="20"/>
                <w:color w:val="auto"/>
              </w:rPr>
            </w:pPr>
            <w:r>
              <w:rPr>
                <w:rFonts w:ascii="Arial" w:cs="Arial" w:eastAsia="Arial" w:hAnsi="Arial"/>
                <w:sz w:val="18"/>
                <w:szCs w:val="18"/>
                <w:b w:val="1"/>
                <w:bCs w:val="1"/>
                <w:color w:val="auto"/>
              </w:rPr>
              <w:t>U.S.</w:t>
            </w:r>
          </w:p>
        </w:tc>
        <w:tc>
          <w:tcPr>
            <w:tcW w:w="260" w:type="dxa"/>
            <w:vAlign w:val="bottom"/>
          </w:tcPr>
          <w:p>
            <w:pPr>
              <w:spacing w:after="0"/>
              <w:rPr>
                <w:sz w:val="20"/>
                <w:szCs w:val="20"/>
                <w:color w:val="auto"/>
              </w:rPr>
            </w:pPr>
          </w:p>
        </w:tc>
        <w:tc>
          <w:tcPr>
            <w:tcW w:w="106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Balance at December 31, 2016</w:t>
            </w: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326,385</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6,507</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24,375</w:t>
            </w:r>
          </w:p>
        </w:tc>
        <w:tc>
          <w:tcPr>
            <w:tcW w:w="18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357,267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tcPr>
          <w:p>
            <w:pPr>
              <w:ind w:left="140"/>
              <w:spacing w:after="0"/>
              <w:rPr>
                <w:sz w:val="20"/>
                <w:szCs w:val="20"/>
                <w:color w:val="auto"/>
              </w:rPr>
            </w:pPr>
            <w:r>
              <w:rPr>
                <w:rFonts w:ascii="Arial" w:cs="Arial" w:eastAsia="Arial" w:hAnsi="Arial"/>
                <w:sz w:val="18"/>
                <w:szCs w:val="18"/>
                <w:color w:val="auto"/>
              </w:rPr>
              <w:t>Borrowings under revolving credit facilities</w:t>
            </w:r>
          </w:p>
        </w:tc>
        <w:tc>
          <w:tcPr>
            <w:tcW w:w="22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22,656</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3,448</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8,800</w:t>
            </w:r>
          </w:p>
        </w:tc>
        <w:tc>
          <w:tcPr>
            <w:tcW w:w="2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34,904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CCEEFF"/>
          </w:tcPr>
          <w:p>
            <w:pPr>
              <w:ind w:left="140"/>
              <w:spacing w:after="0"/>
              <w:rPr>
                <w:sz w:val="20"/>
                <w:szCs w:val="20"/>
                <w:color w:val="auto"/>
              </w:rPr>
            </w:pPr>
            <w:r>
              <w:rPr>
                <w:rFonts w:ascii="Arial" w:cs="Arial" w:eastAsia="Arial" w:hAnsi="Arial"/>
                <w:sz w:val="18"/>
                <w:szCs w:val="18"/>
                <w:color w:val="auto"/>
                <w:w w:val="96"/>
              </w:rPr>
              <w:t>Repayments of borrowings under revolving credit facilities</w:t>
            </w: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(55,726)</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(10,342)</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(8,800)</w:t>
            </w:r>
          </w:p>
        </w:tc>
        <w:tc>
          <w:tcPr>
            <w:tcW w:w="2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(74,868)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tcPr>
          <w:p>
            <w:pPr>
              <w:ind w:left="140"/>
              <w:spacing w:after="0"/>
              <w:rPr>
                <w:sz w:val="20"/>
                <w:szCs w:val="20"/>
                <w:color w:val="auto"/>
              </w:rPr>
            </w:pPr>
            <w:r>
              <w:rPr>
                <w:rFonts w:ascii="Arial" w:cs="Arial" w:eastAsia="Arial" w:hAnsi="Arial"/>
                <w:sz w:val="18"/>
                <w:szCs w:val="18"/>
                <w:color w:val="auto"/>
              </w:rPr>
              <w:t>Repayments of term loans</w:t>
            </w:r>
          </w:p>
        </w:tc>
        <w:tc>
          <w:tcPr>
            <w:tcW w:w="220" w:type="dxa"/>
            <w:vAlign w:val="bottom"/>
          </w:tcPr>
          <w:p>
            <w:pPr>
              <w:spacing w:after="0"/>
              <w:rPr>
                <w:sz w:val="18"/>
                <w:szCs w:val="18"/>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(3,947)</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(3,947)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Translation</w:t>
            </w: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2,735</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387</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3,122</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60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600" w:type="dxa"/>
            <w:vAlign w:val="bottom"/>
          </w:tcPr>
          <w:p>
            <w:pPr>
              <w:spacing w:after="0"/>
              <w:rPr>
                <w:sz w:val="20"/>
                <w:szCs w:val="20"/>
                <w:color w:val="auto"/>
              </w:rPr>
            </w:pPr>
            <w:r>
              <w:rPr>
                <w:rFonts w:ascii="Arial" w:cs="Arial" w:eastAsia="Arial" w:hAnsi="Arial"/>
                <w:sz w:val="18"/>
                <w:szCs w:val="18"/>
                <w:color w:val="auto"/>
              </w:rPr>
              <w:t>Balance at March 31, 2017</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292,103</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36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24,375</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316,478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firstLine="324"/>
        <w:spacing w:after="0" w:line="269" w:lineRule="auto"/>
        <w:rPr>
          <w:sz w:val="20"/>
          <w:szCs w:val="20"/>
          <w:color w:val="auto"/>
        </w:rPr>
      </w:pPr>
      <w:r>
        <w:rPr>
          <w:rFonts w:ascii="Arial" w:cs="Arial" w:eastAsia="Arial" w:hAnsi="Arial"/>
          <w:sz w:val="17"/>
          <w:szCs w:val="17"/>
          <w:color w:val="auto"/>
        </w:rPr>
        <w:t>We believe that cash on hand and cash flow from operations will be sufficient to meet our anticipated liquidity needs in the coming 12 months. If our plans or assumptions change, or are inaccurate, or if we make acquisitions, we may need to raise additional capital. Acquisitions have been, and our management believes acquisitions will continue to be, an element of our business strategy. The timing, size or success of any acquisition effort and the associated potential capital commitments are unpredictable and uncertain. We may seek to fund all or part of any such efforts with proceeds from debt and/or equity issuances. Our ability to obtain capital for additional projects to implement our growth strategy over the longer term will depend on our future operating performance, financial condition and, more broadly, on the availability of equity and debt financing. Capital availability will be affected by prevailing conditions in our industry, the global economy, the global financial markets and other factors, many of which are beyond our control. In addition, any additional debt service requirements we take on could be based on higher interest rates and shorter maturities and could impose a significant burden on our results of operations and financial condition, and the issuance of additional equity securities could result in significant dilution to shareholders. In addition, in some cases, we may incur costs to acquire land and/or construct assets without securing a customer contract or prior to finalization of an accommodations contract with a customer. If the contract is not obtained or the underlying investment decision is delayed, the resulting impact could result in an impairment of the related investment.</w:t>
      </w:r>
    </w:p>
    <w:p>
      <w:pPr>
        <w:spacing w:after="0" w:line="200" w:lineRule="exact"/>
        <w:rPr>
          <w:sz w:val="20"/>
          <w:szCs w:val="20"/>
          <w:color w:val="auto"/>
        </w:rPr>
      </w:pPr>
    </w:p>
    <w:p>
      <w:pPr>
        <w:spacing w:after="0" w:line="22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380"/>
          </w:cols>
          <w:pgMar w:left="240" w:top="584" w:right="27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color w:val="auto"/>
        </w:rPr>
        <w:t>Amended Credit Agreement</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On February 17, 2017, the third amendment to the Credit Agreement became effective, which:</w:t>
      </w:r>
    </w:p>
    <w:p>
      <w:pPr>
        <w:spacing w:after="0" w:line="225" w:lineRule="exact"/>
        <w:rPr>
          <w:sz w:val="20"/>
          <w:szCs w:val="20"/>
          <w:color w:val="auto"/>
        </w:rPr>
      </w:pPr>
    </w:p>
    <w:p>
      <w:pPr>
        <w:ind w:left="660" w:right="180" w:hanging="328"/>
        <w:spacing w:after="0" w:line="257"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provided for the reduction by $75 million of the aggregate revolving loan commitments under the Amended Credit Agreement, to a maximum principal amount of $275 million, allocated as follows: (1) a $40.0 million senior secured revolving credit facility in favor of certain of our U.S. subsidiaries, as borrowers; (2) a $90.0 million senior secured revolving credit facility in favor of Civeo and certain of our Canadian subsidiaries, as borrowers; (3) a $60.0 million senior secured revolving credit facility in favor of Civeo, as borrower; and (4) an $85.0 million senior secured revolving credit facility in favor of one of our Australian subsidiaries, as borrower;</w:t>
      </w:r>
    </w:p>
    <w:p>
      <w:pPr>
        <w:spacing w:after="0" w:line="188" w:lineRule="exact"/>
        <w:rPr>
          <w:rFonts w:ascii="Arial" w:cs="Arial" w:eastAsia="Arial" w:hAnsi="Arial"/>
          <w:sz w:val="18"/>
          <w:szCs w:val="18"/>
          <w:color w:val="auto"/>
        </w:rPr>
      </w:pPr>
    </w:p>
    <w:p>
      <w:pPr>
        <w:ind w:left="660" w:hanging="328"/>
        <w:spacing w:after="0" w:line="264"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established one additional level to the total leverage-based grid such that the interest rates for the loans range from the London Interbank Offered Rate (LIBOR) plus 2.25% to LIBOR plus 5.50%, and increased the undrawn commitment fee from a range of 0.51% to 1.13% to a range of 0.51% to 1.24% based on total leverage;</w:t>
      </w:r>
    </w:p>
    <w:p>
      <w:pPr>
        <w:spacing w:after="0" w:line="181"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adjusted the maximum leverage ratio financial covenant, as follows:</w:t>
      </w:r>
    </w:p>
    <w:p>
      <w:pPr>
        <w:spacing w:after="0" w:line="208" w:lineRule="exact"/>
        <w:rPr>
          <w:sz w:val="20"/>
          <w:szCs w:val="20"/>
          <w:color w:val="auto"/>
        </w:rPr>
      </w:pPr>
    </w:p>
    <w:tbl>
      <w:tblPr>
        <w:tblLayout w:type="fixed"/>
        <w:tblInd w:w="252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3260" w:type="dxa"/>
            <w:vAlign w:val="bottom"/>
            <w:gridSpan w:val="3"/>
          </w:tcPr>
          <w:p>
            <w:pPr>
              <w:ind w:left="1360"/>
              <w:spacing w:after="0"/>
              <w:rPr>
                <w:sz w:val="20"/>
                <w:szCs w:val="20"/>
                <w:color w:val="auto"/>
              </w:rPr>
            </w:pPr>
            <w:r>
              <w:rPr>
                <w:rFonts w:ascii="Arial" w:cs="Arial" w:eastAsia="Arial" w:hAnsi="Arial"/>
                <w:sz w:val="18"/>
                <w:szCs w:val="18"/>
                <w:b w:val="1"/>
                <w:bCs w:val="1"/>
                <w:color w:val="auto"/>
              </w:rPr>
              <w:t>Period Ended</w:t>
            </w:r>
          </w:p>
        </w:tc>
        <w:tc>
          <w:tcPr>
            <w:tcW w:w="3120" w:type="dxa"/>
            <w:vAlign w:val="bottom"/>
            <w:gridSpan w:val="3"/>
          </w:tcPr>
          <w:p>
            <w:pPr>
              <w:jc w:val="center"/>
              <w:ind w:left="450"/>
              <w:spacing w:after="0"/>
              <w:rPr>
                <w:sz w:val="20"/>
                <w:szCs w:val="20"/>
                <w:color w:val="auto"/>
              </w:rPr>
            </w:pPr>
            <w:r>
              <w:rPr>
                <w:rFonts w:ascii="Arial" w:cs="Arial" w:eastAsia="Arial" w:hAnsi="Arial"/>
                <w:sz w:val="18"/>
                <w:szCs w:val="18"/>
                <w:b w:val="1"/>
                <w:bCs w:val="1"/>
                <w:color w:val="auto"/>
                <w:w w:val="93"/>
              </w:rPr>
              <w:t>Maximum Leverage Ratio</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60" w:type="dxa"/>
            <w:vAlign w:val="bottom"/>
            <w:tcBorders>
              <w:top w:val="single" w:sz="8" w:color="auto"/>
            </w:tcBorders>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20" w:type="dxa"/>
            <w:vAlign w:val="bottom"/>
            <w:tcBorders>
              <w:top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2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December 31, 2016 (no change)</w:t>
            </w:r>
          </w:p>
        </w:tc>
        <w:tc>
          <w:tcPr>
            <w:tcW w:w="2840" w:type="dxa"/>
            <w:vAlign w:val="bottom"/>
            <w:gridSpan w:val="2"/>
            <w:shd w:val="clear" w:color="auto" w:fill="CCEEFF"/>
          </w:tcPr>
          <w:p>
            <w:pPr>
              <w:jc w:val="center"/>
              <w:ind w:left="730"/>
              <w:spacing w:after="0"/>
              <w:rPr>
                <w:sz w:val="20"/>
                <w:szCs w:val="20"/>
                <w:color w:val="auto"/>
              </w:rPr>
            </w:pPr>
            <w:r>
              <w:rPr>
                <w:rFonts w:ascii="Arial" w:cs="Arial" w:eastAsia="Arial" w:hAnsi="Arial"/>
                <w:sz w:val="18"/>
                <w:szCs w:val="18"/>
                <w:color w:val="auto"/>
                <w:w w:val="91"/>
              </w:rPr>
              <w:t>5.50 : 1.00</w:t>
            </w:r>
          </w:p>
        </w:tc>
        <w:tc>
          <w:tcPr>
            <w:tcW w:w="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60" w:type="dxa"/>
            <w:vAlign w:val="bottom"/>
            <w:gridSpan w:val="3"/>
          </w:tcPr>
          <w:p>
            <w:pPr>
              <w:spacing w:after="0"/>
              <w:rPr>
                <w:sz w:val="20"/>
                <w:szCs w:val="20"/>
                <w:color w:val="auto"/>
              </w:rPr>
            </w:pPr>
            <w:r>
              <w:rPr>
                <w:rFonts w:ascii="Arial" w:cs="Arial" w:eastAsia="Arial" w:hAnsi="Arial"/>
                <w:sz w:val="18"/>
                <w:szCs w:val="18"/>
                <w:color w:val="auto"/>
              </w:rPr>
              <w:t>March 31, 2017 (no change)</w:t>
            </w:r>
          </w:p>
        </w:tc>
        <w:tc>
          <w:tcPr>
            <w:tcW w:w="2840" w:type="dxa"/>
            <w:vAlign w:val="bottom"/>
            <w:gridSpan w:val="2"/>
          </w:tcPr>
          <w:p>
            <w:pPr>
              <w:jc w:val="center"/>
              <w:ind w:left="730"/>
              <w:spacing w:after="0"/>
              <w:rPr>
                <w:sz w:val="20"/>
                <w:szCs w:val="20"/>
                <w:color w:val="auto"/>
              </w:rPr>
            </w:pPr>
            <w:r>
              <w:rPr>
                <w:rFonts w:ascii="Arial" w:cs="Arial" w:eastAsia="Arial" w:hAnsi="Arial"/>
                <w:sz w:val="18"/>
                <w:szCs w:val="18"/>
                <w:color w:val="auto"/>
                <w:w w:val="91"/>
              </w:rPr>
              <w:t>5.25 : 1.00</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June 30, 2017 (no change)</w:t>
            </w:r>
          </w:p>
        </w:tc>
        <w:tc>
          <w:tcPr>
            <w:tcW w:w="2840" w:type="dxa"/>
            <w:vAlign w:val="bottom"/>
            <w:gridSpan w:val="2"/>
            <w:shd w:val="clear" w:color="auto" w:fill="CCEEFF"/>
          </w:tcPr>
          <w:p>
            <w:pPr>
              <w:jc w:val="center"/>
              <w:ind w:left="730"/>
              <w:spacing w:after="0"/>
              <w:rPr>
                <w:sz w:val="20"/>
                <w:szCs w:val="20"/>
                <w:color w:val="auto"/>
              </w:rPr>
            </w:pPr>
            <w:r>
              <w:rPr>
                <w:rFonts w:ascii="Arial" w:cs="Arial" w:eastAsia="Arial" w:hAnsi="Arial"/>
                <w:sz w:val="18"/>
                <w:szCs w:val="18"/>
                <w:color w:val="auto"/>
                <w:w w:val="91"/>
              </w:rPr>
              <w:t>5.25 : 1.00</w:t>
            </w:r>
          </w:p>
        </w:tc>
        <w:tc>
          <w:tcPr>
            <w:tcW w:w="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60" w:type="dxa"/>
            <w:vAlign w:val="bottom"/>
            <w:gridSpan w:val="3"/>
          </w:tcPr>
          <w:p>
            <w:pPr>
              <w:spacing w:after="0"/>
              <w:rPr>
                <w:sz w:val="20"/>
                <w:szCs w:val="20"/>
                <w:color w:val="auto"/>
              </w:rPr>
            </w:pPr>
            <w:r>
              <w:rPr>
                <w:rFonts w:ascii="Arial" w:cs="Arial" w:eastAsia="Arial" w:hAnsi="Arial"/>
                <w:sz w:val="18"/>
                <w:szCs w:val="18"/>
                <w:color w:val="auto"/>
              </w:rPr>
              <w:t>September 30, 2017</w:t>
            </w:r>
          </w:p>
        </w:tc>
        <w:tc>
          <w:tcPr>
            <w:tcW w:w="2840" w:type="dxa"/>
            <w:vAlign w:val="bottom"/>
            <w:gridSpan w:val="2"/>
          </w:tcPr>
          <w:p>
            <w:pPr>
              <w:jc w:val="center"/>
              <w:ind w:left="730"/>
              <w:spacing w:after="0"/>
              <w:rPr>
                <w:sz w:val="20"/>
                <w:szCs w:val="20"/>
                <w:color w:val="auto"/>
              </w:rPr>
            </w:pPr>
            <w:r>
              <w:rPr>
                <w:rFonts w:ascii="Arial" w:cs="Arial" w:eastAsia="Arial" w:hAnsi="Arial"/>
                <w:sz w:val="18"/>
                <w:szCs w:val="18"/>
                <w:color w:val="auto"/>
                <w:w w:val="91"/>
              </w:rPr>
              <w:t>5.85 : 1.00</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December 31, 2017</w:t>
            </w:r>
          </w:p>
        </w:tc>
        <w:tc>
          <w:tcPr>
            <w:tcW w:w="2840" w:type="dxa"/>
            <w:vAlign w:val="bottom"/>
            <w:gridSpan w:val="2"/>
            <w:shd w:val="clear" w:color="auto" w:fill="CCEEFF"/>
          </w:tcPr>
          <w:p>
            <w:pPr>
              <w:jc w:val="center"/>
              <w:ind w:left="730"/>
              <w:spacing w:after="0"/>
              <w:rPr>
                <w:sz w:val="20"/>
                <w:szCs w:val="20"/>
                <w:color w:val="auto"/>
              </w:rPr>
            </w:pPr>
            <w:r>
              <w:rPr>
                <w:rFonts w:ascii="Arial" w:cs="Arial" w:eastAsia="Arial" w:hAnsi="Arial"/>
                <w:sz w:val="18"/>
                <w:szCs w:val="18"/>
                <w:color w:val="auto"/>
                <w:w w:val="91"/>
              </w:rPr>
              <w:t>5.85 : 1.00</w:t>
            </w:r>
          </w:p>
        </w:tc>
        <w:tc>
          <w:tcPr>
            <w:tcW w:w="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60" w:type="dxa"/>
            <w:vAlign w:val="bottom"/>
            <w:gridSpan w:val="3"/>
          </w:tcPr>
          <w:p>
            <w:pPr>
              <w:spacing w:after="0"/>
              <w:rPr>
                <w:sz w:val="20"/>
                <w:szCs w:val="20"/>
                <w:color w:val="auto"/>
              </w:rPr>
            </w:pPr>
            <w:r>
              <w:rPr>
                <w:rFonts w:ascii="Arial" w:cs="Arial" w:eastAsia="Arial" w:hAnsi="Arial"/>
                <w:sz w:val="18"/>
                <w:szCs w:val="18"/>
                <w:color w:val="auto"/>
              </w:rPr>
              <w:t>March 31, 2018</w:t>
            </w:r>
          </w:p>
        </w:tc>
        <w:tc>
          <w:tcPr>
            <w:tcW w:w="2840" w:type="dxa"/>
            <w:vAlign w:val="bottom"/>
            <w:gridSpan w:val="2"/>
          </w:tcPr>
          <w:p>
            <w:pPr>
              <w:jc w:val="center"/>
              <w:ind w:left="730"/>
              <w:spacing w:after="0"/>
              <w:rPr>
                <w:sz w:val="20"/>
                <w:szCs w:val="20"/>
                <w:color w:val="auto"/>
              </w:rPr>
            </w:pPr>
            <w:r>
              <w:rPr>
                <w:rFonts w:ascii="Arial" w:cs="Arial" w:eastAsia="Arial" w:hAnsi="Arial"/>
                <w:sz w:val="18"/>
                <w:szCs w:val="18"/>
                <w:color w:val="auto"/>
                <w:w w:val="91"/>
              </w:rPr>
              <w:t>5.85 : 1.00</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June 30, 2018</w:t>
            </w:r>
          </w:p>
        </w:tc>
        <w:tc>
          <w:tcPr>
            <w:tcW w:w="2840" w:type="dxa"/>
            <w:vAlign w:val="bottom"/>
            <w:gridSpan w:val="2"/>
            <w:shd w:val="clear" w:color="auto" w:fill="CCEEFF"/>
          </w:tcPr>
          <w:p>
            <w:pPr>
              <w:jc w:val="center"/>
              <w:ind w:left="730"/>
              <w:spacing w:after="0"/>
              <w:rPr>
                <w:sz w:val="20"/>
                <w:szCs w:val="20"/>
                <w:color w:val="auto"/>
              </w:rPr>
            </w:pPr>
            <w:r>
              <w:rPr>
                <w:rFonts w:ascii="Arial" w:cs="Arial" w:eastAsia="Arial" w:hAnsi="Arial"/>
                <w:sz w:val="18"/>
                <w:szCs w:val="18"/>
                <w:color w:val="auto"/>
                <w:w w:val="91"/>
              </w:rPr>
              <w:t>5.85 : 1.00</w:t>
            </w:r>
          </w:p>
        </w:tc>
        <w:tc>
          <w:tcPr>
            <w:tcW w:w="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60" w:type="dxa"/>
            <w:vAlign w:val="bottom"/>
            <w:gridSpan w:val="3"/>
          </w:tcPr>
          <w:p>
            <w:pPr>
              <w:spacing w:after="0"/>
              <w:rPr>
                <w:sz w:val="20"/>
                <w:szCs w:val="20"/>
                <w:color w:val="auto"/>
              </w:rPr>
            </w:pPr>
            <w:r>
              <w:rPr>
                <w:rFonts w:ascii="Arial" w:cs="Arial" w:eastAsia="Arial" w:hAnsi="Arial"/>
                <w:sz w:val="18"/>
                <w:szCs w:val="18"/>
                <w:color w:val="auto"/>
              </w:rPr>
              <w:t>September 30, 2018</w:t>
            </w:r>
          </w:p>
        </w:tc>
        <w:tc>
          <w:tcPr>
            <w:tcW w:w="2840" w:type="dxa"/>
            <w:vAlign w:val="bottom"/>
            <w:gridSpan w:val="2"/>
          </w:tcPr>
          <w:p>
            <w:pPr>
              <w:jc w:val="center"/>
              <w:ind w:left="730"/>
              <w:spacing w:after="0"/>
              <w:rPr>
                <w:sz w:val="20"/>
                <w:szCs w:val="20"/>
                <w:color w:val="auto"/>
              </w:rPr>
            </w:pPr>
            <w:r>
              <w:rPr>
                <w:rFonts w:ascii="Arial" w:cs="Arial" w:eastAsia="Arial" w:hAnsi="Arial"/>
                <w:sz w:val="18"/>
                <w:szCs w:val="18"/>
                <w:color w:val="auto"/>
                <w:w w:val="91"/>
              </w:rPr>
              <w:t>5.85 : 1.00</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December 31, 2018</w:t>
            </w:r>
          </w:p>
        </w:tc>
        <w:tc>
          <w:tcPr>
            <w:tcW w:w="2840" w:type="dxa"/>
            <w:vAlign w:val="bottom"/>
            <w:gridSpan w:val="2"/>
            <w:shd w:val="clear" w:color="auto" w:fill="CCEEFF"/>
          </w:tcPr>
          <w:p>
            <w:pPr>
              <w:jc w:val="center"/>
              <w:ind w:left="730"/>
              <w:spacing w:after="0"/>
              <w:rPr>
                <w:sz w:val="20"/>
                <w:szCs w:val="20"/>
                <w:color w:val="auto"/>
              </w:rPr>
            </w:pPr>
            <w:r>
              <w:rPr>
                <w:rFonts w:ascii="Arial" w:cs="Arial" w:eastAsia="Arial" w:hAnsi="Arial"/>
                <w:sz w:val="18"/>
                <w:szCs w:val="18"/>
                <w:color w:val="auto"/>
                <w:w w:val="91"/>
              </w:rPr>
              <w:t>5.50 : 1.00</w:t>
            </w:r>
          </w:p>
        </w:tc>
        <w:tc>
          <w:tcPr>
            <w:tcW w:w="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260" w:type="dxa"/>
            <w:vAlign w:val="bottom"/>
            <w:gridSpan w:val="3"/>
          </w:tcPr>
          <w:p>
            <w:pPr>
              <w:spacing w:after="0"/>
              <w:rPr>
                <w:sz w:val="20"/>
                <w:szCs w:val="20"/>
                <w:color w:val="auto"/>
              </w:rPr>
            </w:pPr>
            <w:r>
              <w:rPr>
                <w:rFonts w:ascii="Arial" w:cs="Arial" w:eastAsia="Arial" w:hAnsi="Arial"/>
                <w:sz w:val="18"/>
                <w:szCs w:val="18"/>
                <w:color w:val="auto"/>
              </w:rPr>
              <w:t>March 31, 2019 &amp; thereafter</w:t>
            </w:r>
          </w:p>
        </w:tc>
        <w:tc>
          <w:tcPr>
            <w:tcW w:w="2840" w:type="dxa"/>
            <w:vAlign w:val="bottom"/>
            <w:gridSpan w:val="2"/>
          </w:tcPr>
          <w:p>
            <w:pPr>
              <w:jc w:val="center"/>
              <w:ind w:left="730"/>
              <w:spacing w:after="0"/>
              <w:rPr>
                <w:sz w:val="20"/>
                <w:szCs w:val="20"/>
                <w:color w:val="auto"/>
              </w:rPr>
            </w:pPr>
            <w:r>
              <w:rPr>
                <w:rFonts w:ascii="Arial" w:cs="Arial" w:eastAsia="Arial" w:hAnsi="Arial"/>
                <w:sz w:val="18"/>
                <w:szCs w:val="18"/>
                <w:color w:val="auto"/>
                <w:w w:val="91"/>
              </w:rPr>
              <w:t>5.25 : 1.00</w:t>
            </w:r>
          </w:p>
        </w:tc>
        <w:tc>
          <w:tcPr>
            <w:tcW w:w="2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4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and</w:t>
      </w:r>
    </w:p>
    <w:p>
      <w:pPr>
        <w:spacing w:after="0" w:line="225" w:lineRule="exact"/>
        <w:rPr>
          <w:sz w:val="20"/>
          <w:szCs w:val="20"/>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provided for other technical changes and amendments to the Amended Credit Agreement.</w:t>
      </w:r>
    </w:p>
    <w:p>
      <w:pPr>
        <w:spacing w:after="0" w:line="225" w:lineRule="exact"/>
        <w:rPr>
          <w:sz w:val="20"/>
          <w:szCs w:val="20"/>
          <w:color w:val="auto"/>
        </w:rPr>
      </w:pPr>
    </w:p>
    <w:p>
      <w:pPr>
        <w:ind w:right="40" w:firstLine="324"/>
        <w:spacing w:after="0" w:line="255" w:lineRule="auto"/>
        <w:rPr>
          <w:sz w:val="20"/>
          <w:szCs w:val="20"/>
          <w:color w:val="auto"/>
        </w:rPr>
      </w:pPr>
      <w:r>
        <w:rPr>
          <w:rFonts w:ascii="Arial" w:cs="Arial" w:eastAsia="Arial" w:hAnsi="Arial"/>
          <w:sz w:val="18"/>
          <w:szCs w:val="18"/>
          <w:color w:val="auto"/>
        </w:rPr>
        <w:t>U.S. dollar amounts outstanding under the facilities provided by the Amended Credit Agreement bear interest at a variable rate equal to LIBOR plus a margin of 2.25% to 5.50%, or a base rate plus 1.25% to 4.50%, in each case based on a ratio of our total leverage to EBITDA (as defined in the Amended Credit Agreement). Canadian dollar amounts outstanding bear interest at a variable rate equal to the Canadian Dollar Offered Rate plus a margin of 2.25% to 5.50%, or a base rate plus a margin of 1.25% to 4.50%, in each case based on a ratio of our consolidated total leverage to EBITDA. Australian dollar amounts outstanding under the Amended Credit Facility bear interest at a variable rate equal to the Bank Bill Swap Bid Rate plus a margin of 2.25% to 5.50%, based on a ratio of our consolidated total leverage to EBITDA.</w:t>
      </w:r>
    </w:p>
    <w:p>
      <w:pPr>
        <w:spacing w:after="0" w:line="193" w:lineRule="exact"/>
        <w:rPr>
          <w:sz w:val="20"/>
          <w:szCs w:val="20"/>
          <w:color w:val="auto"/>
        </w:rPr>
      </w:pPr>
    </w:p>
    <w:p>
      <w:pPr>
        <w:ind w:right="160" w:firstLine="324"/>
        <w:spacing w:after="0" w:line="291" w:lineRule="auto"/>
        <w:rPr>
          <w:sz w:val="20"/>
          <w:szCs w:val="20"/>
          <w:color w:val="auto"/>
        </w:rPr>
      </w:pPr>
      <w:r>
        <w:rPr>
          <w:rFonts w:ascii="Arial" w:cs="Arial" w:eastAsia="Arial" w:hAnsi="Arial"/>
          <w:sz w:val="16"/>
          <w:szCs w:val="16"/>
          <w:color w:val="auto"/>
        </w:rPr>
        <w:t>The Amended Credit Agreement contains customary affirmative and negative covenants that, among other things, limit or restrict: (i) subsidiary indebtedness, liens and fundamental changes; (ii) asset sales; (iii) acquisitions of margin stock; (iv) specified acquisitions; (v) certain restrictive agreements;</w:t>
      </w:r>
    </w:p>
    <w:p>
      <w:pPr>
        <w:ind w:firstLine="8"/>
        <w:spacing w:after="0" w:line="252" w:lineRule="auto"/>
        <w:tabs>
          <w:tab w:leader="none" w:pos="305" w:val="left"/>
        </w:tabs>
        <w:numPr>
          <w:ilvl w:val="0"/>
          <w:numId w:val="22"/>
        </w:numPr>
        <w:rPr>
          <w:rFonts w:ascii="Arial" w:cs="Arial" w:eastAsia="Arial" w:hAnsi="Arial"/>
          <w:sz w:val="18"/>
          <w:szCs w:val="18"/>
          <w:color w:val="auto"/>
        </w:rPr>
      </w:pPr>
      <w:r>
        <w:rPr>
          <w:rFonts w:ascii="Arial" w:cs="Arial" w:eastAsia="Arial" w:hAnsi="Arial"/>
          <w:sz w:val="18"/>
          <w:szCs w:val="18"/>
          <w:color w:val="auto"/>
        </w:rPr>
        <w:t>transactions with affiliates; and (vii) investments and other restricted payments, including dividends and other distributions. In addition, we must maintain an interest coverage ratio, defined as the ratio of consolidated EBITDA to consolidated interest expense, of at least 3.0 to 1.0 and our maximum leverage ratio, defined as the ratio of total debt to consolidated EBITDA, of no greater than 5.25 to 1.0 (as of March 31, 2017). As noted above, the permitted maximum leverage ratio changes over time. Each of the factors considered in the calculations of these ratios are defined in the Amended Credit Agreement. EBITDA and consolidated interest, as defined, exclude goodwill and asset impairments, debt discount amortization and other non-cash charges. We were in compliance with all of these covenants as of March 31, 2017.</w:t>
      </w:r>
    </w:p>
    <w:p>
      <w:pPr>
        <w:spacing w:after="0" w:line="194" w:lineRule="exact"/>
        <w:rPr>
          <w:sz w:val="20"/>
          <w:szCs w:val="20"/>
          <w:color w:val="auto"/>
        </w:rPr>
      </w:pPr>
    </w:p>
    <w:p>
      <w:pPr>
        <w:ind w:right="140" w:firstLine="324"/>
        <w:spacing w:after="0" w:line="264" w:lineRule="auto"/>
        <w:rPr>
          <w:sz w:val="20"/>
          <w:szCs w:val="20"/>
          <w:color w:val="auto"/>
        </w:rPr>
      </w:pPr>
      <w:r>
        <w:rPr>
          <w:rFonts w:ascii="Arial" w:cs="Arial" w:eastAsia="Arial" w:hAnsi="Arial"/>
          <w:sz w:val="18"/>
          <w:szCs w:val="18"/>
          <w:color w:val="auto"/>
        </w:rPr>
        <w:t>Borrowings under the Amended Credit Agreement are secured by a pledge of substantially all of our assets and the assets of our subsidiaries. The obligations under the Amended Credit Agreement are guaranteed by our significant subsidiaries. There are 15 lenders that are parties to the Amended Credit Agreement, with commitments ranging from $1.1 million to $122.2 million.</w:t>
      </w: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607" w:right="23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color w:val="auto"/>
        </w:rPr>
        <w:t>Dividends</w:t>
      </w:r>
    </w:p>
    <w:p>
      <w:pPr>
        <w:spacing w:after="0" w:line="229" w:lineRule="exact"/>
        <w:rPr>
          <w:sz w:val="20"/>
          <w:szCs w:val="20"/>
          <w:color w:val="auto"/>
        </w:rPr>
      </w:pPr>
    </w:p>
    <w:p>
      <w:pPr>
        <w:ind w:right="20" w:firstLine="366"/>
        <w:spacing w:after="0" w:line="254" w:lineRule="auto"/>
        <w:rPr>
          <w:sz w:val="20"/>
          <w:szCs w:val="20"/>
          <w:color w:val="auto"/>
        </w:rPr>
      </w:pPr>
      <w:r>
        <w:rPr>
          <w:rFonts w:ascii="Arial" w:cs="Arial" w:eastAsia="Arial" w:hAnsi="Arial"/>
          <w:sz w:val="18"/>
          <w:szCs w:val="18"/>
          <w:color w:val="auto"/>
        </w:rPr>
        <w:t>We do not currently pay dividends. The declaration and amount of all potential future dividends will be at the discretion of our Board of Directors and will depend upon many factors, including our financial condition, results of operations, cash flows, prospects, industry conditions, capital requirements of our business, covenants associated with certain debt obligations, legal requirements, regulatory constraints, industry practice and other factors the Board of Directors deems relevant. In addition, our ability to pay dividends is limited by covenants in the Amended Credit Agreement. Future agreements may also limit our ability to pay dividends, and we may incur incremental taxes if we are required to repatriate foreign earnings to pay such dividends. If we elect to pay dividends in the future, the amount per share of our dividend payments may be changed, or dividends may again be suspended, without advance notice. The likelihood that dividends will be reduced or suspended is increased during periods of market weakness. There can be no assurance that we will pay a dividend in the future.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of March 31, 2017, we had no off-balance sheet arrangements as defined in Item 303(a)(4)(ii) of Regulation S-K.</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229" w:lineRule="exact"/>
        <w:rPr>
          <w:sz w:val="20"/>
          <w:szCs w:val="20"/>
          <w:color w:val="auto"/>
        </w:rPr>
      </w:pPr>
    </w:p>
    <w:p>
      <w:pPr>
        <w:ind w:right="240" w:firstLine="324"/>
        <w:spacing w:after="0" w:line="264" w:lineRule="auto"/>
        <w:rPr>
          <w:sz w:val="20"/>
          <w:szCs w:val="20"/>
          <w:color w:val="auto"/>
        </w:rPr>
      </w:pPr>
      <w:r>
        <w:rPr>
          <w:rFonts w:ascii="Arial" w:cs="Arial" w:eastAsia="Arial" w:hAnsi="Arial"/>
          <w:sz w:val="18"/>
          <w:szCs w:val="18"/>
          <w:color w:val="auto"/>
        </w:rPr>
        <w:t>For additional information about our contractual obligations, refer to “Liquidity and Capital Resources—Contractual Obligations” in our 2016 Annual Report on Form 10-K. As of March 31, 2017, except for net borrowings under our revolving credit facilities, there were no material changes to this disclosures regarding our contractual obligations made in our 2016 Annual Report on Form 10-K.</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229" w:lineRule="exact"/>
        <w:rPr>
          <w:sz w:val="20"/>
          <w:szCs w:val="20"/>
          <w:color w:val="auto"/>
        </w:rPr>
      </w:pPr>
    </w:p>
    <w:p>
      <w:pPr>
        <w:ind w:right="160" w:firstLine="324"/>
        <w:spacing w:after="0" w:line="257" w:lineRule="auto"/>
        <w:rPr>
          <w:sz w:val="20"/>
          <w:szCs w:val="20"/>
          <w:color w:val="auto"/>
        </w:rPr>
      </w:pPr>
      <w:r>
        <w:rPr>
          <w:rFonts w:ascii="Arial" w:cs="Arial" w:eastAsia="Arial" w:hAnsi="Arial"/>
          <w:sz w:val="18"/>
          <w:szCs w:val="18"/>
          <w:color w:val="auto"/>
        </w:rPr>
        <w:t>For a discussion of the critical accounting policies and estimates that we use in the preparation of our consolidated financial statements, see “Management’s Discussion and Analysis of Financial Condition and Results of Operations” in our 2016 Annual Report on Form 10-K. These estimates require significant judgments, assumptions and estimates. We have discussed the development, selection and disclosure of these critical accounting policies and estimates with the audit committee of our Board of Directors. There have been no material changes to the judgments, assumptions and estimates upon which our critical accounting estimates are based.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3. </w:t>
      </w:r>
      <w:r>
        <w:rPr>
          <w:rFonts w:ascii="Arial" w:cs="Arial" w:eastAsia="Arial" w:hAnsi="Arial"/>
          <w:sz w:val="18"/>
          <w:szCs w:val="18"/>
          <w:b w:val="1"/>
          <w:bCs w:val="1"/>
          <w:i w:val="1"/>
          <w:iCs w:val="1"/>
          <w:color w:val="auto"/>
        </w:rPr>
        <w:t>Quantitative and Qualitative Disclosures about Market Risk</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principal market risks are our exposure to changes in interest rates and foreign currency exchange rates.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229" w:lineRule="exact"/>
        <w:rPr>
          <w:sz w:val="20"/>
          <w:szCs w:val="20"/>
          <w:color w:val="auto"/>
        </w:rPr>
      </w:pPr>
    </w:p>
    <w:p>
      <w:pPr>
        <w:ind w:right="180" w:firstLine="324"/>
        <w:spacing w:after="0" w:line="302" w:lineRule="auto"/>
        <w:rPr>
          <w:sz w:val="20"/>
          <w:szCs w:val="20"/>
          <w:color w:val="auto"/>
        </w:rPr>
      </w:pPr>
      <w:r>
        <w:rPr>
          <w:rFonts w:ascii="Arial" w:cs="Arial" w:eastAsia="Arial" w:hAnsi="Arial"/>
          <w:sz w:val="16"/>
          <w:szCs w:val="16"/>
          <w:color w:val="auto"/>
        </w:rPr>
        <w:t>We have credit facilities that are subject to the risk of higher interest charges associated with increases in interest rates. As of March 31, 2017, we had $316.5 million of outstanding floating-rate obligations under our credit facilities. These floating-rate obligations expose us to the risk of increased interest expense in the event of increases in short-term interest rates. If floating interest rates increased by 100 basis points, our consolidated interest expense would increase by approximately $3.2 million annually, based on our floating-rate debt obligations and interest rates in effect as of March 31, 2017.</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Exchange Rate Risk</w:t>
      </w:r>
    </w:p>
    <w:p>
      <w:pPr>
        <w:spacing w:after="0" w:line="229" w:lineRule="exact"/>
        <w:rPr>
          <w:sz w:val="20"/>
          <w:szCs w:val="20"/>
          <w:color w:val="auto"/>
        </w:rPr>
      </w:pPr>
    </w:p>
    <w:p>
      <w:pPr>
        <w:ind w:firstLine="324"/>
        <w:spacing w:after="0" w:line="270" w:lineRule="auto"/>
        <w:rPr>
          <w:sz w:val="20"/>
          <w:szCs w:val="20"/>
          <w:color w:val="auto"/>
        </w:rPr>
      </w:pPr>
      <w:r>
        <w:rPr>
          <w:rFonts w:ascii="Arial" w:cs="Arial" w:eastAsia="Arial" w:hAnsi="Arial"/>
          <w:sz w:val="17"/>
          <w:szCs w:val="17"/>
          <w:color w:val="auto"/>
        </w:rPr>
        <w:t>Our operations are conducted in various countries around the world, and we receive revenue and pay expenses from these operations in a number of different currencies. As such, our earnings are subject to movements in foreign currency exchange rates when transactions are denominated in (i) currencies other than the U.S. dollar, which is our functional currency, or (ii) the functional currency of our subsidiaries, which is not necessarily the U.S. dollar. Excluding intercompany balances, our Canadian dollar and Australian dollar functional currency net assets total approximately C$0.2 billion and A$0.5 billion, respectively, at March 31, 2017. We use a sensitivity analysis model to measure the impact of a 10% adverse movement of foreign currency exchange rates against the United States dollar. A hypothetical 10% adverse change in the value of the Canadian dollar and Australian dollar relative to the U.S. dollar as of March 31, 2017 would result in translation adjustments of approximately $23.0 million and $47.0 million, respectively, recorded in other comprehensive loss. Although we do not currently have any foreign exchange agreements outstanding, in order to reduce our exposure to fluctuations in currency exchange rates, we may enter into foreign exchange agreements with financial institutions in the future.</w:t>
      </w:r>
    </w:p>
    <w:p>
      <w:pPr>
        <w:spacing w:after="0" w:line="200" w:lineRule="exact"/>
        <w:rPr>
          <w:sz w:val="20"/>
          <w:szCs w:val="20"/>
          <w:color w:val="auto"/>
        </w:rPr>
      </w:pP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00"/>
          </w:cols>
          <w:pgMar w:left="240" w:top="580" w:right="25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color w:val="auto"/>
        </w:rPr>
        <w:t xml:space="preserve">ITEM 4. </w:t>
      </w:r>
      <w:r>
        <w:rPr>
          <w:rFonts w:ascii="Arial" w:cs="Arial" w:eastAsia="Arial" w:hAnsi="Arial"/>
          <w:sz w:val="18"/>
          <w:szCs w:val="18"/>
          <w:b w:val="1"/>
          <w:bCs w:val="1"/>
          <w:i w:val="1"/>
          <w:iCs w:val="1"/>
          <w:color w:val="auto"/>
        </w:rPr>
        <w:t>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29"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color w:val="auto"/>
        </w:rPr>
        <w:t>As of the end of the period covered by this report, we carried out an evaluation, under the supervision and with the participation of our management, including our Chief Executive Officer and Chief Financial Officer, of the effectiveness of the design and operation of our disclosure controls and procedures (as defined in Rules 13a-15(e) and 15d-15(e) under the Exchange Act). Our disclosure controls and procedures are designed to provide reasonable assurance that the information required to be disclosed by us in reports that we file under the Exchange Act is accumulated and communicated to our management, including our Chief Executive Officer and Chief Financial Officer, as appropriate, to allow timely decisions regarding required disclosure and is recorded, processed, summarized and reported within the time periods specified in the rules and forms of the SEC. Based upon that evaluation, our Chief Executive Officer and Chief Financial Officer concluded that our disclosure controls and procedures were effective as of March 31, 2017, at the reasonable assurance level.</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29" w:lineRule="exact"/>
        <w:rPr>
          <w:sz w:val="20"/>
          <w:szCs w:val="20"/>
          <w:color w:val="auto"/>
        </w:rPr>
      </w:pPr>
    </w:p>
    <w:p>
      <w:pPr>
        <w:ind w:firstLine="324"/>
        <w:spacing w:after="0" w:line="264" w:lineRule="auto"/>
        <w:rPr>
          <w:sz w:val="20"/>
          <w:szCs w:val="20"/>
          <w:color w:val="auto"/>
        </w:rPr>
      </w:pPr>
      <w:r>
        <w:rPr>
          <w:rFonts w:ascii="Arial" w:cs="Arial" w:eastAsia="Arial" w:hAnsi="Arial"/>
          <w:sz w:val="18"/>
          <w:szCs w:val="18"/>
          <w:color w:val="auto"/>
        </w:rPr>
        <w:t>In the first quarter of 2017, we implemented a new global enterprise information system at all of our locations, as part of a plan to integrate and upgrade our systems and processes. We believe the related changes to processes and internal controls will allow us to be more efficient and further enhance our internal control over financial reporting.</w:t>
      </w:r>
    </w:p>
    <w:p>
      <w:pPr>
        <w:spacing w:after="0" w:line="181" w:lineRule="exact"/>
        <w:rPr>
          <w:sz w:val="20"/>
          <w:szCs w:val="20"/>
          <w:color w:val="auto"/>
        </w:rPr>
      </w:pPr>
    </w:p>
    <w:p>
      <w:pPr>
        <w:ind w:firstLine="324"/>
        <w:spacing w:after="0" w:line="264" w:lineRule="auto"/>
        <w:rPr>
          <w:sz w:val="20"/>
          <w:szCs w:val="20"/>
          <w:color w:val="auto"/>
        </w:rPr>
      </w:pPr>
      <w:r>
        <w:rPr>
          <w:rFonts w:ascii="Arial" w:cs="Arial" w:eastAsia="Arial" w:hAnsi="Arial"/>
          <w:sz w:val="18"/>
          <w:szCs w:val="18"/>
          <w:color w:val="auto"/>
        </w:rPr>
        <w:t>Other than as discussed above, during the three months ended March 31, 2017, there were no changes in our internal control over financial reporting (as defined in Rules 13a-15(f) and 15d-15(f) of the Exchange Act) which have materially affected, or are reasonably likely to materially affect, our internal control over financial reporting.</w:t>
      </w:r>
    </w:p>
    <w:p>
      <w:pPr>
        <w:spacing w:after="0" w:line="200" w:lineRule="exact"/>
        <w:rPr>
          <w:sz w:val="20"/>
          <w:szCs w:val="20"/>
          <w:color w:val="auto"/>
        </w:rPr>
      </w:pPr>
    </w:p>
    <w:p>
      <w:pPr>
        <w:spacing w:after="0" w:line="22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280"/>
          </w:cols>
          <w:pgMar w:left="240" w:top="580" w:right="379" w:bottom="1440" w:gutter="0" w:footer="0" w:header="0"/>
        </w:sectPr>
      </w:pPr>
    </w:p>
    <w:bookmarkStart w:id="29" w:name="page30"/>
    <w:bookmarkEnd w:id="29"/>
    <w:p>
      <w:pPr>
        <w:jc w:val="center"/>
        <w:ind w:left="340"/>
        <w:spacing w:after="0"/>
        <w:rPr>
          <w:sz w:val="20"/>
          <w:szCs w:val="20"/>
          <w:color w:val="auto"/>
        </w:rPr>
      </w:pPr>
      <w:r>
        <w:rPr>
          <w:rFonts w:ascii="Arial" w:cs="Arial" w:eastAsia="Arial" w:hAnsi="Arial"/>
          <w:sz w:val="18"/>
          <w:szCs w:val="18"/>
          <w:b w:val="1"/>
          <w:bCs w:val="1"/>
          <w:color w:val="auto"/>
        </w:rPr>
        <w:t>PART II --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 </w:t>
      </w:r>
      <w:r>
        <w:rPr>
          <w:rFonts w:ascii="Arial" w:cs="Arial" w:eastAsia="Arial" w:hAnsi="Arial"/>
          <w:sz w:val="18"/>
          <w:szCs w:val="18"/>
          <w:b w:val="1"/>
          <w:bCs w:val="1"/>
          <w:i w:val="1"/>
          <w:iCs w:val="1"/>
          <w:color w:val="auto"/>
        </w:rPr>
        <w:t>Legal Proceedings</w:t>
      </w:r>
    </w:p>
    <w:p>
      <w:pPr>
        <w:spacing w:after="0" w:line="229" w:lineRule="exact"/>
        <w:rPr>
          <w:sz w:val="20"/>
          <w:szCs w:val="20"/>
          <w:color w:val="auto"/>
        </w:rPr>
      </w:pPr>
    </w:p>
    <w:p>
      <w:pPr>
        <w:ind w:right="80" w:firstLine="324"/>
        <w:spacing w:after="0" w:line="291" w:lineRule="auto"/>
        <w:rPr>
          <w:sz w:val="20"/>
          <w:szCs w:val="20"/>
          <w:color w:val="auto"/>
        </w:rPr>
      </w:pPr>
      <w:r>
        <w:rPr>
          <w:rFonts w:ascii="Arial" w:cs="Arial" w:eastAsia="Arial" w:hAnsi="Arial"/>
          <w:sz w:val="16"/>
          <w:szCs w:val="16"/>
          <w:color w:val="auto"/>
        </w:rPr>
        <w:t>We are a party to various pending or threatened claims, lawsuits and administrative proceedings seeking damages or other remedies concerning our commercial operations, products, employees and other matters, including occasional claims by individuals alleging exposure to hazardous materials as a result of our products or operations. Some of these claims relate to matters occurring prior to our acquisition of businesses, and some relate to businesses we have sold. In certain cases, we are entitled to indemnification from the sellers of businesses, and in other cases, we have indemnified the buyers of businesses from us. Although we can give no assurance about the outcome of pending legal and administrative proceedings and the effect such outcomes may have on us, we believe that any ultimate liability resulting from the outcome of such proceedings, to the extent not otherwise provided for or covered by indemnity or insurance, will not have a material adverse effect on our consolidated financial position, results of operations or liquidity.</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2. </w:t>
      </w:r>
      <w:r>
        <w:rPr>
          <w:rFonts w:ascii="Arial" w:cs="Arial" w:eastAsia="Arial" w:hAnsi="Arial"/>
          <w:sz w:val="18"/>
          <w:szCs w:val="18"/>
          <w:b w:val="1"/>
          <w:bCs w:val="1"/>
          <w:i w:val="1"/>
          <w:iCs w:val="1"/>
          <w:color w:val="auto"/>
        </w:rPr>
        <w:t>Unregistered Sales of Equity Securities and Use of Proceeds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provides information about purchases of our common shares during the three months ended March 31, 2017:</w:t>
      </w:r>
    </w:p>
    <w:p>
      <w:pPr>
        <w:spacing w:after="0" w:line="216" w:lineRule="exact"/>
        <w:rPr>
          <w:sz w:val="20"/>
          <w:szCs w:val="20"/>
          <w:color w:val="auto"/>
        </w:rPr>
      </w:pPr>
    </w:p>
    <w:tbl>
      <w:tblPr>
        <w:tblLayout w:type="fixed"/>
        <w:tblInd w:w="250" w:type="dxa"/>
        <w:tblCellMar>
          <w:top w:w="0" w:type="dxa"/>
          <w:left w:w="0" w:type="dxa"/>
          <w:bottom w:w="0" w:type="dxa"/>
          <w:right w:w="0" w:type="dxa"/>
        </w:tblCellMar>
      </w:tblPr>
      <w:tr>
        <w:trPr>
          <w:trHeight w:val="214"/>
        </w:trPr>
        <w:tc>
          <w:tcPr>
            <w:tcW w:w="3520" w:type="dxa"/>
            <w:vAlign w:val="bottom"/>
            <w:tcBorders>
              <w:top w:val="single" w:sz="8" w:color="auto"/>
              <w:left w:val="single" w:sz="8" w:color="auto"/>
              <w:right w:val="single" w:sz="8" w:color="auto"/>
            </w:tcBorders>
          </w:tcPr>
          <w:p>
            <w:pPr>
              <w:spacing w:after="0"/>
              <w:rPr>
                <w:sz w:val="18"/>
                <w:szCs w:val="18"/>
                <w:color w:val="auto"/>
              </w:rPr>
            </w:pPr>
          </w:p>
        </w:tc>
        <w:tc>
          <w:tcPr>
            <w:tcW w:w="17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Total Number of</w:t>
            </w:r>
          </w:p>
        </w:tc>
        <w:tc>
          <w:tcPr>
            <w:tcW w:w="1760" w:type="dxa"/>
            <w:vAlign w:val="bottom"/>
            <w:tcBorders>
              <w:top w:val="single" w:sz="8" w:color="auto"/>
              <w:right w:val="single" w:sz="8" w:color="auto"/>
            </w:tcBorders>
          </w:tcPr>
          <w:p>
            <w:pPr>
              <w:jc w:val="right"/>
              <w:ind w:right="275"/>
              <w:spacing w:after="0"/>
              <w:rPr>
                <w:sz w:val="20"/>
                <w:szCs w:val="20"/>
                <w:color w:val="auto"/>
              </w:rPr>
            </w:pPr>
            <w:r>
              <w:rPr>
                <w:rFonts w:ascii="Arial" w:cs="Arial" w:eastAsia="Arial" w:hAnsi="Arial"/>
                <w:sz w:val="18"/>
                <w:szCs w:val="18"/>
                <w:b w:val="1"/>
                <w:bCs w:val="1"/>
                <w:color w:val="auto"/>
              </w:rPr>
              <w:t>Average Price</w:t>
            </w:r>
          </w:p>
        </w:tc>
        <w:tc>
          <w:tcPr>
            <w:tcW w:w="19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Total number of</w:t>
            </w:r>
          </w:p>
        </w:tc>
        <w:tc>
          <w:tcPr>
            <w:tcW w:w="19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4"/>
              </w:rPr>
              <w:t>Maximum number</w:t>
            </w:r>
          </w:p>
        </w:tc>
      </w:tr>
      <w:tr>
        <w:trPr>
          <w:trHeight w:val="216"/>
        </w:trPr>
        <w:tc>
          <w:tcPr>
            <w:tcW w:w="3520" w:type="dxa"/>
            <w:vAlign w:val="bottom"/>
            <w:tcBorders>
              <w:left w:val="single" w:sz="8" w:color="auto"/>
              <w:right w:val="single" w:sz="8" w:color="auto"/>
            </w:tcBorders>
          </w:tcPr>
          <w:p>
            <w:pPr>
              <w:ind w:left="1500"/>
              <w:spacing w:after="0"/>
              <w:rPr>
                <w:sz w:val="20"/>
                <w:szCs w:val="20"/>
                <w:color w:val="auto"/>
              </w:rPr>
            </w:pPr>
            <w:r>
              <w:rPr>
                <w:rFonts w:ascii="Arial" w:cs="Arial" w:eastAsia="Arial" w:hAnsi="Arial"/>
                <w:sz w:val="18"/>
                <w:szCs w:val="18"/>
                <w:b w:val="1"/>
                <w:bCs w:val="1"/>
                <w:color w:val="auto"/>
              </w:rPr>
              <w:t>Period</w:t>
            </w:r>
          </w:p>
        </w:tc>
        <w:tc>
          <w:tcPr>
            <w:tcW w:w="176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86"/>
              </w:rPr>
              <w:t>Shares</w:t>
            </w:r>
          </w:p>
        </w:tc>
        <w:tc>
          <w:tcPr>
            <w:tcW w:w="1760" w:type="dxa"/>
            <w:vAlign w:val="bottom"/>
            <w:tcBorders>
              <w:right w:val="single" w:sz="8" w:color="auto"/>
            </w:tcBorders>
          </w:tcPr>
          <w:p>
            <w:pPr>
              <w:jc w:val="right"/>
              <w:ind w:right="235"/>
              <w:spacing w:after="0"/>
              <w:rPr>
                <w:sz w:val="20"/>
                <w:szCs w:val="20"/>
                <w:color w:val="auto"/>
              </w:rPr>
            </w:pPr>
            <w:r>
              <w:rPr>
                <w:rFonts w:ascii="Arial" w:cs="Arial" w:eastAsia="Arial" w:hAnsi="Arial"/>
                <w:sz w:val="18"/>
                <w:szCs w:val="18"/>
                <w:b w:val="1"/>
                <w:bCs w:val="1"/>
                <w:color w:val="auto"/>
              </w:rPr>
              <w:t>Paid per Share</w:t>
            </w:r>
          </w:p>
        </w:tc>
        <w:tc>
          <w:tcPr>
            <w:tcW w:w="194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84"/>
              </w:rPr>
              <w:t>shares purchased as</w:t>
            </w:r>
          </w:p>
        </w:tc>
        <w:tc>
          <w:tcPr>
            <w:tcW w:w="198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of shares that may</w:t>
            </w:r>
          </w:p>
        </w:tc>
      </w:tr>
      <w:tr>
        <w:trPr>
          <w:trHeight w:val="216"/>
        </w:trPr>
        <w:tc>
          <w:tcPr>
            <w:tcW w:w="3520" w:type="dxa"/>
            <w:vAlign w:val="bottom"/>
            <w:tcBorders>
              <w:left w:val="single" w:sz="8" w:color="auto"/>
              <w:right w:val="single" w:sz="8" w:color="auto"/>
            </w:tcBorders>
          </w:tcPr>
          <w:p>
            <w:pPr>
              <w:spacing w:after="0"/>
              <w:rPr>
                <w:sz w:val="18"/>
                <w:szCs w:val="18"/>
                <w:color w:val="auto"/>
              </w:rPr>
            </w:pPr>
          </w:p>
        </w:tc>
        <w:tc>
          <w:tcPr>
            <w:tcW w:w="176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Purchased</w:t>
            </w:r>
          </w:p>
        </w:tc>
        <w:tc>
          <w:tcPr>
            <w:tcW w:w="1760" w:type="dxa"/>
            <w:vAlign w:val="bottom"/>
            <w:tcBorders>
              <w:right w:val="single" w:sz="8" w:color="auto"/>
            </w:tcBorders>
          </w:tcPr>
          <w:p>
            <w:pPr>
              <w:spacing w:after="0"/>
              <w:rPr>
                <w:sz w:val="18"/>
                <w:szCs w:val="18"/>
                <w:color w:val="auto"/>
              </w:rPr>
            </w:pPr>
          </w:p>
        </w:tc>
        <w:tc>
          <w:tcPr>
            <w:tcW w:w="194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part of publicly</w:t>
            </w:r>
          </w:p>
        </w:tc>
        <w:tc>
          <w:tcPr>
            <w:tcW w:w="198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yet be purchased</w:t>
            </w:r>
          </w:p>
        </w:tc>
      </w:tr>
      <w:tr>
        <w:trPr>
          <w:trHeight w:val="197"/>
        </w:trPr>
        <w:tc>
          <w:tcPr>
            <w:tcW w:w="3520" w:type="dxa"/>
            <w:vAlign w:val="bottom"/>
            <w:tcBorders>
              <w:left w:val="single" w:sz="8" w:color="auto"/>
              <w:right w:val="single" w:sz="8" w:color="auto"/>
            </w:tcBorders>
          </w:tcPr>
          <w:p>
            <w:pPr>
              <w:spacing w:after="0"/>
              <w:rPr>
                <w:sz w:val="17"/>
                <w:szCs w:val="17"/>
                <w:color w:val="auto"/>
              </w:rPr>
            </w:pPr>
          </w:p>
        </w:tc>
        <w:tc>
          <w:tcPr>
            <w:tcW w:w="1760" w:type="dxa"/>
            <w:vAlign w:val="bottom"/>
            <w:tcBorders>
              <w:right w:val="single" w:sz="8" w:color="auto"/>
            </w:tcBorders>
          </w:tcPr>
          <w:p>
            <w:pPr>
              <w:spacing w:after="0"/>
              <w:rPr>
                <w:sz w:val="17"/>
                <w:szCs w:val="17"/>
                <w:color w:val="auto"/>
              </w:rPr>
            </w:pPr>
          </w:p>
        </w:tc>
        <w:tc>
          <w:tcPr>
            <w:tcW w:w="1760" w:type="dxa"/>
            <w:vAlign w:val="bottom"/>
            <w:tcBorders>
              <w:right w:val="single" w:sz="8" w:color="auto"/>
            </w:tcBorders>
          </w:tcPr>
          <w:p>
            <w:pPr>
              <w:spacing w:after="0"/>
              <w:rPr>
                <w:sz w:val="17"/>
                <w:szCs w:val="17"/>
                <w:color w:val="auto"/>
              </w:rPr>
            </w:pPr>
          </w:p>
        </w:tc>
        <w:tc>
          <w:tcPr>
            <w:tcW w:w="1940" w:type="dxa"/>
            <w:vAlign w:val="bottom"/>
            <w:tcBorders>
              <w:right w:val="single" w:sz="8" w:color="auto"/>
            </w:tcBorders>
          </w:tcPr>
          <w:p>
            <w:pPr>
              <w:jc w:val="center"/>
              <w:spacing w:after="0" w:line="197" w:lineRule="exact"/>
              <w:rPr>
                <w:sz w:val="20"/>
                <w:szCs w:val="20"/>
                <w:color w:val="auto"/>
              </w:rPr>
            </w:pPr>
            <w:r>
              <w:rPr>
                <w:rFonts w:ascii="Arial" w:cs="Arial" w:eastAsia="Arial" w:hAnsi="Arial"/>
                <w:sz w:val="18"/>
                <w:szCs w:val="18"/>
                <w:b w:val="1"/>
                <w:bCs w:val="1"/>
                <w:color w:val="auto"/>
                <w:w w:val="88"/>
              </w:rPr>
              <w:t>announced plans or</w:t>
            </w:r>
          </w:p>
        </w:tc>
        <w:tc>
          <w:tcPr>
            <w:tcW w:w="1980" w:type="dxa"/>
            <w:vAlign w:val="bottom"/>
            <w:tcBorders>
              <w:right w:val="single" w:sz="8" w:color="auto"/>
            </w:tcBorders>
          </w:tcPr>
          <w:p>
            <w:pPr>
              <w:jc w:val="center"/>
              <w:spacing w:after="0" w:line="197" w:lineRule="exact"/>
              <w:rPr>
                <w:sz w:val="20"/>
                <w:szCs w:val="20"/>
                <w:color w:val="auto"/>
              </w:rPr>
            </w:pPr>
            <w:r>
              <w:rPr>
                <w:rFonts w:ascii="Arial" w:cs="Arial" w:eastAsia="Arial" w:hAnsi="Arial"/>
                <w:sz w:val="18"/>
                <w:szCs w:val="18"/>
                <w:b w:val="1"/>
                <w:bCs w:val="1"/>
                <w:color w:val="auto"/>
                <w:w w:val="90"/>
              </w:rPr>
              <w:t>under the plans or</w:t>
            </w:r>
          </w:p>
        </w:tc>
      </w:tr>
      <w:tr>
        <w:trPr>
          <w:trHeight w:val="254"/>
        </w:trPr>
        <w:tc>
          <w:tcPr>
            <w:tcW w:w="3520" w:type="dxa"/>
            <w:vAlign w:val="bottom"/>
            <w:tcBorders>
              <w:left w:val="single" w:sz="8" w:color="auto"/>
              <w:bottom w:val="single" w:sz="8" w:color="auto"/>
              <w:right w:val="single" w:sz="8" w:color="auto"/>
            </w:tcBorders>
          </w:tcPr>
          <w:p>
            <w:pPr>
              <w:spacing w:after="0"/>
              <w:rPr>
                <w:sz w:val="22"/>
                <w:szCs w:val="22"/>
                <w:color w:val="auto"/>
              </w:rPr>
            </w:pPr>
          </w:p>
        </w:tc>
        <w:tc>
          <w:tcPr>
            <w:tcW w:w="1760" w:type="dxa"/>
            <w:vAlign w:val="bottom"/>
            <w:tcBorders>
              <w:bottom w:val="single" w:sz="8" w:color="auto"/>
              <w:right w:val="single" w:sz="8" w:color="auto"/>
            </w:tcBorders>
          </w:tcPr>
          <w:p>
            <w:pPr>
              <w:spacing w:after="0"/>
              <w:rPr>
                <w:sz w:val="22"/>
                <w:szCs w:val="22"/>
                <w:color w:val="auto"/>
              </w:rPr>
            </w:pPr>
          </w:p>
        </w:tc>
        <w:tc>
          <w:tcPr>
            <w:tcW w:w="1760" w:type="dxa"/>
            <w:vAlign w:val="bottom"/>
            <w:tcBorders>
              <w:bottom w:val="single" w:sz="8" w:color="auto"/>
              <w:right w:val="single" w:sz="8" w:color="auto"/>
            </w:tcBorders>
          </w:tcPr>
          <w:p>
            <w:pPr>
              <w:spacing w:after="0"/>
              <w:rPr>
                <w:sz w:val="22"/>
                <w:szCs w:val="22"/>
                <w:color w:val="auto"/>
              </w:rPr>
            </w:pPr>
          </w:p>
        </w:tc>
        <w:tc>
          <w:tcPr>
            <w:tcW w:w="1940" w:type="dxa"/>
            <w:vAlign w:val="bottom"/>
            <w:tcBorders>
              <w:bottom w:val="single" w:sz="8" w:color="auto"/>
              <w:right w:val="single" w:sz="8" w:color="auto"/>
            </w:tcBorders>
          </w:tcPr>
          <w:p>
            <w:pPr>
              <w:jc w:val="right"/>
              <w:ind w:right="390"/>
              <w:spacing w:after="0" w:line="253" w:lineRule="exact"/>
              <w:rPr>
                <w:sz w:val="20"/>
                <w:szCs w:val="20"/>
                <w:color w:val="auto"/>
              </w:rPr>
            </w:pPr>
            <w:r>
              <w:rPr>
                <w:rFonts w:ascii="Arial" w:cs="Arial" w:eastAsia="Arial" w:hAnsi="Arial"/>
                <w:sz w:val="18"/>
                <w:szCs w:val="18"/>
                <w:b w:val="1"/>
                <w:bCs w:val="1"/>
                <w:color w:val="auto"/>
              </w:rPr>
              <w:t xml:space="preserve">programs </w:t>
            </w:r>
            <w:r>
              <w:rPr>
                <w:rFonts w:ascii="Arial" w:cs="Arial" w:eastAsia="Arial" w:hAnsi="Arial"/>
                <w:sz w:val="29"/>
                <w:szCs w:val="29"/>
                <w:color w:val="auto"/>
                <w:vertAlign w:val="superscript"/>
              </w:rPr>
              <w:t>(3)</w:t>
            </w:r>
          </w:p>
        </w:tc>
        <w:tc>
          <w:tcPr>
            <w:tcW w:w="1980" w:type="dxa"/>
            <w:vAlign w:val="bottom"/>
            <w:tcBorders>
              <w:bottom w:val="single" w:sz="8" w:color="auto"/>
              <w:right w:val="single" w:sz="8" w:color="auto"/>
            </w:tcBorders>
          </w:tcPr>
          <w:p>
            <w:pPr>
              <w:jc w:val="center"/>
              <w:spacing w:after="0" w:line="253" w:lineRule="exact"/>
              <w:rPr>
                <w:sz w:val="20"/>
                <w:szCs w:val="20"/>
                <w:color w:val="auto"/>
              </w:rPr>
            </w:pPr>
            <w:r>
              <w:rPr>
                <w:rFonts w:ascii="Arial" w:cs="Arial" w:eastAsia="Arial" w:hAnsi="Arial"/>
                <w:sz w:val="18"/>
                <w:szCs w:val="18"/>
                <w:b w:val="1"/>
                <w:bCs w:val="1"/>
                <w:color w:val="auto"/>
                <w:w w:val="85"/>
              </w:rPr>
              <w:t xml:space="preserve">programs </w:t>
            </w:r>
            <w:r>
              <w:rPr>
                <w:rFonts w:ascii="Arial" w:cs="Arial" w:eastAsia="Arial" w:hAnsi="Arial"/>
                <w:sz w:val="29"/>
                <w:szCs w:val="29"/>
                <w:color w:val="auto"/>
                <w:w w:val="85"/>
                <w:vertAlign w:val="superscript"/>
              </w:rPr>
              <w:t>(3)</w:t>
            </w:r>
          </w:p>
        </w:tc>
      </w:tr>
      <w:tr>
        <w:trPr>
          <w:trHeight w:val="210"/>
        </w:trPr>
        <w:tc>
          <w:tcPr>
            <w:tcW w:w="3520" w:type="dxa"/>
            <w:vAlign w:val="bottom"/>
            <w:tcBorders>
              <w:left w:val="single" w:sz="8" w:color="auto"/>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January 1, 2017 – January 31, 2017</w:t>
            </w:r>
          </w:p>
        </w:tc>
        <w:tc>
          <w:tcPr>
            <w:tcW w:w="1760" w:type="dxa"/>
            <w:vAlign w:val="bottom"/>
            <w:tcBorders>
              <w:bottom w:val="single" w:sz="8" w:color="auto"/>
              <w:right w:val="single" w:sz="8" w:color="auto"/>
            </w:tcBorders>
            <w:shd w:val="clear" w:color="auto" w:fill="CCEEFF"/>
          </w:tcPr>
          <w:p>
            <w:pPr>
              <w:jc w:val="right"/>
              <w:spacing w:after="0" w:line="210" w:lineRule="exact"/>
              <w:rPr>
                <w:sz w:val="20"/>
                <w:szCs w:val="20"/>
                <w:color w:val="auto"/>
              </w:rPr>
            </w:pPr>
            <w:r>
              <w:rPr>
                <w:rFonts w:ascii="Arial" w:cs="Arial" w:eastAsia="Arial" w:hAnsi="Arial"/>
                <w:sz w:val="15"/>
                <w:szCs w:val="15"/>
                <w:color w:val="auto"/>
              </w:rPr>
              <w:t>13,701</w:t>
            </w:r>
            <w:r>
              <w:rPr>
                <w:rFonts w:ascii="Arial" w:cs="Arial" w:eastAsia="Arial" w:hAnsi="Arial"/>
                <w:sz w:val="24"/>
                <w:szCs w:val="24"/>
                <w:color w:val="auto"/>
                <w:vertAlign w:val="superscript"/>
              </w:rPr>
              <w:t>(1)</w:t>
            </w:r>
          </w:p>
        </w:tc>
        <w:tc>
          <w:tcPr>
            <w:tcW w:w="1760" w:type="dxa"/>
            <w:vAlign w:val="bottom"/>
            <w:tcBorders>
              <w:bottom w:val="single" w:sz="8" w:color="auto"/>
              <w:right w:val="single" w:sz="8" w:color="auto"/>
            </w:tcBorders>
            <w:shd w:val="clear" w:color="auto" w:fill="CCEEFF"/>
          </w:tcPr>
          <w:p>
            <w:pPr>
              <w:jc w:val="right"/>
              <w:spacing w:after="0" w:line="210" w:lineRule="exact"/>
              <w:rPr>
                <w:sz w:val="20"/>
                <w:szCs w:val="20"/>
                <w:color w:val="auto"/>
              </w:rPr>
            </w:pPr>
            <w:r>
              <w:rPr>
                <w:rFonts w:ascii="Arial" w:cs="Arial" w:eastAsia="Arial" w:hAnsi="Arial"/>
                <w:sz w:val="15"/>
                <w:szCs w:val="15"/>
                <w:color w:val="auto"/>
              </w:rPr>
              <w:t>$2.44</w:t>
            </w:r>
            <w:r>
              <w:rPr>
                <w:rFonts w:ascii="Arial" w:cs="Arial" w:eastAsia="Arial" w:hAnsi="Arial"/>
                <w:sz w:val="24"/>
                <w:szCs w:val="24"/>
                <w:color w:val="auto"/>
                <w:vertAlign w:val="superscript"/>
              </w:rPr>
              <w:t>(2)</w:t>
            </w:r>
          </w:p>
        </w:tc>
        <w:tc>
          <w:tcPr>
            <w:tcW w:w="1940" w:type="dxa"/>
            <w:vAlign w:val="bottom"/>
            <w:tcBorders>
              <w:bottom w:val="single" w:sz="8" w:color="auto"/>
              <w:right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980" w:type="dxa"/>
            <w:vAlign w:val="bottom"/>
            <w:tcBorders>
              <w:bottom w:val="single" w:sz="8" w:color="auto"/>
              <w:right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r>
      <w:tr>
        <w:trPr>
          <w:trHeight w:val="210"/>
        </w:trPr>
        <w:tc>
          <w:tcPr>
            <w:tcW w:w="352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February 1, 2017 – February 28, 2017</w:t>
            </w:r>
          </w:p>
        </w:tc>
        <w:tc>
          <w:tcPr>
            <w:tcW w:w="1760" w:type="dxa"/>
            <w:vAlign w:val="bottom"/>
            <w:tcBorders>
              <w:bottom w:val="single" w:sz="8" w:color="auto"/>
              <w:right w:val="single" w:sz="8" w:color="auto"/>
            </w:tcBorders>
          </w:tcPr>
          <w:p>
            <w:pPr>
              <w:jc w:val="right"/>
              <w:spacing w:after="0" w:line="210" w:lineRule="exact"/>
              <w:rPr>
                <w:sz w:val="20"/>
                <w:szCs w:val="20"/>
                <w:color w:val="auto"/>
              </w:rPr>
            </w:pPr>
            <w:r>
              <w:rPr>
                <w:rFonts w:ascii="Arial" w:cs="Arial" w:eastAsia="Arial" w:hAnsi="Arial"/>
                <w:sz w:val="15"/>
                <w:szCs w:val="15"/>
                <w:color w:val="auto"/>
              </w:rPr>
              <w:t>76,558</w:t>
            </w:r>
            <w:r>
              <w:rPr>
                <w:rFonts w:ascii="Arial" w:cs="Arial" w:eastAsia="Arial" w:hAnsi="Arial"/>
                <w:sz w:val="24"/>
                <w:szCs w:val="24"/>
                <w:color w:val="auto"/>
                <w:vertAlign w:val="superscript"/>
              </w:rPr>
              <w:t>(1)</w:t>
            </w:r>
          </w:p>
        </w:tc>
        <w:tc>
          <w:tcPr>
            <w:tcW w:w="1760" w:type="dxa"/>
            <w:vAlign w:val="bottom"/>
            <w:tcBorders>
              <w:bottom w:val="single" w:sz="8" w:color="auto"/>
              <w:right w:val="single" w:sz="8" w:color="auto"/>
            </w:tcBorders>
          </w:tcPr>
          <w:p>
            <w:pPr>
              <w:jc w:val="right"/>
              <w:spacing w:after="0" w:line="210" w:lineRule="exact"/>
              <w:rPr>
                <w:sz w:val="20"/>
                <w:szCs w:val="20"/>
                <w:color w:val="auto"/>
              </w:rPr>
            </w:pPr>
            <w:r>
              <w:rPr>
                <w:rFonts w:ascii="Arial" w:cs="Arial" w:eastAsia="Arial" w:hAnsi="Arial"/>
                <w:sz w:val="15"/>
                <w:szCs w:val="15"/>
                <w:color w:val="auto"/>
              </w:rPr>
              <w:t>$3.20</w:t>
            </w:r>
            <w:r>
              <w:rPr>
                <w:rFonts w:ascii="Arial" w:cs="Arial" w:eastAsia="Arial" w:hAnsi="Arial"/>
                <w:sz w:val="24"/>
                <w:szCs w:val="24"/>
                <w:color w:val="auto"/>
                <w:vertAlign w:val="superscript"/>
              </w:rPr>
              <w:t>(2)</w:t>
            </w:r>
          </w:p>
        </w:tc>
        <w:tc>
          <w:tcPr>
            <w:tcW w:w="1940" w:type="dxa"/>
            <w:vAlign w:val="bottom"/>
            <w:tcBorders>
              <w:bottom w:val="single" w:sz="8" w:color="auto"/>
              <w:right w:val="single" w:sz="8" w:color="auto"/>
            </w:tcBorders>
          </w:tcPr>
          <w:p>
            <w:pPr>
              <w:jc w:val="right"/>
              <w:ind w:right="150"/>
              <w:spacing w:after="0"/>
              <w:rPr>
                <w:sz w:val="20"/>
                <w:szCs w:val="20"/>
                <w:color w:val="auto"/>
              </w:rPr>
            </w:pPr>
            <w:r>
              <w:rPr>
                <w:rFonts w:ascii="Arial" w:cs="Arial" w:eastAsia="Arial" w:hAnsi="Arial"/>
                <w:sz w:val="18"/>
                <w:szCs w:val="18"/>
                <w:color w:val="auto"/>
              </w:rPr>
              <w:t>--</w:t>
            </w:r>
          </w:p>
        </w:tc>
        <w:tc>
          <w:tcPr>
            <w:tcW w:w="1980" w:type="dxa"/>
            <w:vAlign w:val="bottom"/>
            <w:tcBorders>
              <w:bottom w:val="single" w:sz="8" w:color="auto"/>
              <w:right w:val="single" w:sz="8" w:color="auto"/>
            </w:tcBorders>
          </w:tcPr>
          <w:p>
            <w:pPr>
              <w:jc w:val="right"/>
              <w:ind w:right="150"/>
              <w:spacing w:after="0"/>
              <w:rPr>
                <w:sz w:val="20"/>
                <w:szCs w:val="20"/>
                <w:color w:val="auto"/>
              </w:rPr>
            </w:pPr>
            <w:r>
              <w:rPr>
                <w:rFonts w:ascii="Arial" w:cs="Arial" w:eastAsia="Arial" w:hAnsi="Arial"/>
                <w:sz w:val="18"/>
                <w:szCs w:val="18"/>
                <w:color w:val="auto"/>
              </w:rPr>
              <w:t>--</w:t>
            </w:r>
          </w:p>
        </w:tc>
      </w:tr>
      <w:tr>
        <w:trPr>
          <w:trHeight w:val="210"/>
        </w:trPr>
        <w:tc>
          <w:tcPr>
            <w:tcW w:w="3520" w:type="dxa"/>
            <w:vAlign w:val="bottom"/>
            <w:tcBorders>
              <w:left w:val="single" w:sz="8" w:color="auto"/>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March 1, 2017 – March 31, 2017</w:t>
            </w:r>
          </w:p>
        </w:tc>
        <w:tc>
          <w:tcPr>
            <w:tcW w:w="1760" w:type="dxa"/>
            <w:vAlign w:val="bottom"/>
            <w:tcBorders>
              <w:bottom w:val="single" w:sz="8" w:color="auto"/>
              <w:right w:val="single" w:sz="8" w:color="auto"/>
            </w:tcBorders>
            <w:shd w:val="clear" w:color="auto" w:fill="CCEEFF"/>
          </w:tcPr>
          <w:p>
            <w:pPr>
              <w:jc w:val="right"/>
              <w:ind w:right="154"/>
              <w:spacing w:after="0"/>
              <w:rPr>
                <w:sz w:val="20"/>
                <w:szCs w:val="20"/>
                <w:color w:val="auto"/>
              </w:rPr>
            </w:pPr>
            <w:r>
              <w:rPr>
                <w:rFonts w:ascii="Arial" w:cs="Arial" w:eastAsia="Arial" w:hAnsi="Arial"/>
                <w:sz w:val="18"/>
                <w:szCs w:val="18"/>
                <w:color w:val="auto"/>
              </w:rPr>
              <w:t>--</w:t>
            </w:r>
          </w:p>
        </w:tc>
        <w:tc>
          <w:tcPr>
            <w:tcW w:w="1760" w:type="dxa"/>
            <w:vAlign w:val="bottom"/>
            <w:tcBorders>
              <w:bottom w:val="single" w:sz="8" w:color="auto"/>
              <w:right w:val="single" w:sz="8" w:color="auto"/>
            </w:tcBorders>
            <w:shd w:val="clear" w:color="auto" w:fill="CCEEFF"/>
          </w:tcPr>
          <w:p>
            <w:pPr>
              <w:jc w:val="right"/>
              <w:ind w:right="155"/>
              <w:spacing w:after="0"/>
              <w:rPr>
                <w:sz w:val="20"/>
                <w:szCs w:val="20"/>
                <w:color w:val="auto"/>
              </w:rPr>
            </w:pPr>
            <w:r>
              <w:rPr>
                <w:rFonts w:ascii="Arial" w:cs="Arial" w:eastAsia="Arial" w:hAnsi="Arial"/>
                <w:sz w:val="18"/>
                <w:szCs w:val="18"/>
                <w:color w:val="auto"/>
              </w:rPr>
              <w:t>--</w:t>
            </w:r>
          </w:p>
        </w:tc>
        <w:tc>
          <w:tcPr>
            <w:tcW w:w="1940" w:type="dxa"/>
            <w:vAlign w:val="bottom"/>
            <w:tcBorders>
              <w:bottom w:val="single" w:sz="8" w:color="auto"/>
              <w:right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980" w:type="dxa"/>
            <w:vAlign w:val="bottom"/>
            <w:tcBorders>
              <w:bottom w:val="single" w:sz="8" w:color="auto"/>
              <w:right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r>
      <w:tr>
        <w:trPr>
          <w:trHeight w:val="206"/>
        </w:trPr>
        <w:tc>
          <w:tcPr>
            <w:tcW w:w="352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Total</w:t>
            </w:r>
          </w:p>
        </w:tc>
        <w:tc>
          <w:tcPr>
            <w:tcW w:w="1760" w:type="dxa"/>
            <w:vAlign w:val="bottom"/>
            <w:tcBorders>
              <w:bottom w:val="single" w:sz="8" w:color="auto"/>
              <w:right w:val="single" w:sz="8" w:color="auto"/>
            </w:tcBorders>
          </w:tcPr>
          <w:p>
            <w:pPr>
              <w:jc w:val="right"/>
              <w:ind w:right="154"/>
              <w:spacing w:after="0"/>
              <w:rPr>
                <w:sz w:val="20"/>
                <w:szCs w:val="20"/>
                <w:color w:val="auto"/>
              </w:rPr>
            </w:pPr>
            <w:r>
              <w:rPr>
                <w:rFonts w:ascii="Arial" w:cs="Arial" w:eastAsia="Arial" w:hAnsi="Arial"/>
                <w:sz w:val="18"/>
                <w:szCs w:val="18"/>
                <w:color w:val="auto"/>
              </w:rPr>
              <w:t>90,259</w:t>
            </w:r>
          </w:p>
        </w:tc>
        <w:tc>
          <w:tcPr>
            <w:tcW w:w="1760" w:type="dxa"/>
            <w:vAlign w:val="bottom"/>
            <w:tcBorders>
              <w:bottom w:val="single" w:sz="8" w:color="auto"/>
              <w:right w:val="single" w:sz="8" w:color="auto"/>
            </w:tcBorders>
          </w:tcPr>
          <w:p>
            <w:pPr>
              <w:jc w:val="right"/>
              <w:ind w:right="155"/>
              <w:spacing w:after="0"/>
              <w:rPr>
                <w:sz w:val="20"/>
                <w:szCs w:val="20"/>
                <w:color w:val="auto"/>
              </w:rPr>
            </w:pPr>
            <w:r>
              <w:rPr>
                <w:rFonts w:ascii="Arial" w:cs="Arial" w:eastAsia="Arial" w:hAnsi="Arial"/>
                <w:sz w:val="18"/>
                <w:szCs w:val="18"/>
                <w:color w:val="auto"/>
              </w:rPr>
              <w:t>$3.09</w:t>
            </w:r>
          </w:p>
        </w:tc>
        <w:tc>
          <w:tcPr>
            <w:tcW w:w="1940" w:type="dxa"/>
            <w:vAlign w:val="bottom"/>
            <w:tcBorders>
              <w:bottom w:val="single" w:sz="8" w:color="auto"/>
              <w:right w:val="single" w:sz="8" w:color="auto"/>
            </w:tcBorders>
          </w:tcPr>
          <w:p>
            <w:pPr>
              <w:jc w:val="right"/>
              <w:ind w:right="150"/>
              <w:spacing w:after="0"/>
              <w:rPr>
                <w:sz w:val="20"/>
                <w:szCs w:val="20"/>
                <w:color w:val="auto"/>
              </w:rPr>
            </w:pPr>
            <w:r>
              <w:rPr>
                <w:rFonts w:ascii="Arial" w:cs="Arial" w:eastAsia="Arial" w:hAnsi="Arial"/>
                <w:sz w:val="18"/>
                <w:szCs w:val="18"/>
                <w:color w:val="auto"/>
              </w:rPr>
              <w:t>--</w:t>
            </w:r>
          </w:p>
        </w:tc>
        <w:tc>
          <w:tcPr>
            <w:tcW w:w="1980" w:type="dxa"/>
            <w:vAlign w:val="bottom"/>
            <w:tcBorders>
              <w:bottom w:val="single" w:sz="8" w:color="auto"/>
              <w:right w:val="single" w:sz="8" w:color="auto"/>
            </w:tcBorders>
          </w:tcPr>
          <w:p>
            <w:pPr>
              <w:jc w:val="right"/>
              <w:ind w:right="150"/>
              <w:spacing w:after="0"/>
              <w:rPr>
                <w:sz w:val="20"/>
                <w:szCs w:val="20"/>
                <w:color w:val="auto"/>
              </w:rPr>
            </w:pPr>
            <w:r>
              <w:rPr>
                <w:rFonts w:ascii="Arial" w:cs="Arial" w:eastAsia="Arial" w:hAnsi="Arial"/>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159385</wp:posOffset>
            </wp:positionH>
            <wp:positionV relativeFrom="paragraph">
              <wp:posOffset>-438785</wp:posOffset>
            </wp:positionV>
            <wp:extent cx="6938010" cy="14605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938010" cy="146050"/>
                    </a:xfrm>
                    <a:prstGeom prst="rect">
                      <a:avLst/>
                    </a:prstGeom>
                    <a:noFill/>
                  </pic:spPr>
                </pic:pic>
              </a:graphicData>
            </a:graphic>
          </wp:anchor>
        </w:drawing>
        <w:drawing>
          <wp:anchor simplePos="0" relativeHeight="251657728" behindDoc="1" locked="0" layoutInCell="0" allowOverlap="1">
            <wp:simplePos x="0" y="0"/>
            <wp:positionH relativeFrom="column">
              <wp:posOffset>159385</wp:posOffset>
            </wp:positionH>
            <wp:positionV relativeFrom="paragraph">
              <wp:posOffset>-147320</wp:posOffset>
            </wp:positionV>
            <wp:extent cx="6938010" cy="13716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938010" cy="137160"/>
                    </a:xfrm>
                    <a:prstGeom prst="rect">
                      <a:avLst/>
                    </a:prstGeom>
                    <a:noFill/>
                  </pic:spPr>
                </pic:pic>
              </a:graphicData>
            </a:graphic>
          </wp:anchor>
        </w:drawing>
      </w:r>
    </w:p>
    <w:p>
      <w:pPr>
        <w:spacing w:after="0" w:line="200" w:lineRule="exact"/>
        <w:rPr>
          <w:sz w:val="20"/>
          <w:szCs w:val="20"/>
          <w:color w:val="auto"/>
        </w:rPr>
      </w:pPr>
    </w:p>
    <w:p>
      <w:pPr>
        <w:spacing w:after="0" w:line="249" w:lineRule="exact"/>
        <w:rPr>
          <w:sz w:val="20"/>
          <w:szCs w:val="20"/>
          <w:color w:val="auto"/>
        </w:rPr>
      </w:pPr>
    </w:p>
    <w:p>
      <w:pPr>
        <w:ind w:left="660" w:hanging="328"/>
        <w:spacing w:after="0" w:line="258"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Consists of shares surrendered to us by participants in our 2014 Equity Participation Plan to settle the participants’ personal tax liabilities that resulted from the lapsing of restrictions on shares awarded to the participants under the plan.</w:t>
      </w:r>
    </w:p>
    <w:p>
      <w:pPr>
        <w:spacing w:after="0" w:line="1" w:lineRule="exact"/>
        <w:rPr>
          <w:rFonts w:ascii="Arial" w:cs="Arial" w:eastAsia="Arial" w:hAnsi="Arial"/>
          <w:sz w:val="18"/>
          <w:szCs w:val="18"/>
          <w:color w:val="auto"/>
        </w:rPr>
      </w:pPr>
    </w:p>
    <w:p>
      <w:pPr>
        <w:ind w:left="660" w:right="20" w:hanging="328"/>
        <w:spacing w:after="0" w:line="250"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price paid per share was based on the closing price of our common shares on January 6, 2017, January 19, 2017, February 10, 2017, February 17, 2017 and February 23, 2017, the respective dates as of which the restrictions lapsed on such shares.</w:t>
      </w:r>
    </w:p>
    <w:p>
      <w:pPr>
        <w:ind w:left="660" w:hanging="328"/>
        <w:spacing w:after="0"/>
        <w:tabs>
          <w:tab w:leader="none" w:pos="660" w:val="left"/>
        </w:tabs>
        <w:numPr>
          <w:ilvl w:val="0"/>
          <w:numId w:val="23"/>
        </w:numPr>
        <w:rPr>
          <w:rFonts w:ascii="Arial" w:cs="Arial" w:eastAsia="Arial" w:hAnsi="Arial"/>
          <w:sz w:val="17"/>
          <w:szCs w:val="17"/>
          <w:color w:val="auto"/>
        </w:rPr>
      </w:pPr>
      <w:r>
        <w:rPr>
          <w:rFonts w:ascii="Arial" w:cs="Arial" w:eastAsia="Arial" w:hAnsi="Arial"/>
          <w:sz w:val="17"/>
          <w:szCs w:val="17"/>
          <w:color w:val="auto"/>
        </w:rPr>
        <w:t>We did not have at any time during the quarter ended March 31, 2017, and currently do not have, a share repurchase program in place.</w:t>
      </w:r>
    </w:p>
    <w:p>
      <w:pPr>
        <w:spacing w:after="0" w:line="200" w:lineRule="exact"/>
        <w:rPr>
          <w:sz w:val="20"/>
          <w:szCs w:val="20"/>
          <w:color w:val="auto"/>
        </w:rPr>
      </w:pPr>
    </w:p>
    <w:p>
      <w:pPr>
        <w:spacing w:after="0" w:line="2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color w:val="auto"/>
        </w:rPr>
        <w:t xml:space="preserve">ITEM 6. </w:t>
      </w:r>
      <w:r>
        <w:rPr>
          <w:rFonts w:ascii="Arial" w:cs="Arial" w:eastAsia="Arial" w:hAnsi="Arial"/>
          <w:sz w:val="18"/>
          <w:szCs w:val="18"/>
          <w:b w:val="1"/>
          <w:bCs w:val="1"/>
          <w:i w:val="1"/>
          <w:iCs w:val="1"/>
          <w:color w:val="auto"/>
        </w:rPr>
        <w:t>Exhibits</w:t>
      </w:r>
    </w:p>
    <w:p>
      <w:pPr>
        <w:spacing w:after="0" w:line="229" w:lineRule="exact"/>
        <w:rPr>
          <w:sz w:val="20"/>
          <w:szCs w:val="20"/>
          <w:color w:val="auto"/>
        </w:rPr>
      </w:pPr>
    </w:p>
    <w:p>
      <w:pPr>
        <w:ind w:left="440" w:hanging="432"/>
        <w:spacing w:after="0"/>
        <w:tabs>
          <w:tab w:leader="none" w:pos="4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INDEX OF EXHIBITS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0" w:type="dxa"/>
            <w:vAlign w:val="bottom"/>
          </w:tcPr>
          <w:p>
            <w:pPr>
              <w:spacing w:after="0"/>
              <w:rPr>
                <w:sz w:val="17"/>
                <w:szCs w:val="17"/>
                <w:color w:val="auto"/>
              </w:rPr>
            </w:pPr>
          </w:p>
        </w:tc>
        <w:tc>
          <w:tcPr>
            <w:tcW w:w="8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91"/>
              </w:rPr>
              <w:t>Exhibit No.</w:t>
            </w:r>
          </w:p>
        </w:tc>
        <w:tc>
          <w:tcPr>
            <w:tcW w:w="5040" w:type="dxa"/>
            <w:vAlign w:val="bottom"/>
          </w:tcPr>
          <w:p>
            <w:pPr>
              <w:spacing w:after="0"/>
              <w:rPr>
                <w:sz w:val="17"/>
                <w:szCs w:val="17"/>
                <w:color w:val="auto"/>
              </w:rPr>
            </w:pPr>
          </w:p>
        </w:tc>
        <w:tc>
          <w:tcPr>
            <w:tcW w:w="9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88"/>
              </w:rPr>
              <w:t>Description</w:t>
            </w:r>
          </w:p>
        </w:tc>
        <w:tc>
          <w:tcPr>
            <w:tcW w:w="4400" w:type="dxa"/>
            <w:vAlign w:val="bottom"/>
          </w:tcPr>
          <w:p>
            <w:pPr>
              <w:spacing w:after="0"/>
              <w:rPr>
                <w:sz w:val="17"/>
                <w:szCs w:val="17"/>
                <w:color w:val="auto"/>
              </w:rPr>
            </w:pPr>
          </w:p>
        </w:tc>
      </w:tr>
      <w:tr>
        <w:trPr>
          <w:trHeight w:val="438"/>
        </w:trPr>
        <w:tc>
          <w:tcPr>
            <w:tcW w:w="1080" w:type="dxa"/>
            <w:vAlign w:val="bottom"/>
            <w:gridSpan w:val="2"/>
          </w:tcPr>
          <w:p>
            <w:pPr>
              <w:spacing w:after="0"/>
              <w:rPr>
                <w:sz w:val="20"/>
                <w:szCs w:val="20"/>
                <w:color w:val="auto"/>
              </w:rPr>
            </w:pPr>
            <w:r>
              <w:rPr>
                <w:rFonts w:ascii="Arial" w:cs="Arial" w:eastAsia="Arial" w:hAnsi="Arial"/>
                <w:sz w:val="18"/>
                <w:szCs w:val="18"/>
                <w:color w:val="auto"/>
              </w:rPr>
              <w:t>3.1</w:t>
            </w:r>
          </w:p>
        </w:tc>
        <w:tc>
          <w:tcPr>
            <w:tcW w:w="10340" w:type="dxa"/>
            <w:vAlign w:val="bottom"/>
            <w:gridSpan w:val="3"/>
          </w:tcPr>
          <w:p>
            <w:pPr>
              <w:ind w:left="180"/>
              <w:spacing w:after="0"/>
              <w:rPr>
                <w:sz w:val="20"/>
                <w:szCs w:val="20"/>
                <w:color w:val="auto"/>
              </w:rPr>
            </w:pPr>
            <w:r>
              <w:rPr>
                <w:rFonts w:ascii="Arial" w:cs="Arial" w:eastAsia="Arial" w:hAnsi="Arial"/>
                <w:sz w:val="18"/>
                <w:szCs w:val="18"/>
                <w:color w:val="auto"/>
                <w:w w:val="96"/>
              </w:rPr>
              <w:t>—   Notice of Articles of Civeo Corporation (incorporated herein by reference to Exhibit 3.1 to Civeo Corporation’s Current Report on</w:t>
            </w:r>
          </w:p>
        </w:tc>
      </w:tr>
      <w:tr>
        <w:trPr>
          <w:trHeight w:val="230"/>
        </w:trPr>
        <w:tc>
          <w:tcPr>
            <w:tcW w:w="2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340" w:type="dxa"/>
            <w:vAlign w:val="bottom"/>
            <w:gridSpan w:val="3"/>
          </w:tcPr>
          <w:p>
            <w:pPr>
              <w:ind w:left="640"/>
              <w:spacing w:after="0"/>
              <w:rPr>
                <w:sz w:val="20"/>
                <w:szCs w:val="20"/>
                <w:color w:val="auto"/>
              </w:rPr>
            </w:pPr>
            <w:r>
              <w:rPr>
                <w:rFonts w:ascii="Arial" w:cs="Arial" w:eastAsia="Arial" w:hAnsi="Arial"/>
                <w:sz w:val="18"/>
                <w:szCs w:val="18"/>
                <w:color w:val="auto"/>
              </w:rPr>
              <w:t>Form 8-K12B (File No. 001-36246) filed on July 17, 2015).</w:t>
            </w:r>
          </w:p>
        </w:tc>
      </w:tr>
      <w:tr>
        <w:trPr>
          <w:trHeight w:val="418"/>
        </w:trPr>
        <w:tc>
          <w:tcPr>
            <w:tcW w:w="1080" w:type="dxa"/>
            <w:vAlign w:val="bottom"/>
            <w:gridSpan w:val="2"/>
          </w:tcPr>
          <w:p>
            <w:pPr>
              <w:spacing w:after="0"/>
              <w:rPr>
                <w:sz w:val="20"/>
                <w:szCs w:val="20"/>
                <w:color w:val="auto"/>
              </w:rPr>
            </w:pPr>
            <w:r>
              <w:rPr>
                <w:rFonts w:ascii="Arial" w:cs="Arial" w:eastAsia="Arial" w:hAnsi="Arial"/>
                <w:sz w:val="18"/>
                <w:szCs w:val="18"/>
                <w:color w:val="auto"/>
              </w:rPr>
              <w:t>3.2</w:t>
            </w:r>
          </w:p>
        </w:tc>
        <w:tc>
          <w:tcPr>
            <w:tcW w:w="10340" w:type="dxa"/>
            <w:vAlign w:val="bottom"/>
            <w:gridSpan w:val="3"/>
          </w:tcPr>
          <w:p>
            <w:pPr>
              <w:ind w:left="180"/>
              <w:spacing w:after="0"/>
              <w:rPr>
                <w:sz w:val="20"/>
                <w:szCs w:val="20"/>
                <w:color w:val="auto"/>
              </w:rPr>
            </w:pPr>
            <w:r>
              <w:rPr>
                <w:rFonts w:ascii="Arial" w:cs="Arial" w:eastAsia="Arial" w:hAnsi="Arial"/>
                <w:sz w:val="18"/>
                <w:szCs w:val="18"/>
                <w:color w:val="auto"/>
                <w:w w:val="93"/>
              </w:rPr>
              <w:t>—   Amended and Restated Articles of Civeo Corporation (incorporated herein by reference to Exhibit 3.1 to Civeo Corporation’s Current</w:t>
            </w:r>
          </w:p>
        </w:tc>
      </w:tr>
      <w:tr>
        <w:trPr>
          <w:trHeight w:val="230"/>
        </w:trPr>
        <w:tc>
          <w:tcPr>
            <w:tcW w:w="2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340" w:type="dxa"/>
            <w:vAlign w:val="bottom"/>
            <w:gridSpan w:val="3"/>
          </w:tcPr>
          <w:p>
            <w:pPr>
              <w:ind w:left="640"/>
              <w:spacing w:after="0"/>
              <w:rPr>
                <w:sz w:val="20"/>
                <w:szCs w:val="20"/>
                <w:color w:val="auto"/>
              </w:rPr>
            </w:pPr>
            <w:r>
              <w:rPr>
                <w:rFonts w:ascii="Arial" w:cs="Arial" w:eastAsia="Arial" w:hAnsi="Arial"/>
                <w:sz w:val="18"/>
                <w:szCs w:val="18"/>
                <w:color w:val="auto"/>
              </w:rPr>
              <w:t>Report on Form 8-K (File No. 001-36246) filed on May 13, 2016).</w:t>
            </w:r>
          </w:p>
        </w:tc>
      </w:tr>
      <w:tr>
        <w:trPr>
          <w:trHeight w:val="418"/>
        </w:trPr>
        <w:tc>
          <w:tcPr>
            <w:tcW w:w="1080" w:type="dxa"/>
            <w:vAlign w:val="bottom"/>
            <w:gridSpan w:val="2"/>
          </w:tcPr>
          <w:p>
            <w:pPr>
              <w:spacing w:after="0"/>
              <w:rPr>
                <w:sz w:val="20"/>
                <w:szCs w:val="20"/>
                <w:color w:val="auto"/>
              </w:rPr>
            </w:pPr>
            <w:r>
              <w:rPr>
                <w:rFonts w:ascii="Arial" w:cs="Arial" w:eastAsia="Arial" w:hAnsi="Arial"/>
                <w:sz w:val="18"/>
                <w:szCs w:val="18"/>
                <w:color w:val="auto"/>
              </w:rPr>
              <w:t>10.1</w:t>
            </w:r>
          </w:p>
        </w:tc>
        <w:tc>
          <w:tcPr>
            <w:tcW w:w="10340" w:type="dxa"/>
            <w:vAlign w:val="bottom"/>
            <w:gridSpan w:val="3"/>
          </w:tcPr>
          <w:p>
            <w:pPr>
              <w:ind w:left="180"/>
              <w:spacing w:after="0"/>
              <w:rPr>
                <w:sz w:val="20"/>
                <w:szCs w:val="20"/>
                <w:color w:val="auto"/>
              </w:rPr>
            </w:pPr>
            <w:r>
              <w:rPr>
                <w:rFonts w:ascii="Arial" w:cs="Arial" w:eastAsia="Arial" w:hAnsi="Arial"/>
                <w:sz w:val="18"/>
                <w:szCs w:val="18"/>
                <w:color w:val="auto"/>
                <w:w w:val="95"/>
              </w:rPr>
              <w:t>—   Third Amendment to Syndicated Facility Agreement, dated as of February 17, 2017, by and among Civeo Corporation, Civeo U.S.</w:t>
            </w:r>
          </w:p>
        </w:tc>
      </w:tr>
      <w:tr>
        <w:trPr>
          <w:trHeight w:val="216"/>
        </w:trPr>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340" w:type="dxa"/>
            <w:vAlign w:val="bottom"/>
            <w:gridSpan w:val="3"/>
          </w:tcPr>
          <w:p>
            <w:pPr>
              <w:ind w:left="640"/>
              <w:spacing w:after="0"/>
              <w:rPr>
                <w:sz w:val="20"/>
                <w:szCs w:val="20"/>
                <w:color w:val="auto"/>
              </w:rPr>
            </w:pPr>
            <w:r>
              <w:rPr>
                <w:rFonts w:ascii="Arial" w:cs="Arial" w:eastAsia="Arial" w:hAnsi="Arial"/>
                <w:sz w:val="18"/>
                <w:szCs w:val="18"/>
                <w:color w:val="auto"/>
                <w:w w:val="97"/>
              </w:rPr>
              <w:t>Holdings LLC, Civeo Management LLC, Civeo Canada Inc., Civeo Premium Camp Services Ltd., and Civeo PTY Limited, as</w:t>
            </w:r>
          </w:p>
        </w:tc>
      </w:tr>
      <w:tr>
        <w:trPr>
          <w:trHeight w:val="216"/>
        </w:trPr>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340" w:type="dxa"/>
            <w:vAlign w:val="bottom"/>
            <w:gridSpan w:val="3"/>
          </w:tcPr>
          <w:p>
            <w:pPr>
              <w:ind w:left="640"/>
              <w:spacing w:after="0"/>
              <w:rPr>
                <w:sz w:val="20"/>
                <w:szCs w:val="20"/>
                <w:color w:val="auto"/>
              </w:rPr>
            </w:pPr>
            <w:r>
              <w:rPr>
                <w:rFonts w:ascii="Arial" w:cs="Arial" w:eastAsia="Arial" w:hAnsi="Arial"/>
                <w:sz w:val="18"/>
                <w:szCs w:val="18"/>
                <w:color w:val="auto"/>
                <w:w w:val="95"/>
              </w:rPr>
              <w:t>Borrowers, the Guarantors and Lenders named therein, Royal Bank of Canada, as Administrative Agent, U.S. Collateral Agent,</w:t>
            </w:r>
          </w:p>
        </w:tc>
      </w:tr>
      <w:tr>
        <w:trPr>
          <w:trHeight w:val="216"/>
        </w:trPr>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340" w:type="dxa"/>
            <w:vAlign w:val="bottom"/>
            <w:gridSpan w:val="3"/>
          </w:tcPr>
          <w:p>
            <w:pPr>
              <w:ind w:left="640"/>
              <w:spacing w:after="0"/>
              <w:rPr>
                <w:sz w:val="20"/>
                <w:szCs w:val="20"/>
                <w:color w:val="auto"/>
              </w:rPr>
            </w:pPr>
            <w:r>
              <w:rPr>
                <w:rFonts w:ascii="Arial" w:cs="Arial" w:eastAsia="Arial" w:hAnsi="Arial"/>
                <w:sz w:val="18"/>
                <w:szCs w:val="18"/>
                <w:color w:val="auto"/>
              </w:rPr>
              <w:t>Canadian Administrative Agent, Canadian Collateral Agent and an Issuing Bank, and RBC Europe Limited, as Australian</w:t>
            </w:r>
          </w:p>
        </w:tc>
      </w:tr>
      <w:tr>
        <w:trPr>
          <w:trHeight w:val="216"/>
        </w:trPr>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340" w:type="dxa"/>
            <w:vAlign w:val="bottom"/>
            <w:gridSpan w:val="3"/>
          </w:tcPr>
          <w:p>
            <w:pPr>
              <w:ind w:left="640"/>
              <w:spacing w:after="0"/>
              <w:rPr>
                <w:sz w:val="20"/>
                <w:szCs w:val="20"/>
                <w:color w:val="auto"/>
              </w:rPr>
            </w:pPr>
            <w:r>
              <w:rPr>
                <w:rFonts w:ascii="Arial" w:cs="Arial" w:eastAsia="Arial" w:hAnsi="Arial"/>
                <w:sz w:val="18"/>
                <w:szCs w:val="18"/>
                <w:color w:val="auto"/>
                <w:w w:val="97"/>
              </w:rPr>
              <w:t>Administrative Agent, Australian Collateral Agent and an Issuing Bank (incorporated herein by reference to Exhibit 10.1 to the</w:t>
            </w:r>
          </w:p>
        </w:tc>
      </w:tr>
      <w:tr>
        <w:trPr>
          <w:trHeight w:val="230"/>
        </w:trPr>
        <w:tc>
          <w:tcPr>
            <w:tcW w:w="2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340" w:type="dxa"/>
            <w:vAlign w:val="bottom"/>
            <w:gridSpan w:val="3"/>
          </w:tcPr>
          <w:p>
            <w:pPr>
              <w:ind w:left="640"/>
              <w:spacing w:after="0"/>
              <w:rPr>
                <w:sz w:val="20"/>
                <w:szCs w:val="20"/>
                <w:color w:val="auto"/>
              </w:rPr>
            </w:pPr>
            <w:r>
              <w:rPr>
                <w:rFonts w:ascii="Arial" w:cs="Arial" w:eastAsia="Arial" w:hAnsi="Arial"/>
                <w:sz w:val="18"/>
                <w:szCs w:val="18"/>
                <w:color w:val="auto"/>
              </w:rPr>
              <w:t>Current Report on Form 8-K (File No. 001-36246) filed on February 21, 2017).</w:t>
            </w:r>
          </w:p>
        </w:tc>
      </w:tr>
      <w:tr>
        <w:trPr>
          <w:trHeight w:val="418"/>
        </w:trPr>
        <w:tc>
          <w:tcPr>
            <w:tcW w:w="1080" w:type="dxa"/>
            <w:vAlign w:val="bottom"/>
            <w:gridSpan w:val="2"/>
          </w:tcPr>
          <w:p>
            <w:pPr>
              <w:spacing w:after="0"/>
              <w:rPr>
                <w:sz w:val="20"/>
                <w:szCs w:val="20"/>
                <w:color w:val="auto"/>
              </w:rPr>
            </w:pPr>
            <w:r>
              <w:rPr>
                <w:rFonts w:ascii="Arial" w:cs="Arial" w:eastAsia="Arial" w:hAnsi="Arial"/>
                <w:sz w:val="18"/>
                <w:szCs w:val="18"/>
                <w:color w:val="auto"/>
              </w:rPr>
              <w:t>10.2</w:t>
            </w:r>
          </w:p>
        </w:tc>
        <w:tc>
          <w:tcPr>
            <w:tcW w:w="10340" w:type="dxa"/>
            <w:vAlign w:val="bottom"/>
            <w:gridSpan w:val="3"/>
          </w:tcPr>
          <w:p>
            <w:pPr>
              <w:ind w:left="180"/>
              <w:spacing w:after="0"/>
              <w:rPr>
                <w:sz w:val="20"/>
                <w:szCs w:val="20"/>
                <w:color w:val="auto"/>
              </w:rPr>
            </w:pPr>
            <w:r>
              <w:rPr>
                <w:rFonts w:ascii="Arial" w:cs="Arial" w:eastAsia="Arial" w:hAnsi="Arial"/>
                <w:sz w:val="18"/>
                <w:szCs w:val="18"/>
                <w:color w:val="auto"/>
                <w:w w:val="99"/>
              </w:rPr>
              <w:t>—   Amendment to Civeo Corporation 2014 Equity Participation Plan (incorporated herein by reference to Exhibit 10.33 to Civeo</w:t>
            </w:r>
          </w:p>
        </w:tc>
      </w:tr>
      <w:tr>
        <w:trPr>
          <w:trHeight w:val="230"/>
        </w:trPr>
        <w:tc>
          <w:tcPr>
            <w:tcW w:w="2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340" w:type="dxa"/>
            <w:vAlign w:val="bottom"/>
            <w:gridSpan w:val="3"/>
          </w:tcPr>
          <w:p>
            <w:pPr>
              <w:ind w:left="640"/>
              <w:spacing w:after="0"/>
              <w:rPr>
                <w:sz w:val="20"/>
                <w:szCs w:val="20"/>
                <w:color w:val="auto"/>
              </w:rPr>
            </w:pPr>
            <w:r>
              <w:rPr>
                <w:rFonts w:ascii="Arial" w:cs="Arial" w:eastAsia="Arial" w:hAnsi="Arial"/>
                <w:sz w:val="18"/>
                <w:szCs w:val="18"/>
                <w:color w:val="auto"/>
                <w:w w:val="91"/>
              </w:rPr>
              <w:t>Corporation’s Annual Report on Form 10-K for the year ended December 31, 2016 (File No. 001-36246)) filed on February 23, 2017.</w:t>
            </w:r>
          </w:p>
        </w:tc>
      </w:tr>
      <w:tr>
        <w:trPr>
          <w:trHeight w:val="418"/>
        </w:trPr>
        <w:tc>
          <w:tcPr>
            <w:tcW w:w="1080" w:type="dxa"/>
            <w:vAlign w:val="bottom"/>
            <w:gridSpan w:val="2"/>
          </w:tcPr>
          <w:p>
            <w:pPr>
              <w:spacing w:after="0"/>
              <w:rPr>
                <w:sz w:val="20"/>
                <w:szCs w:val="20"/>
                <w:color w:val="auto"/>
              </w:rPr>
            </w:pPr>
            <w:r>
              <w:rPr>
                <w:rFonts w:ascii="Arial" w:cs="Arial" w:eastAsia="Arial" w:hAnsi="Arial"/>
                <w:sz w:val="18"/>
                <w:szCs w:val="18"/>
                <w:color w:val="auto"/>
              </w:rPr>
              <w:t>31.1*</w:t>
            </w:r>
          </w:p>
        </w:tc>
        <w:tc>
          <w:tcPr>
            <w:tcW w:w="10340" w:type="dxa"/>
            <w:vAlign w:val="bottom"/>
            <w:gridSpan w:val="3"/>
          </w:tcPr>
          <w:p>
            <w:pPr>
              <w:ind w:left="180"/>
              <w:spacing w:after="0"/>
              <w:rPr>
                <w:sz w:val="20"/>
                <w:szCs w:val="20"/>
                <w:color w:val="auto"/>
              </w:rPr>
            </w:pPr>
            <w:r>
              <w:rPr>
                <w:rFonts w:ascii="Arial" w:cs="Arial" w:eastAsia="Arial" w:hAnsi="Arial"/>
                <w:sz w:val="18"/>
                <w:szCs w:val="18"/>
                <w:color w:val="auto"/>
                <w:w w:val="93"/>
              </w:rPr>
              <w:t>—   Certification of Chief Executive Officer of Civeo Corporation pursuant to Rules 13a-14(a) or 15d-14(a) under the Securities Exchange</w:t>
            </w:r>
          </w:p>
        </w:tc>
      </w:tr>
      <w:tr>
        <w:trPr>
          <w:trHeight w:val="230"/>
        </w:trPr>
        <w:tc>
          <w:tcPr>
            <w:tcW w:w="2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340" w:type="dxa"/>
            <w:vAlign w:val="bottom"/>
            <w:gridSpan w:val="3"/>
          </w:tcPr>
          <w:p>
            <w:pPr>
              <w:ind w:left="640"/>
              <w:spacing w:after="0"/>
              <w:rPr>
                <w:sz w:val="20"/>
                <w:szCs w:val="20"/>
                <w:color w:val="auto"/>
              </w:rPr>
            </w:pPr>
            <w:r>
              <w:rPr>
                <w:rFonts w:ascii="Arial" w:cs="Arial" w:eastAsia="Arial" w:hAnsi="Arial"/>
                <w:sz w:val="18"/>
                <w:szCs w:val="18"/>
                <w:color w:val="auto"/>
              </w:rPr>
              <w:t>Act of 1934.</w:t>
            </w:r>
          </w:p>
        </w:tc>
      </w:tr>
      <w:tr>
        <w:trPr>
          <w:trHeight w:val="418"/>
        </w:trPr>
        <w:tc>
          <w:tcPr>
            <w:tcW w:w="1080" w:type="dxa"/>
            <w:vAlign w:val="bottom"/>
            <w:gridSpan w:val="2"/>
          </w:tcPr>
          <w:p>
            <w:pPr>
              <w:spacing w:after="0"/>
              <w:rPr>
                <w:sz w:val="20"/>
                <w:szCs w:val="20"/>
                <w:color w:val="auto"/>
              </w:rPr>
            </w:pPr>
            <w:r>
              <w:rPr>
                <w:rFonts w:ascii="Arial" w:cs="Arial" w:eastAsia="Arial" w:hAnsi="Arial"/>
                <w:sz w:val="18"/>
                <w:szCs w:val="18"/>
                <w:color w:val="auto"/>
              </w:rPr>
              <w:t>31.2*</w:t>
            </w:r>
          </w:p>
        </w:tc>
        <w:tc>
          <w:tcPr>
            <w:tcW w:w="10340" w:type="dxa"/>
            <w:vAlign w:val="bottom"/>
            <w:gridSpan w:val="3"/>
          </w:tcPr>
          <w:p>
            <w:pPr>
              <w:ind w:left="180"/>
              <w:spacing w:after="0"/>
              <w:rPr>
                <w:sz w:val="20"/>
                <w:szCs w:val="20"/>
                <w:color w:val="auto"/>
              </w:rPr>
            </w:pPr>
            <w:r>
              <w:rPr>
                <w:rFonts w:ascii="Arial" w:cs="Arial" w:eastAsia="Arial" w:hAnsi="Arial"/>
                <w:sz w:val="18"/>
                <w:szCs w:val="18"/>
                <w:color w:val="auto"/>
                <w:w w:val="93"/>
              </w:rPr>
              <w:t>—   Certification of Chief Financial Officer of Civeo Corporation pursuant to Rules 13a-14(a) or 15d-14(a) under the Securities Exchange</w:t>
            </w:r>
          </w:p>
        </w:tc>
      </w:tr>
      <w:tr>
        <w:trPr>
          <w:trHeight w:val="230"/>
        </w:trPr>
        <w:tc>
          <w:tcPr>
            <w:tcW w:w="2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340" w:type="dxa"/>
            <w:vAlign w:val="bottom"/>
            <w:gridSpan w:val="3"/>
          </w:tcPr>
          <w:p>
            <w:pPr>
              <w:ind w:left="640"/>
              <w:spacing w:after="0"/>
              <w:rPr>
                <w:sz w:val="20"/>
                <w:szCs w:val="20"/>
                <w:color w:val="auto"/>
              </w:rPr>
            </w:pPr>
            <w:r>
              <w:rPr>
                <w:rFonts w:ascii="Arial" w:cs="Arial" w:eastAsia="Arial" w:hAnsi="Arial"/>
                <w:sz w:val="18"/>
                <w:szCs w:val="18"/>
                <w:color w:val="auto"/>
              </w:rPr>
              <w:t>Act of 1934.</w:t>
            </w:r>
          </w:p>
        </w:tc>
      </w:tr>
      <w:tr>
        <w:trPr>
          <w:trHeight w:val="418"/>
        </w:trPr>
        <w:tc>
          <w:tcPr>
            <w:tcW w:w="1080" w:type="dxa"/>
            <w:vAlign w:val="bottom"/>
            <w:gridSpan w:val="2"/>
          </w:tcPr>
          <w:p>
            <w:pPr>
              <w:spacing w:after="0"/>
              <w:rPr>
                <w:sz w:val="20"/>
                <w:szCs w:val="20"/>
                <w:color w:val="auto"/>
              </w:rPr>
            </w:pPr>
            <w:r>
              <w:rPr>
                <w:rFonts w:ascii="Arial" w:cs="Arial" w:eastAsia="Arial" w:hAnsi="Arial"/>
                <w:sz w:val="18"/>
                <w:szCs w:val="18"/>
                <w:color w:val="auto"/>
              </w:rPr>
              <w:t>32.1**</w:t>
            </w:r>
          </w:p>
        </w:tc>
        <w:tc>
          <w:tcPr>
            <w:tcW w:w="10340" w:type="dxa"/>
            <w:vAlign w:val="bottom"/>
            <w:gridSpan w:val="3"/>
          </w:tcPr>
          <w:p>
            <w:pPr>
              <w:ind w:left="180"/>
              <w:spacing w:after="0"/>
              <w:rPr>
                <w:sz w:val="20"/>
                <w:szCs w:val="20"/>
                <w:color w:val="auto"/>
              </w:rPr>
            </w:pPr>
            <w:r>
              <w:rPr>
                <w:rFonts w:ascii="Arial" w:cs="Arial" w:eastAsia="Arial" w:hAnsi="Arial"/>
                <w:sz w:val="18"/>
                <w:szCs w:val="18"/>
                <w:color w:val="auto"/>
              </w:rPr>
              <w:t>—   Certification of Chief Executive Officer of Civeo Corporation pursuant to Rules 13a-14(b) or 15d-14(b) under the Securities</w:t>
            </w:r>
          </w:p>
        </w:tc>
      </w:tr>
      <w:tr>
        <w:trPr>
          <w:trHeight w:val="230"/>
        </w:trPr>
        <w:tc>
          <w:tcPr>
            <w:tcW w:w="2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340" w:type="dxa"/>
            <w:vAlign w:val="bottom"/>
            <w:gridSpan w:val="3"/>
          </w:tcPr>
          <w:p>
            <w:pPr>
              <w:ind w:left="640"/>
              <w:spacing w:after="0"/>
              <w:rPr>
                <w:sz w:val="20"/>
                <w:szCs w:val="20"/>
                <w:color w:val="auto"/>
              </w:rPr>
            </w:pPr>
            <w:r>
              <w:rPr>
                <w:rFonts w:ascii="Arial" w:cs="Arial" w:eastAsia="Arial" w:hAnsi="Arial"/>
                <w:sz w:val="18"/>
                <w:szCs w:val="18"/>
                <w:color w:val="auto"/>
              </w:rPr>
              <w:t>Exchange Act of 1934.</w:t>
            </w:r>
          </w:p>
        </w:tc>
      </w:tr>
      <w:tr>
        <w:trPr>
          <w:trHeight w:val="418"/>
        </w:trPr>
        <w:tc>
          <w:tcPr>
            <w:tcW w:w="1080" w:type="dxa"/>
            <w:vAlign w:val="bottom"/>
            <w:gridSpan w:val="2"/>
          </w:tcPr>
          <w:p>
            <w:pPr>
              <w:spacing w:after="0"/>
              <w:rPr>
                <w:sz w:val="20"/>
                <w:szCs w:val="20"/>
                <w:color w:val="auto"/>
              </w:rPr>
            </w:pPr>
            <w:r>
              <w:rPr>
                <w:rFonts w:ascii="Arial" w:cs="Arial" w:eastAsia="Arial" w:hAnsi="Arial"/>
                <w:sz w:val="18"/>
                <w:szCs w:val="18"/>
                <w:color w:val="auto"/>
              </w:rPr>
              <w:t>32.2**</w:t>
            </w:r>
          </w:p>
        </w:tc>
        <w:tc>
          <w:tcPr>
            <w:tcW w:w="10340" w:type="dxa"/>
            <w:vAlign w:val="bottom"/>
            <w:gridSpan w:val="3"/>
          </w:tcPr>
          <w:p>
            <w:pPr>
              <w:ind w:left="180"/>
              <w:spacing w:after="0"/>
              <w:rPr>
                <w:sz w:val="20"/>
                <w:szCs w:val="20"/>
                <w:color w:val="auto"/>
              </w:rPr>
            </w:pPr>
            <w:r>
              <w:rPr>
                <w:rFonts w:ascii="Arial" w:cs="Arial" w:eastAsia="Arial" w:hAnsi="Arial"/>
                <w:sz w:val="18"/>
                <w:szCs w:val="18"/>
                <w:color w:val="auto"/>
                <w:w w:val="93"/>
              </w:rPr>
              <w:t>—   Certification of Chief Financial Officer of Civeo Corporation pursuant to Rules 13a-14(b) or 15d-14(b) under the Securities Exchange</w:t>
            </w:r>
          </w:p>
        </w:tc>
      </w:tr>
      <w:tr>
        <w:trPr>
          <w:trHeight w:val="230"/>
        </w:trPr>
        <w:tc>
          <w:tcPr>
            <w:tcW w:w="2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340" w:type="dxa"/>
            <w:vAlign w:val="bottom"/>
            <w:gridSpan w:val="3"/>
          </w:tcPr>
          <w:p>
            <w:pPr>
              <w:ind w:left="640"/>
              <w:spacing w:after="0"/>
              <w:rPr>
                <w:sz w:val="20"/>
                <w:szCs w:val="20"/>
                <w:color w:val="auto"/>
              </w:rPr>
            </w:pPr>
            <w:r>
              <w:rPr>
                <w:rFonts w:ascii="Arial" w:cs="Arial" w:eastAsia="Arial" w:hAnsi="Arial"/>
                <w:sz w:val="18"/>
                <w:szCs w:val="18"/>
                <w:color w:val="auto"/>
              </w:rPr>
              <w:t>Act of 1934.</w:t>
            </w:r>
          </w:p>
        </w:tc>
      </w:tr>
      <w:tr>
        <w:trPr>
          <w:trHeight w:val="432"/>
        </w:trPr>
        <w:tc>
          <w:tcPr>
            <w:tcW w:w="1080" w:type="dxa"/>
            <w:vAlign w:val="bottom"/>
            <w:gridSpan w:val="2"/>
          </w:tcPr>
          <w:p>
            <w:pPr>
              <w:spacing w:after="0"/>
              <w:rPr>
                <w:sz w:val="20"/>
                <w:szCs w:val="20"/>
                <w:color w:val="auto"/>
              </w:rPr>
            </w:pPr>
            <w:r>
              <w:rPr>
                <w:rFonts w:ascii="Arial" w:cs="Arial" w:eastAsia="Arial" w:hAnsi="Arial"/>
                <w:sz w:val="18"/>
                <w:szCs w:val="18"/>
                <w:color w:val="auto"/>
              </w:rPr>
              <w:t>101.INS*</w:t>
            </w:r>
          </w:p>
        </w:tc>
        <w:tc>
          <w:tcPr>
            <w:tcW w:w="10340" w:type="dxa"/>
            <w:vAlign w:val="bottom"/>
            <w:gridSpan w:val="3"/>
          </w:tcPr>
          <w:p>
            <w:pPr>
              <w:ind w:left="180"/>
              <w:spacing w:after="0"/>
              <w:rPr>
                <w:sz w:val="20"/>
                <w:szCs w:val="20"/>
                <w:color w:val="auto"/>
              </w:rPr>
            </w:pPr>
            <w:r>
              <w:rPr>
                <w:rFonts w:ascii="Arial" w:cs="Arial" w:eastAsia="Arial" w:hAnsi="Arial"/>
                <w:sz w:val="18"/>
                <w:szCs w:val="18"/>
                <w:color w:val="auto"/>
              </w:rPr>
              <w:t>—   XBRL Instance Document</w:t>
            </w:r>
          </w:p>
        </w:tc>
      </w:tr>
      <w:tr>
        <w:trPr>
          <w:trHeight w:val="432"/>
        </w:trPr>
        <w:tc>
          <w:tcPr>
            <w:tcW w:w="1080" w:type="dxa"/>
            <w:vAlign w:val="bottom"/>
            <w:gridSpan w:val="2"/>
          </w:tcPr>
          <w:p>
            <w:pPr>
              <w:spacing w:after="0"/>
              <w:rPr>
                <w:sz w:val="20"/>
                <w:szCs w:val="20"/>
                <w:color w:val="auto"/>
              </w:rPr>
            </w:pPr>
            <w:r>
              <w:rPr>
                <w:rFonts w:ascii="Arial" w:cs="Arial" w:eastAsia="Arial" w:hAnsi="Arial"/>
                <w:sz w:val="18"/>
                <w:szCs w:val="18"/>
                <w:color w:val="auto"/>
              </w:rPr>
              <w:t>101.SCH*</w:t>
            </w:r>
          </w:p>
        </w:tc>
        <w:tc>
          <w:tcPr>
            <w:tcW w:w="10340" w:type="dxa"/>
            <w:vAlign w:val="bottom"/>
            <w:gridSpan w:val="3"/>
          </w:tcPr>
          <w:p>
            <w:pPr>
              <w:ind w:left="180"/>
              <w:spacing w:after="0"/>
              <w:rPr>
                <w:sz w:val="20"/>
                <w:szCs w:val="20"/>
                <w:color w:val="auto"/>
              </w:rPr>
            </w:pPr>
            <w:r>
              <w:rPr>
                <w:rFonts w:ascii="Arial" w:cs="Arial" w:eastAsia="Arial" w:hAnsi="Arial"/>
                <w:sz w:val="18"/>
                <w:szCs w:val="18"/>
                <w:color w:val="auto"/>
              </w:rPr>
              <w:t>—   XBRL Taxonomy Extension Schema Document</w:t>
            </w:r>
          </w:p>
        </w:tc>
      </w:tr>
      <w:tr>
        <w:trPr>
          <w:trHeight w:val="432"/>
        </w:trPr>
        <w:tc>
          <w:tcPr>
            <w:tcW w:w="1080" w:type="dxa"/>
            <w:vAlign w:val="bottom"/>
            <w:gridSpan w:val="2"/>
          </w:tcPr>
          <w:p>
            <w:pPr>
              <w:spacing w:after="0"/>
              <w:rPr>
                <w:sz w:val="20"/>
                <w:szCs w:val="20"/>
                <w:color w:val="auto"/>
              </w:rPr>
            </w:pPr>
            <w:r>
              <w:rPr>
                <w:rFonts w:ascii="Arial" w:cs="Arial" w:eastAsia="Arial" w:hAnsi="Arial"/>
                <w:sz w:val="18"/>
                <w:szCs w:val="18"/>
                <w:color w:val="auto"/>
              </w:rPr>
              <w:t>101.CAL*</w:t>
            </w:r>
          </w:p>
        </w:tc>
        <w:tc>
          <w:tcPr>
            <w:tcW w:w="10340" w:type="dxa"/>
            <w:vAlign w:val="bottom"/>
            <w:gridSpan w:val="3"/>
          </w:tcPr>
          <w:p>
            <w:pPr>
              <w:ind w:left="180"/>
              <w:spacing w:after="0"/>
              <w:rPr>
                <w:sz w:val="20"/>
                <w:szCs w:val="20"/>
                <w:color w:val="auto"/>
              </w:rPr>
            </w:pPr>
            <w:r>
              <w:rPr>
                <w:rFonts w:ascii="Arial" w:cs="Arial" w:eastAsia="Arial" w:hAnsi="Arial"/>
                <w:sz w:val="18"/>
                <w:szCs w:val="18"/>
                <w:color w:val="auto"/>
              </w:rPr>
              <w:t>—   XBRL Taxonomy Extension Calculation Linkbase Document</w:t>
            </w:r>
          </w:p>
        </w:tc>
      </w:tr>
      <w:tr>
        <w:trPr>
          <w:trHeight w:val="432"/>
        </w:trPr>
        <w:tc>
          <w:tcPr>
            <w:tcW w:w="1080" w:type="dxa"/>
            <w:vAlign w:val="bottom"/>
            <w:gridSpan w:val="2"/>
          </w:tcPr>
          <w:p>
            <w:pPr>
              <w:spacing w:after="0"/>
              <w:rPr>
                <w:sz w:val="20"/>
                <w:szCs w:val="20"/>
                <w:color w:val="auto"/>
              </w:rPr>
            </w:pPr>
            <w:r>
              <w:rPr>
                <w:rFonts w:ascii="Arial" w:cs="Arial" w:eastAsia="Arial" w:hAnsi="Arial"/>
                <w:sz w:val="18"/>
                <w:szCs w:val="18"/>
                <w:color w:val="auto"/>
              </w:rPr>
              <w:t>101.DEF*</w:t>
            </w:r>
          </w:p>
        </w:tc>
        <w:tc>
          <w:tcPr>
            <w:tcW w:w="10340" w:type="dxa"/>
            <w:vAlign w:val="bottom"/>
            <w:gridSpan w:val="3"/>
          </w:tcPr>
          <w:p>
            <w:pPr>
              <w:ind w:left="180"/>
              <w:spacing w:after="0"/>
              <w:rPr>
                <w:sz w:val="20"/>
                <w:szCs w:val="20"/>
                <w:color w:val="auto"/>
              </w:rPr>
            </w:pPr>
            <w:r>
              <w:rPr>
                <w:rFonts w:ascii="Arial" w:cs="Arial" w:eastAsia="Arial" w:hAnsi="Arial"/>
                <w:sz w:val="18"/>
                <w:szCs w:val="18"/>
                <w:color w:val="auto"/>
              </w:rPr>
              <w:t>—   XBRL Taxonomy Extension Definition Linkbase Document</w:t>
            </w:r>
          </w:p>
        </w:tc>
      </w:tr>
      <w:tr>
        <w:trPr>
          <w:trHeight w:val="432"/>
        </w:trPr>
        <w:tc>
          <w:tcPr>
            <w:tcW w:w="1080" w:type="dxa"/>
            <w:vAlign w:val="bottom"/>
            <w:gridSpan w:val="2"/>
          </w:tcPr>
          <w:p>
            <w:pPr>
              <w:spacing w:after="0"/>
              <w:rPr>
                <w:sz w:val="20"/>
                <w:szCs w:val="20"/>
                <w:color w:val="auto"/>
              </w:rPr>
            </w:pPr>
            <w:r>
              <w:rPr>
                <w:rFonts w:ascii="Arial" w:cs="Arial" w:eastAsia="Arial" w:hAnsi="Arial"/>
                <w:sz w:val="18"/>
                <w:szCs w:val="18"/>
                <w:color w:val="auto"/>
              </w:rPr>
              <w:t>101.LAB*</w:t>
            </w:r>
          </w:p>
        </w:tc>
        <w:tc>
          <w:tcPr>
            <w:tcW w:w="10340" w:type="dxa"/>
            <w:vAlign w:val="bottom"/>
            <w:gridSpan w:val="3"/>
          </w:tcPr>
          <w:p>
            <w:pPr>
              <w:ind w:left="180"/>
              <w:spacing w:after="0"/>
              <w:rPr>
                <w:sz w:val="20"/>
                <w:szCs w:val="20"/>
                <w:color w:val="auto"/>
              </w:rPr>
            </w:pPr>
            <w:r>
              <w:rPr>
                <w:rFonts w:ascii="Arial" w:cs="Arial" w:eastAsia="Arial" w:hAnsi="Arial"/>
                <w:sz w:val="18"/>
                <w:szCs w:val="18"/>
                <w:color w:val="auto"/>
              </w:rPr>
              <w:t>—   XBRL Taxonomy Extension Label Linkbase Document</w:t>
            </w:r>
          </w:p>
        </w:tc>
      </w:tr>
      <w:tr>
        <w:trPr>
          <w:trHeight w:val="418"/>
        </w:trPr>
        <w:tc>
          <w:tcPr>
            <w:tcW w:w="1080" w:type="dxa"/>
            <w:vAlign w:val="bottom"/>
            <w:gridSpan w:val="2"/>
          </w:tcPr>
          <w:p>
            <w:pPr>
              <w:spacing w:after="0"/>
              <w:rPr>
                <w:sz w:val="20"/>
                <w:szCs w:val="20"/>
                <w:color w:val="auto"/>
              </w:rPr>
            </w:pPr>
            <w:r>
              <w:rPr>
                <w:rFonts w:ascii="Arial" w:cs="Arial" w:eastAsia="Arial" w:hAnsi="Arial"/>
                <w:sz w:val="18"/>
                <w:szCs w:val="18"/>
                <w:color w:val="auto"/>
              </w:rPr>
              <w:t>101.PRE*</w:t>
            </w:r>
          </w:p>
        </w:tc>
        <w:tc>
          <w:tcPr>
            <w:tcW w:w="10340" w:type="dxa"/>
            <w:vAlign w:val="bottom"/>
            <w:gridSpan w:val="3"/>
          </w:tcPr>
          <w:p>
            <w:pPr>
              <w:ind w:left="180"/>
              <w:spacing w:after="0"/>
              <w:rPr>
                <w:sz w:val="20"/>
                <w:szCs w:val="20"/>
                <w:color w:val="auto"/>
              </w:rPr>
            </w:pPr>
            <w:r>
              <w:rPr>
                <w:rFonts w:ascii="Arial" w:cs="Arial" w:eastAsia="Arial" w:hAnsi="Arial"/>
                <w:sz w:val="18"/>
                <w:szCs w:val="18"/>
                <w:color w:val="auto"/>
              </w:rPr>
              <w:t>—   XBRL Taxonomy Extension Presentation Linkbase Document</w:t>
            </w:r>
          </w:p>
        </w:tc>
      </w:tr>
      <w:tr>
        <w:trPr>
          <w:trHeight w:val="230"/>
        </w:trPr>
        <w:tc>
          <w:tcPr>
            <w:tcW w:w="1080" w:type="dxa"/>
            <w:vAlign w:val="bottom"/>
            <w:gridSpan w:val="2"/>
          </w:tcPr>
          <w:p>
            <w:pPr>
              <w:spacing w:after="0"/>
              <w:rPr>
                <w:sz w:val="20"/>
                <w:szCs w:val="20"/>
                <w:color w:val="auto"/>
              </w:rPr>
            </w:pPr>
            <w:r>
              <w:rPr>
                <w:rFonts w:ascii="Arial" w:cs="Arial" w:eastAsia="Arial" w:hAnsi="Arial"/>
                <w:sz w:val="18"/>
                <w:szCs w:val="18"/>
                <w:color w:val="auto"/>
              </w:rPr>
              <w:t>---------</w:t>
            </w:r>
          </w:p>
        </w:tc>
        <w:tc>
          <w:tcPr>
            <w:tcW w:w="50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4400" w:type="dxa"/>
            <w:vAlign w:val="bottom"/>
          </w:tcPr>
          <w:p>
            <w:pPr>
              <w:spacing w:after="0"/>
              <w:rPr>
                <w:sz w:val="20"/>
                <w:szCs w:val="20"/>
                <w:color w:val="auto"/>
              </w:rPr>
            </w:pPr>
          </w:p>
        </w:tc>
      </w:tr>
    </w:tbl>
    <w:p>
      <w:pPr>
        <w:ind w:left="360" w:hanging="352"/>
        <w:spacing w:after="0"/>
        <w:tabs>
          <w:tab w:leader="none" w:pos="3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9" w:lineRule="exact"/>
        <w:rPr>
          <w:sz w:val="20"/>
          <w:szCs w:val="20"/>
          <w:color w:val="auto"/>
        </w:rPr>
      </w:pPr>
    </w:p>
    <w:p>
      <w:pPr>
        <w:spacing w:after="0"/>
        <w:tabs>
          <w:tab w:leader="none" w:pos="34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Furnished herewith.</w:t>
      </w:r>
    </w:p>
    <w:p>
      <w:pPr>
        <w:spacing w:after="0" w:line="211" w:lineRule="exact"/>
        <w:rPr>
          <w:sz w:val="20"/>
          <w:szCs w:val="20"/>
          <w:color w:val="auto"/>
        </w:rPr>
      </w:pPr>
    </w:p>
    <w:p>
      <w:pPr>
        <w:ind w:right="60" w:firstLine="324"/>
        <w:spacing w:after="0" w:line="287" w:lineRule="auto"/>
        <w:rPr>
          <w:sz w:val="20"/>
          <w:szCs w:val="20"/>
          <w:color w:val="auto"/>
        </w:rPr>
      </w:pPr>
      <w:r>
        <w:rPr>
          <w:rFonts w:ascii="Arial" w:cs="Arial" w:eastAsia="Arial" w:hAnsi="Arial"/>
          <w:sz w:val="16"/>
          <w:szCs w:val="16"/>
          <w:color w:val="auto"/>
        </w:rPr>
        <w:t>PLEASE NOTE: Pursuant to the rules and regulations of the Securities and Exchange Commission, we have filed or incorporated by reference the agreements referenced above as exhibits to this Quarterly Report on Form 10-Q. The agreements have been filed to provide investors with information regarding their respective terms. The agreements are not intended to provide any other factual information about Civeo or its business or operations. In particular, the assertions embodied in any representations, warranties and covenants contained in the agreements may be subject to qualifications with respect to knowledge and materiality different from those applicable to investors and may be qualified by information in confidential disclosure schedules not included with the exhibits. These disclosure schedules may contain information that modifies, qualifies and creates exceptions to the representations, warranties and covenants set forth in the agreements. Moreover, certain representations, warranties and covenants in the agreements may have been used for the purpose of allocating risk between the parties, rather than establishing matters as facts. In addition, information concerning the subject matter of the representations, warranties and covenants may have changed after the date of the respective agreement, which subsequent information may or may not be fully reflected in our public disclosures. Accordingly, investors should not rely on the representations, warranties and covenants in the agreements as characterizations of the actual state of facts about Civeo or its business or operations on the date hereof.</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31" w:name="page32"/>
    <w:bookmarkEnd w:id="31"/>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p>
      <w:pPr>
        <w:jc w:val="center"/>
        <w:ind w:left="260"/>
        <w:spacing w:after="0"/>
        <w:rPr>
          <w:sz w:val="20"/>
          <w:szCs w:val="20"/>
          <w:color w:val="auto"/>
        </w:rPr>
      </w:pPr>
      <w:r>
        <w:rPr>
          <w:rFonts w:ascii="Arial" w:cs="Arial" w:eastAsia="Arial" w:hAnsi="Arial"/>
          <w:sz w:val="18"/>
          <w:szCs w:val="18"/>
          <w:color w:val="auto"/>
        </w:rPr>
        <w:t>CIVEO CORPORATION</w:t>
      </w:r>
    </w:p>
    <w:p>
      <w:pPr>
        <w:sectPr>
          <w:pgSz w:w="11900" w:h="16838" w:orient="portrait"/>
          <w:cols w:equalWidth="0" w:num="1">
            <w:col w:w="11420"/>
          </w:cols>
          <w:pgMar w:left="240" w:top="580" w:right="239" w:bottom="1440" w:gutter="0" w:footer="0" w:header="0"/>
        </w:sectPr>
      </w:pPr>
    </w:p>
    <w:p>
      <w:pPr>
        <w:spacing w:after="0" w:line="225" w:lineRule="exact"/>
        <w:rPr>
          <w:sz w:val="20"/>
          <w:szCs w:val="20"/>
          <w:color w:val="auto"/>
        </w:rPr>
      </w:pPr>
    </w:p>
    <w:p>
      <w:pPr>
        <w:ind w:left="1720"/>
        <w:spacing w:after="0"/>
        <w:rPr>
          <w:sz w:val="20"/>
          <w:szCs w:val="20"/>
          <w:color w:val="auto"/>
        </w:rPr>
      </w:pPr>
      <w:r>
        <w:rPr>
          <w:rFonts w:ascii="Arial" w:cs="Arial" w:eastAsia="Arial" w:hAnsi="Arial"/>
          <w:sz w:val="15"/>
          <w:szCs w:val="15"/>
          <w:color w:val="auto"/>
        </w:rPr>
        <w:t>Date:</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spacing w:after="0"/>
        <w:rPr>
          <w:sz w:val="20"/>
          <w:szCs w:val="20"/>
          <w:color w:val="auto"/>
        </w:rPr>
      </w:pPr>
      <w:r>
        <w:rPr>
          <w:rFonts w:ascii="Arial" w:cs="Arial" w:eastAsia="Arial" w:hAnsi="Arial"/>
          <w:sz w:val="16"/>
          <w:szCs w:val="16"/>
          <w:color w:val="auto"/>
        </w:rPr>
        <w:t>April 27, 2017</w:t>
      </w:r>
    </w:p>
    <w:p>
      <w:pPr>
        <w:spacing w:after="0" w:line="20" w:lineRule="exact"/>
        <w:rPr>
          <w:sz w:val="20"/>
          <w:szCs w:val="20"/>
          <w:color w:val="auto"/>
        </w:rPr>
      </w:pPr>
      <w:r>
        <w:rPr>
          <w:sz w:val="20"/>
          <w:szCs w:val="20"/>
          <w:color w:val="auto"/>
        </w:rPr>
        <w:br w:type="column"/>
      </w:r>
    </w:p>
    <w:p>
      <w:pPr>
        <w:spacing w:after="0" w:line="20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By</w:t>
      </w:r>
    </w:p>
    <w:p>
      <w:pPr>
        <w:spacing w:after="0" w:line="20" w:lineRule="exact"/>
        <w:rPr>
          <w:sz w:val="20"/>
          <w:szCs w:val="20"/>
          <w:color w:val="auto"/>
        </w:rPr>
      </w:pPr>
      <w:r>
        <w:rPr>
          <w:sz w:val="20"/>
          <w:szCs w:val="20"/>
          <w:color w:val="auto"/>
        </w:rPr>
        <w:br w:type="column"/>
      </w:r>
    </w:p>
    <w:p>
      <w:pPr>
        <w:spacing w:after="0" w:line="20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 Frank C. Steininger</w:t>
      </w:r>
    </w:p>
    <w:p>
      <w:pPr>
        <w:spacing w:after="0" w:line="50" w:lineRule="exact"/>
        <w:rPr>
          <w:sz w:val="20"/>
          <w:szCs w:val="20"/>
          <w:color w:val="auto"/>
        </w:rPr>
      </w:pPr>
    </w:p>
    <w:p>
      <w:pPr>
        <w:sectPr>
          <w:pgSz w:w="11900" w:h="16838" w:orient="portrait"/>
          <w:cols w:equalWidth="0" w:num="4">
            <w:col w:w="2240" w:space="720"/>
            <w:col w:w="1400" w:space="720"/>
            <w:col w:w="840" w:space="720"/>
            <w:col w:w="4780"/>
          </w:cols>
          <w:pgMar w:left="240" w:top="580" w:right="239" w:bottom="1440" w:gutter="0" w:footer="0" w:header="0"/>
          <w:type w:val="continuous"/>
        </w:sectPr>
      </w:pPr>
    </w:p>
    <w:p>
      <w:pPr>
        <w:jc w:val="center"/>
        <w:ind w:left="3600"/>
        <w:spacing w:after="0"/>
        <w:rPr>
          <w:sz w:val="20"/>
          <w:szCs w:val="20"/>
          <w:color w:val="auto"/>
        </w:rPr>
      </w:pPr>
      <w:r>
        <w:rPr>
          <w:rFonts w:ascii="Arial" w:cs="Arial" w:eastAsia="Arial" w:hAnsi="Arial"/>
          <w:sz w:val="18"/>
          <w:szCs w:val="18"/>
          <w:b w:val="1"/>
          <w:bCs w:val="1"/>
          <w:color w:val="auto"/>
        </w:rPr>
        <w:t>Frank C. Steininger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1351280</wp:posOffset>
            </wp:positionH>
            <wp:positionV relativeFrom="paragraph">
              <wp:posOffset>-130810</wp:posOffset>
            </wp:positionV>
            <wp:extent cx="481076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4810760" cy="8890"/>
                    </a:xfrm>
                    <a:prstGeom prst="rect">
                      <a:avLst/>
                    </a:prstGeom>
                    <a:noFill/>
                  </pic:spPr>
                </pic:pic>
              </a:graphicData>
            </a:graphic>
          </wp:anchor>
        </w:drawing>
      </w:r>
    </w:p>
    <w:p>
      <w:pPr>
        <w:spacing w:after="0" w:line="3" w:lineRule="exact"/>
        <w:rPr>
          <w:sz w:val="20"/>
          <w:szCs w:val="20"/>
          <w:color w:val="auto"/>
        </w:rPr>
      </w:pPr>
    </w:p>
    <w:p>
      <w:pPr>
        <w:jc w:val="center"/>
        <w:ind w:left="3600"/>
        <w:spacing w:after="0"/>
        <w:rPr>
          <w:sz w:val="20"/>
          <w:szCs w:val="20"/>
          <w:color w:val="auto"/>
        </w:rPr>
      </w:pPr>
      <w:r>
        <w:rPr>
          <w:rFonts w:ascii="Arial" w:cs="Arial" w:eastAsia="Arial" w:hAnsi="Arial"/>
          <w:sz w:val="16"/>
          <w:szCs w:val="16"/>
          <w:b w:val="1"/>
          <w:bCs w:val="1"/>
          <w:color w:val="auto"/>
        </w:rPr>
        <w:t>Senior Vice President, Chief Financial Officer and</w:t>
      </w:r>
    </w:p>
    <w:p>
      <w:pPr>
        <w:spacing w:after="0" w:line="32" w:lineRule="exact"/>
        <w:rPr>
          <w:sz w:val="20"/>
          <w:szCs w:val="20"/>
          <w:color w:val="auto"/>
        </w:rPr>
      </w:pPr>
    </w:p>
    <w:p>
      <w:pPr>
        <w:jc w:val="center"/>
        <w:ind w:left="3600"/>
        <w:spacing w:after="0"/>
        <w:rPr>
          <w:sz w:val="20"/>
          <w:szCs w:val="20"/>
          <w:color w:val="auto"/>
        </w:rPr>
      </w:pPr>
      <w:r>
        <w:rPr>
          <w:rFonts w:ascii="Arial" w:cs="Arial" w:eastAsia="Arial" w:hAnsi="Arial"/>
          <w:sz w:val="16"/>
          <w:szCs w:val="16"/>
          <w:b w:val="1"/>
          <w:bCs w:val="1"/>
          <w:color w:val="auto"/>
        </w:rPr>
        <w:t>Treasurer (Duly Authorized Officer and Principal</w:t>
      </w:r>
    </w:p>
    <w:p>
      <w:pPr>
        <w:spacing w:after="0" w:line="32" w:lineRule="exact"/>
        <w:rPr>
          <w:sz w:val="20"/>
          <w:szCs w:val="20"/>
          <w:color w:val="auto"/>
        </w:rPr>
      </w:pPr>
    </w:p>
    <w:p>
      <w:pPr>
        <w:jc w:val="center"/>
        <w:ind w:left="3600"/>
        <w:spacing w:after="0"/>
        <w:rPr>
          <w:sz w:val="20"/>
          <w:szCs w:val="20"/>
          <w:color w:val="auto"/>
        </w:rPr>
      </w:pPr>
      <w:r>
        <w:rPr>
          <w:rFonts w:ascii="Arial" w:cs="Arial" w:eastAsia="Arial" w:hAnsi="Arial"/>
          <w:sz w:val="18"/>
          <w:szCs w:val="18"/>
          <w:b w:val="1"/>
          <w:bCs w:val="1"/>
          <w:color w:val="auto"/>
        </w:rPr>
        <w:t>Financial Officer)</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type w:val="continuous"/>
        </w:sectPr>
      </w:pPr>
    </w:p>
    <w:bookmarkStart w:id="32" w:name="page33"/>
    <w:bookmarkEnd w:id="32"/>
    <w:tbl>
      <w:tblPr>
        <w:tblLayout w:type="fixed"/>
        <w:tblInd w:w="0" w:type="dxa"/>
        <w:tblCellMar>
          <w:top w:w="0" w:type="dxa"/>
          <w:left w:w="0" w:type="dxa"/>
          <w:bottom w:w="0" w:type="dxa"/>
          <w:right w:w="0" w:type="dxa"/>
        </w:tblCellMar>
      </w:tblPr>
      <w:tr>
        <w:trPr>
          <w:trHeight w:val="207"/>
        </w:trPr>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4100" w:type="dxa"/>
            <w:vAlign w:val="bottom"/>
          </w:tcPr>
          <w:p>
            <w:pPr>
              <w:spacing w:after="0"/>
              <w:rPr>
                <w:sz w:val="17"/>
                <w:szCs w:val="17"/>
                <w:color w:val="auto"/>
              </w:rPr>
            </w:pPr>
          </w:p>
        </w:tc>
        <w:tc>
          <w:tcPr>
            <w:tcW w:w="6240" w:type="dxa"/>
            <w:vAlign w:val="bottom"/>
            <w:gridSpan w:val="4"/>
          </w:tcPr>
          <w:p>
            <w:pPr>
              <w:spacing w:after="0"/>
              <w:rPr>
                <w:sz w:val="20"/>
                <w:szCs w:val="20"/>
                <w:color w:val="auto"/>
              </w:rPr>
            </w:pPr>
            <w:r>
              <w:rPr>
                <w:rFonts w:ascii="Arial" w:cs="Arial" w:eastAsia="Arial" w:hAnsi="Arial"/>
                <w:sz w:val="18"/>
                <w:szCs w:val="18"/>
                <w:b w:val="1"/>
                <w:bCs w:val="1"/>
                <w:color w:val="auto"/>
              </w:rPr>
              <w:t>Exhibit Index</w:t>
            </w:r>
          </w:p>
        </w:tc>
      </w:tr>
      <w:tr>
        <w:trPr>
          <w:trHeight w:val="20"/>
        </w:trPr>
        <w:tc>
          <w:tcPr>
            <w:tcW w:w="2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400" w:type="dxa"/>
            <w:vAlign w:val="bottom"/>
          </w:tcPr>
          <w:p>
            <w:pPr>
              <w:spacing w:after="0" w:line="20" w:lineRule="exact"/>
              <w:rPr>
                <w:sz w:val="1"/>
                <w:szCs w:val="1"/>
                <w:color w:val="auto"/>
              </w:rPr>
            </w:pPr>
          </w:p>
        </w:tc>
      </w:tr>
      <w:tr>
        <w:trPr>
          <w:trHeight w:val="196"/>
        </w:trPr>
        <w:tc>
          <w:tcPr>
            <w:tcW w:w="200" w:type="dxa"/>
            <w:vAlign w:val="bottom"/>
          </w:tcPr>
          <w:p>
            <w:pPr>
              <w:spacing w:after="0"/>
              <w:rPr>
                <w:sz w:val="17"/>
                <w:szCs w:val="17"/>
                <w:color w:val="auto"/>
              </w:rPr>
            </w:pPr>
          </w:p>
        </w:tc>
        <w:tc>
          <w:tcPr>
            <w:tcW w:w="88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b w:val="1"/>
                <w:bCs w:val="1"/>
                <w:color w:val="auto"/>
                <w:w w:val="91"/>
              </w:rPr>
              <w:t>Exhibit No.</w:t>
            </w:r>
          </w:p>
        </w:tc>
        <w:tc>
          <w:tcPr>
            <w:tcW w:w="4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900" w:type="dxa"/>
            <w:vAlign w:val="bottom"/>
            <w:tcBorders>
              <w:bottom w:val="single" w:sz="8" w:color="auto"/>
            </w:tcBorders>
            <w:gridSpan w:val="2"/>
          </w:tcPr>
          <w:p>
            <w:pPr>
              <w:spacing w:after="0" w:line="196" w:lineRule="exact"/>
              <w:rPr>
                <w:sz w:val="20"/>
                <w:szCs w:val="20"/>
                <w:color w:val="auto"/>
              </w:rPr>
            </w:pPr>
            <w:r>
              <w:rPr>
                <w:rFonts w:ascii="Arial" w:cs="Arial" w:eastAsia="Arial" w:hAnsi="Arial"/>
                <w:sz w:val="18"/>
                <w:szCs w:val="18"/>
                <w:b w:val="1"/>
                <w:bCs w:val="1"/>
                <w:color w:val="auto"/>
                <w:w w:val="88"/>
              </w:rPr>
              <w:t>Description</w:t>
            </w:r>
          </w:p>
        </w:tc>
        <w:tc>
          <w:tcPr>
            <w:tcW w:w="4400" w:type="dxa"/>
            <w:vAlign w:val="bottom"/>
          </w:tcPr>
          <w:p>
            <w:pPr>
              <w:spacing w:after="0"/>
              <w:rPr>
                <w:sz w:val="17"/>
                <w:szCs w:val="17"/>
                <w:color w:val="auto"/>
              </w:rPr>
            </w:pPr>
          </w:p>
        </w:tc>
      </w:tr>
      <w:tr>
        <w:trPr>
          <w:trHeight w:val="438"/>
        </w:trPr>
        <w:tc>
          <w:tcPr>
            <w:tcW w:w="1080" w:type="dxa"/>
            <w:vAlign w:val="bottom"/>
            <w:gridSpan w:val="2"/>
          </w:tcPr>
          <w:p>
            <w:pPr>
              <w:spacing w:after="0"/>
              <w:rPr>
                <w:sz w:val="20"/>
                <w:szCs w:val="20"/>
                <w:color w:val="auto"/>
              </w:rPr>
            </w:pPr>
            <w:r>
              <w:rPr>
                <w:rFonts w:ascii="Arial" w:cs="Arial" w:eastAsia="Arial" w:hAnsi="Arial"/>
                <w:sz w:val="18"/>
                <w:szCs w:val="18"/>
                <w:color w:val="auto"/>
              </w:rPr>
              <w:t>3.1</w:t>
            </w:r>
          </w:p>
        </w:tc>
        <w:tc>
          <w:tcPr>
            <w:tcW w:w="10340" w:type="dxa"/>
            <w:vAlign w:val="bottom"/>
            <w:gridSpan w:val="5"/>
          </w:tcPr>
          <w:p>
            <w:pPr>
              <w:ind w:left="180"/>
              <w:spacing w:after="0"/>
              <w:rPr>
                <w:sz w:val="20"/>
                <w:szCs w:val="20"/>
                <w:color w:val="auto"/>
              </w:rPr>
            </w:pPr>
            <w:r>
              <w:rPr>
                <w:rFonts w:ascii="Arial" w:cs="Arial" w:eastAsia="Arial" w:hAnsi="Arial"/>
                <w:sz w:val="18"/>
                <w:szCs w:val="18"/>
                <w:color w:val="auto"/>
                <w:w w:val="96"/>
              </w:rPr>
              <w:t>—   Notice of Articles of Civeo Corporation (incorporated herein by reference to Exhibit 3.1 to Civeo Corporation’s Current Report on</w:t>
            </w:r>
          </w:p>
        </w:tc>
      </w:tr>
      <w:tr>
        <w:trPr>
          <w:trHeight w:val="230"/>
        </w:trPr>
        <w:tc>
          <w:tcPr>
            <w:tcW w:w="2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340" w:type="dxa"/>
            <w:vAlign w:val="bottom"/>
            <w:gridSpan w:val="5"/>
          </w:tcPr>
          <w:p>
            <w:pPr>
              <w:ind w:left="640"/>
              <w:spacing w:after="0"/>
              <w:rPr>
                <w:sz w:val="20"/>
                <w:szCs w:val="20"/>
                <w:color w:val="auto"/>
              </w:rPr>
            </w:pPr>
            <w:r>
              <w:rPr>
                <w:rFonts w:ascii="Arial" w:cs="Arial" w:eastAsia="Arial" w:hAnsi="Arial"/>
                <w:sz w:val="18"/>
                <w:szCs w:val="18"/>
                <w:color w:val="auto"/>
              </w:rPr>
              <w:t>Form 8-K12B (File No. 001-36246) filed on July 17, 2015).</w:t>
            </w:r>
          </w:p>
        </w:tc>
      </w:tr>
      <w:tr>
        <w:trPr>
          <w:trHeight w:val="418"/>
        </w:trPr>
        <w:tc>
          <w:tcPr>
            <w:tcW w:w="1080" w:type="dxa"/>
            <w:vAlign w:val="bottom"/>
            <w:gridSpan w:val="2"/>
          </w:tcPr>
          <w:p>
            <w:pPr>
              <w:spacing w:after="0"/>
              <w:rPr>
                <w:sz w:val="20"/>
                <w:szCs w:val="20"/>
                <w:color w:val="auto"/>
              </w:rPr>
            </w:pPr>
            <w:r>
              <w:rPr>
                <w:rFonts w:ascii="Arial" w:cs="Arial" w:eastAsia="Arial" w:hAnsi="Arial"/>
                <w:sz w:val="18"/>
                <w:szCs w:val="18"/>
                <w:color w:val="auto"/>
              </w:rPr>
              <w:t>3.2</w:t>
            </w:r>
          </w:p>
        </w:tc>
        <w:tc>
          <w:tcPr>
            <w:tcW w:w="10340" w:type="dxa"/>
            <w:vAlign w:val="bottom"/>
            <w:gridSpan w:val="5"/>
          </w:tcPr>
          <w:p>
            <w:pPr>
              <w:ind w:left="180"/>
              <w:spacing w:after="0"/>
              <w:rPr>
                <w:sz w:val="20"/>
                <w:szCs w:val="20"/>
                <w:color w:val="auto"/>
              </w:rPr>
            </w:pPr>
            <w:r>
              <w:rPr>
                <w:rFonts w:ascii="Arial" w:cs="Arial" w:eastAsia="Arial" w:hAnsi="Arial"/>
                <w:sz w:val="18"/>
                <w:szCs w:val="18"/>
                <w:color w:val="auto"/>
                <w:w w:val="93"/>
              </w:rPr>
              <w:t>—   Amended and Restated Articles of Civeo Corporation (incorporated herein by reference to Exhibit 3.1 to Civeo Corporation’s Current</w:t>
            </w:r>
          </w:p>
        </w:tc>
      </w:tr>
      <w:tr>
        <w:trPr>
          <w:trHeight w:val="230"/>
        </w:trPr>
        <w:tc>
          <w:tcPr>
            <w:tcW w:w="2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340" w:type="dxa"/>
            <w:vAlign w:val="bottom"/>
            <w:gridSpan w:val="5"/>
          </w:tcPr>
          <w:p>
            <w:pPr>
              <w:ind w:left="640"/>
              <w:spacing w:after="0"/>
              <w:rPr>
                <w:sz w:val="20"/>
                <w:szCs w:val="20"/>
                <w:color w:val="auto"/>
              </w:rPr>
            </w:pPr>
            <w:r>
              <w:rPr>
                <w:rFonts w:ascii="Arial" w:cs="Arial" w:eastAsia="Arial" w:hAnsi="Arial"/>
                <w:sz w:val="18"/>
                <w:szCs w:val="18"/>
                <w:color w:val="auto"/>
              </w:rPr>
              <w:t>Report on Form 8-K (File No. 001-36246) filed on May 13, 2016).</w:t>
            </w:r>
          </w:p>
        </w:tc>
      </w:tr>
      <w:tr>
        <w:trPr>
          <w:trHeight w:val="418"/>
        </w:trPr>
        <w:tc>
          <w:tcPr>
            <w:tcW w:w="1080" w:type="dxa"/>
            <w:vAlign w:val="bottom"/>
            <w:gridSpan w:val="2"/>
          </w:tcPr>
          <w:p>
            <w:pPr>
              <w:spacing w:after="0"/>
              <w:rPr>
                <w:sz w:val="20"/>
                <w:szCs w:val="20"/>
                <w:color w:val="auto"/>
              </w:rPr>
            </w:pPr>
            <w:r>
              <w:rPr>
                <w:rFonts w:ascii="Arial" w:cs="Arial" w:eastAsia="Arial" w:hAnsi="Arial"/>
                <w:sz w:val="18"/>
                <w:szCs w:val="18"/>
                <w:color w:val="auto"/>
              </w:rPr>
              <w:t>10.1</w:t>
            </w:r>
          </w:p>
        </w:tc>
        <w:tc>
          <w:tcPr>
            <w:tcW w:w="10340" w:type="dxa"/>
            <w:vAlign w:val="bottom"/>
            <w:gridSpan w:val="5"/>
          </w:tcPr>
          <w:p>
            <w:pPr>
              <w:ind w:left="180"/>
              <w:spacing w:after="0"/>
              <w:rPr>
                <w:sz w:val="20"/>
                <w:szCs w:val="20"/>
                <w:color w:val="auto"/>
              </w:rPr>
            </w:pPr>
            <w:r>
              <w:rPr>
                <w:rFonts w:ascii="Arial" w:cs="Arial" w:eastAsia="Arial" w:hAnsi="Arial"/>
                <w:sz w:val="18"/>
                <w:szCs w:val="18"/>
                <w:color w:val="auto"/>
                <w:w w:val="95"/>
              </w:rPr>
              <w:t>—   Third Amendment to Syndicated Facility Agreement, dated as of February 17, 2017, by and among Civeo Corporation, Civeo U.S.</w:t>
            </w:r>
          </w:p>
        </w:tc>
      </w:tr>
      <w:tr>
        <w:trPr>
          <w:trHeight w:val="216"/>
        </w:trPr>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340" w:type="dxa"/>
            <w:vAlign w:val="bottom"/>
            <w:gridSpan w:val="5"/>
          </w:tcPr>
          <w:p>
            <w:pPr>
              <w:ind w:left="640"/>
              <w:spacing w:after="0"/>
              <w:rPr>
                <w:sz w:val="20"/>
                <w:szCs w:val="20"/>
                <w:color w:val="auto"/>
              </w:rPr>
            </w:pPr>
            <w:r>
              <w:rPr>
                <w:rFonts w:ascii="Arial" w:cs="Arial" w:eastAsia="Arial" w:hAnsi="Arial"/>
                <w:sz w:val="18"/>
                <w:szCs w:val="18"/>
                <w:color w:val="auto"/>
                <w:w w:val="97"/>
              </w:rPr>
              <w:t>Holdings LLC, Civeo Management LLC, Civeo Canada Inc., Civeo Premium Camp Services Ltd., and Civeo PTY Limited, as</w:t>
            </w:r>
          </w:p>
        </w:tc>
      </w:tr>
      <w:tr>
        <w:trPr>
          <w:trHeight w:val="216"/>
        </w:trPr>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340" w:type="dxa"/>
            <w:vAlign w:val="bottom"/>
            <w:gridSpan w:val="5"/>
          </w:tcPr>
          <w:p>
            <w:pPr>
              <w:ind w:left="640"/>
              <w:spacing w:after="0"/>
              <w:rPr>
                <w:sz w:val="20"/>
                <w:szCs w:val="20"/>
                <w:color w:val="auto"/>
              </w:rPr>
            </w:pPr>
            <w:r>
              <w:rPr>
                <w:rFonts w:ascii="Arial" w:cs="Arial" w:eastAsia="Arial" w:hAnsi="Arial"/>
                <w:sz w:val="18"/>
                <w:szCs w:val="18"/>
                <w:color w:val="auto"/>
                <w:w w:val="95"/>
              </w:rPr>
              <w:t>Borrowers, the Guarantors and Lenders named therein, Royal Bank of Canada, as Administrative Agent, U.S. Collateral Agent,</w:t>
            </w:r>
          </w:p>
        </w:tc>
      </w:tr>
      <w:tr>
        <w:trPr>
          <w:trHeight w:val="216"/>
        </w:trPr>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340" w:type="dxa"/>
            <w:vAlign w:val="bottom"/>
            <w:gridSpan w:val="5"/>
          </w:tcPr>
          <w:p>
            <w:pPr>
              <w:ind w:left="640"/>
              <w:spacing w:after="0"/>
              <w:rPr>
                <w:sz w:val="20"/>
                <w:szCs w:val="20"/>
                <w:color w:val="auto"/>
              </w:rPr>
            </w:pPr>
            <w:r>
              <w:rPr>
                <w:rFonts w:ascii="Arial" w:cs="Arial" w:eastAsia="Arial" w:hAnsi="Arial"/>
                <w:sz w:val="18"/>
                <w:szCs w:val="18"/>
                <w:color w:val="auto"/>
              </w:rPr>
              <w:t>Canadian Administrative Agent, Canadian Collateral Agent and an Issuing Bank, and RBC Europe Limited, as Australian</w:t>
            </w:r>
          </w:p>
        </w:tc>
      </w:tr>
      <w:tr>
        <w:trPr>
          <w:trHeight w:val="216"/>
        </w:trPr>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340" w:type="dxa"/>
            <w:vAlign w:val="bottom"/>
            <w:gridSpan w:val="5"/>
          </w:tcPr>
          <w:p>
            <w:pPr>
              <w:ind w:left="640"/>
              <w:spacing w:after="0"/>
              <w:rPr>
                <w:sz w:val="20"/>
                <w:szCs w:val="20"/>
                <w:color w:val="auto"/>
              </w:rPr>
            </w:pPr>
            <w:r>
              <w:rPr>
                <w:rFonts w:ascii="Arial" w:cs="Arial" w:eastAsia="Arial" w:hAnsi="Arial"/>
                <w:sz w:val="18"/>
                <w:szCs w:val="18"/>
                <w:color w:val="auto"/>
                <w:w w:val="97"/>
              </w:rPr>
              <w:t>Administrative Agent, Australian Collateral Agent and an Issuing Bank (incorporated herein by reference to Exhibit 10.1 to the</w:t>
            </w:r>
          </w:p>
        </w:tc>
      </w:tr>
      <w:tr>
        <w:trPr>
          <w:trHeight w:val="230"/>
        </w:trPr>
        <w:tc>
          <w:tcPr>
            <w:tcW w:w="2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340" w:type="dxa"/>
            <w:vAlign w:val="bottom"/>
            <w:gridSpan w:val="5"/>
          </w:tcPr>
          <w:p>
            <w:pPr>
              <w:ind w:left="640"/>
              <w:spacing w:after="0"/>
              <w:rPr>
                <w:sz w:val="20"/>
                <w:szCs w:val="20"/>
                <w:color w:val="auto"/>
              </w:rPr>
            </w:pPr>
            <w:r>
              <w:rPr>
                <w:rFonts w:ascii="Arial" w:cs="Arial" w:eastAsia="Arial" w:hAnsi="Arial"/>
                <w:sz w:val="18"/>
                <w:szCs w:val="18"/>
                <w:color w:val="auto"/>
              </w:rPr>
              <w:t>Current Report on Form 8-K (File No. 001-36246) filed on February 21, 2017).</w:t>
            </w:r>
          </w:p>
        </w:tc>
      </w:tr>
      <w:tr>
        <w:trPr>
          <w:trHeight w:val="418"/>
        </w:trPr>
        <w:tc>
          <w:tcPr>
            <w:tcW w:w="1080" w:type="dxa"/>
            <w:vAlign w:val="bottom"/>
            <w:gridSpan w:val="2"/>
          </w:tcPr>
          <w:p>
            <w:pPr>
              <w:spacing w:after="0"/>
              <w:rPr>
                <w:sz w:val="20"/>
                <w:szCs w:val="20"/>
                <w:color w:val="auto"/>
              </w:rPr>
            </w:pPr>
            <w:r>
              <w:rPr>
                <w:rFonts w:ascii="Arial" w:cs="Arial" w:eastAsia="Arial" w:hAnsi="Arial"/>
                <w:sz w:val="18"/>
                <w:szCs w:val="18"/>
                <w:color w:val="auto"/>
              </w:rPr>
              <w:t>10.2</w:t>
            </w:r>
          </w:p>
        </w:tc>
        <w:tc>
          <w:tcPr>
            <w:tcW w:w="10340" w:type="dxa"/>
            <w:vAlign w:val="bottom"/>
            <w:gridSpan w:val="5"/>
          </w:tcPr>
          <w:p>
            <w:pPr>
              <w:ind w:left="180"/>
              <w:spacing w:after="0"/>
              <w:rPr>
                <w:sz w:val="20"/>
                <w:szCs w:val="20"/>
                <w:color w:val="auto"/>
              </w:rPr>
            </w:pPr>
            <w:r>
              <w:rPr>
                <w:rFonts w:ascii="Arial" w:cs="Arial" w:eastAsia="Arial" w:hAnsi="Arial"/>
                <w:sz w:val="18"/>
                <w:szCs w:val="18"/>
                <w:color w:val="auto"/>
                <w:w w:val="99"/>
              </w:rPr>
              <w:t>—   Amendment to Civeo Corporation 2014 Equity Participation Plan (incorporated herein by reference to Exhibit 10.33 to Civeo</w:t>
            </w:r>
          </w:p>
        </w:tc>
      </w:tr>
      <w:tr>
        <w:trPr>
          <w:trHeight w:val="230"/>
        </w:trPr>
        <w:tc>
          <w:tcPr>
            <w:tcW w:w="2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340" w:type="dxa"/>
            <w:vAlign w:val="bottom"/>
            <w:gridSpan w:val="5"/>
          </w:tcPr>
          <w:p>
            <w:pPr>
              <w:ind w:left="640"/>
              <w:spacing w:after="0"/>
              <w:rPr>
                <w:sz w:val="20"/>
                <w:szCs w:val="20"/>
                <w:color w:val="auto"/>
              </w:rPr>
            </w:pPr>
            <w:r>
              <w:rPr>
                <w:rFonts w:ascii="Arial" w:cs="Arial" w:eastAsia="Arial" w:hAnsi="Arial"/>
                <w:sz w:val="18"/>
                <w:szCs w:val="18"/>
                <w:color w:val="auto"/>
                <w:w w:val="91"/>
              </w:rPr>
              <w:t>Corporation’s Annual Report on Form 10-K for the year ended December 31, 2016 (File No. 001-36246)) filed on February 23, 2017.</w:t>
            </w:r>
          </w:p>
        </w:tc>
      </w:tr>
      <w:tr>
        <w:trPr>
          <w:trHeight w:val="418"/>
        </w:trPr>
        <w:tc>
          <w:tcPr>
            <w:tcW w:w="1080" w:type="dxa"/>
            <w:vAlign w:val="bottom"/>
            <w:gridSpan w:val="2"/>
          </w:tcPr>
          <w:p>
            <w:pPr>
              <w:spacing w:after="0"/>
              <w:rPr>
                <w:sz w:val="20"/>
                <w:szCs w:val="20"/>
                <w:color w:val="auto"/>
              </w:rPr>
            </w:pPr>
            <w:r>
              <w:rPr>
                <w:rFonts w:ascii="Arial" w:cs="Arial" w:eastAsia="Arial" w:hAnsi="Arial"/>
                <w:sz w:val="18"/>
                <w:szCs w:val="18"/>
                <w:color w:val="auto"/>
              </w:rPr>
              <w:t>31.1*</w:t>
            </w:r>
          </w:p>
        </w:tc>
        <w:tc>
          <w:tcPr>
            <w:tcW w:w="10340" w:type="dxa"/>
            <w:vAlign w:val="bottom"/>
            <w:gridSpan w:val="5"/>
          </w:tcPr>
          <w:p>
            <w:pPr>
              <w:ind w:left="180"/>
              <w:spacing w:after="0"/>
              <w:rPr>
                <w:sz w:val="20"/>
                <w:szCs w:val="20"/>
                <w:color w:val="auto"/>
              </w:rPr>
            </w:pPr>
            <w:r>
              <w:rPr>
                <w:rFonts w:ascii="Arial" w:cs="Arial" w:eastAsia="Arial" w:hAnsi="Arial"/>
                <w:sz w:val="18"/>
                <w:szCs w:val="18"/>
                <w:color w:val="auto"/>
                <w:w w:val="93"/>
              </w:rPr>
              <w:t>—   Certification of Chief Executive Officer of Civeo Corporation pursuant to Rules 13a-14(a) or 15d-14(a) under the Securities Exchange</w:t>
            </w:r>
          </w:p>
        </w:tc>
      </w:tr>
      <w:tr>
        <w:trPr>
          <w:trHeight w:val="230"/>
        </w:trPr>
        <w:tc>
          <w:tcPr>
            <w:tcW w:w="2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340" w:type="dxa"/>
            <w:vAlign w:val="bottom"/>
            <w:gridSpan w:val="5"/>
          </w:tcPr>
          <w:p>
            <w:pPr>
              <w:ind w:left="640"/>
              <w:spacing w:after="0"/>
              <w:rPr>
                <w:sz w:val="20"/>
                <w:szCs w:val="20"/>
                <w:color w:val="auto"/>
              </w:rPr>
            </w:pPr>
            <w:r>
              <w:rPr>
                <w:rFonts w:ascii="Arial" w:cs="Arial" w:eastAsia="Arial" w:hAnsi="Arial"/>
                <w:sz w:val="18"/>
                <w:szCs w:val="18"/>
                <w:color w:val="auto"/>
              </w:rPr>
              <w:t>Act of 1934.</w:t>
            </w:r>
          </w:p>
        </w:tc>
      </w:tr>
      <w:tr>
        <w:trPr>
          <w:trHeight w:val="418"/>
        </w:trPr>
        <w:tc>
          <w:tcPr>
            <w:tcW w:w="1080" w:type="dxa"/>
            <w:vAlign w:val="bottom"/>
            <w:gridSpan w:val="2"/>
          </w:tcPr>
          <w:p>
            <w:pPr>
              <w:spacing w:after="0"/>
              <w:rPr>
                <w:sz w:val="20"/>
                <w:szCs w:val="20"/>
                <w:color w:val="auto"/>
              </w:rPr>
            </w:pPr>
            <w:r>
              <w:rPr>
                <w:rFonts w:ascii="Arial" w:cs="Arial" w:eastAsia="Arial" w:hAnsi="Arial"/>
                <w:sz w:val="18"/>
                <w:szCs w:val="18"/>
                <w:color w:val="auto"/>
              </w:rPr>
              <w:t>31.2*</w:t>
            </w:r>
          </w:p>
        </w:tc>
        <w:tc>
          <w:tcPr>
            <w:tcW w:w="10340" w:type="dxa"/>
            <w:vAlign w:val="bottom"/>
            <w:gridSpan w:val="5"/>
          </w:tcPr>
          <w:p>
            <w:pPr>
              <w:ind w:left="180"/>
              <w:spacing w:after="0"/>
              <w:rPr>
                <w:sz w:val="20"/>
                <w:szCs w:val="20"/>
                <w:color w:val="auto"/>
              </w:rPr>
            </w:pPr>
            <w:r>
              <w:rPr>
                <w:rFonts w:ascii="Arial" w:cs="Arial" w:eastAsia="Arial" w:hAnsi="Arial"/>
                <w:sz w:val="18"/>
                <w:szCs w:val="18"/>
                <w:color w:val="auto"/>
                <w:w w:val="93"/>
              </w:rPr>
              <w:t>—   Certification of Chief Financial Officer of Civeo Corporation pursuant to Rules 13a-14(a) or 15d-14(a) under the Securities Exchange</w:t>
            </w:r>
          </w:p>
        </w:tc>
      </w:tr>
      <w:tr>
        <w:trPr>
          <w:trHeight w:val="230"/>
        </w:trPr>
        <w:tc>
          <w:tcPr>
            <w:tcW w:w="2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340" w:type="dxa"/>
            <w:vAlign w:val="bottom"/>
            <w:gridSpan w:val="5"/>
          </w:tcPr>
          <w:p>
            <w:pPr>
              <w:ind w:left="640"/>
              <w:spacing w:after="0"/>
              <w:rPr>
                <w:sz w:val="20"/>
                <w:szCs w:val="20"/>
                <w:color w:val="auto"/>
              </w:rPr>
            </w:pPr>
            <w:r>
              <w:rPr>
                <w:rFonts w:ascii="Arial" w:cs="Arial" w:eastAsia="Arial" w:hAnsi="Arial"/>
                <w:sz w:val="18"/>
                <w:szCs w:val="18"/>
                <w:color w:val="auto"/>
              </w:rPr>
              <w:t>Act of 1934.</w:t>
            </w:r>
          </w:p>
        </w:tc>
      </w:tr>
      <w:tr>
        <w:trPr>
          <w:trHeight w:val="418"/>
        </w:trPr>
        <w:tc>
          <w:tcPr>
            <w:tcW w:w="1080" w:type="dxa"/>
            <w:vAlign w:val="bottom"/>
            <w:gridSpan w:val="2"/>
          </w:tcPr>
          <w:p>
            <w:pPr>
              <w:spacing w:after="0"/>
              <w:rPr>
                <w:sz w:val="20"/>
                <w:szCs w:val="20"/>
                <w:color w:val="auto"/>
              </w:rPr>
            </w:pPr>
            <w:r>
              <w:rPr>
                <w:rFonts w:ascii="Arial" w:cs="Arial" w:eastAsia="Arial" w:hAnsi="Arial"/>
                <w:sz w:val="18"/>
                <w:szCs w:val="18"/>
                <w:color w:val="auto"/>
              </w:rPr>
              <w:t>32.1**</w:t>
            </w:r>
          </w:p>
        </w:tc>
        <w:tc>
          <w:tcPr>
            <w:tcW w:w="10340" w:type="dxa"/>
            <w:vAlign w:val="bottom"/>
            <w:gridSpan w:val="5"/>
          </w:tcPr>
          <w:p>
            <w:pPr>
              <w:ind w:left="180"/>
              <w:spacing w:after="0"/>
              <w:rPr>
                <w:sz w:val="20"/>
                <w:szCs w:val="20"/>
                <w:color w:val="auto"/>
              </w:rPr>
            </w:pPr>
            <w:r>
              <w:rPr>
                <w:rFonts w:ascii="Arial" w:cs="Arial" w:eastAsia="Arial" w:hAnsi="Arial"/>
                <w:sz w:val="18"/>
                <w:szCs w:val="18"/>
                <w:color w:val="auto"/>
              </w:rPr>
              <w:t>—   Certification of Chief Executive Officer of Civeo Corporation pursuant to Rules 13a-14(b) or 15d-14(b) under the Securities</w:t>
            </w:r>
          </w:p>
        </w:tc>
      </w:tr>
      <w:tr>
        <w:trPr>
          <w:trHeight w:val="230"/>
        </w:trPr>
        <w:tc>
          <w:tcPr>
            <w:tcW w:w="2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340" w:type="dxa"/>
            <w:vAlign w:val="bottom"/>
            <w:gridSpan w:val="5"/>
          </w:tcPr>
          <w:p>
            <w:pPr>
              <w:ind w:left="640"/>
              <w:spacing w:after="0"/>
              <w:rPr>
                <w:sz w:val="20"/>
                <w:szCs w:val="20"/>
                <w:color w:val="auto"/>
              </w:rPr>
            </w:pPr>
            <w:r>
              <w:rPr>
                <w:rFonts w:ascii="Arial" w:cs="Arial" w:eastAsia="Arial" w:hAnsi="Arial"/>
                <w:sz w:val="18"/>
                <w:szCs w:val="18"/>
                <w:color w:val="auto"/>
              </w:rPr>
              <w:t>Exchange Act of 1934.</w:t>
            </w:r>
          </w:p>
        </w:tc>
      </w:tr>
      <w:tr>
        <w:trPr>
          <w:trHeight w:val="418"/>
        </w:trPr>
        <w:tc>
          <w:tcPr>
            <w:tcW w:w="1080" w:type="dxa"/>
            <w:vAlign w:val="bottom"/>
            <w:gridSpan w:val="2"/>
          </w:tcPr>
          <w:p>
            <w:pPr>
              <w:spacing w:after="0"/>
              <w:rPr>
                <w:sz w:val="20"/>
                <w:szCs w:val="20"/>
                <w:color w:val="auto"/>
              </w:rPr>
            </w:pPr>
            <w:r>
              <w:rPr>
                <w:rFonts w:ascii="Arial" w:cs="Arial" w:eastAsia="Arial" w:hAnsi="Arial"/>
                <w:sz w:val="18"/>
                <w:szCs w:val="18"/>
                <w:color w:val="auto"/>
              </w:rPr>
              <w:t>32.2**</w:t>
            </w:r>
          </w:p>
        </w:tc>
        <w:tc>
          <w:tcPr>
            <w:tcW w:w="10340" w:type="dxa"/>
            <w:vAlign w:val="bottom"/>
            <w:gridSpan w:val="5"/>
          </w:tcPr>
          <w:p>
            <w:pPr>
              <w:ind w:left="180"/>
              <w:spacing w:after="0"/>
              <w:rPr>
                <w:sz w:val="20"/>
                <w:szCs w:val="20"/>
                <w:color w:val="auto"/>
              </w:rPr>
            </w:pPr>
            <w:r>
              <w:rPr>
                <w:rFonts w:ascii="Arial" w:cs="Arial" w:eastAsia="Arial" w:hAnsi="Arial"/>
                <w:sz w:val="18"/>
                <w:szCs w:val="18"/>
                <w:color w:val="auto"/>
                <w:w w:val="93"/>
              </w:rPr>
              <w:t>—   Certification of Chief Financial Officer of Civeo Corporation pursuant to Rules 13a-14(b) or 15d-14(b) under the Securities Exchange</w:t>
            </w:r>
          </w:p>
        </w:tc>
      </w:tr>
      <w:tr>
        <w:trPr>
          <w:trHeight w:val="230"/>
        </w:trPr>
        <w:tc>
          <w:tcPr>
            <w:tcW w:w="2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340" w:type="dxa"/>
            <w:vAlign w:val="bottom"/>
            <w:gridSpan w:val="5"/>
          </w:tcPr>
          <w:p>
            <w:pPr>
              <w:ind w:left="640"/>
              <w:spacing w:after="0"/>
              <w:rPr>
                <w:sz w:val="20"/>
                <w:szCs w:val="20"/>
                <w:color w:val="auto"/>
              </w:rPr>
            </w:pPr>
            <w:r>
              <w:rPr>
                <w:rFonts w:ascii="Arial" w:cs="Arial" w:eastAsia="Arial" w:hAnsi="Arial"/>
                <w:sz w:val="18"/>
                <w:szCs w:val="18"/>
                <w:color w:val="auto"/>
              </w:rPr>
              <w:t>Act of 1934.</w:t>
            </w:r>
          </w:p>
        </w:tc>
      </w:tr>
      <w:tr>
        <w:trPr>
          <w:trHeight w:val="432"/>
        </w:trPr>
        <w:tc>
          <w:tcPr>
            <w:tcW w:w="1080" w:type="dxa"/>
            <w:vAlign w:val="bottom"/>
            <w:gridSpan w:val="2"/>
          </w:tcPr>
          <w:p>
            <w:pPr>
              <w:spacing w:after="0"/>
              <w:rPr>
                <w:sz w:val="20"/>
                <w:szCs w:val="20"/>
                <w:color w:val="auto"/>
              </w:rPr>
            </w:pPr>
            <w:r>
              <w:rPr>
                <w:rFonts w:ascii="Arial" w:cs="Arial" w:eastAsia="Arial" w:hAnsi="Arial"/>
                <w:sz w:val="18"/>
                <w:szCs w:val="18"/>
                <w:color w:val="auto"/>
              </w:rPr>
              <w:t>101.INS*</w:t>
            </w:r>
          </w:p>
        </w:tc>
        <w:tc>
          <w:tcPr>
            <w:tcW w:w="10340" w:type="dxa"/>
            <w:vAlign w:val="bottom"/>
            <w:gridSpan w:val="5"/>
          </w:tcPr>
          <w:p>
            <w:pPr>
              <w:ind w:left="180"/>
              <w:spacing w:after="0"/>
              <w:rPr>
                <w:sz w:val="20"/>
                <w:szCs w:val="20"/>
                <w:color w:val="auto"/>
              </w:rPr>
            </w:pPr>
            <w:r>
              <w:rPr>
                <w:rFonts w:ascii="Arial" w:cs="Arial" w:eastAsia="Arial" w:hAnsi="Arial"/>
                <w:sz w:val="18"/>
                <w:szCs w:val="18"/>
                <w:color w:val="auto"/>
              </w:rPr>
              <w:t>—   XBRL Instance Document</w:t>
            </w:r>
          </w:p>
        </w:tc>
      </w:tr>
      <w:tr>
        <w:trPr>
          <w:trHeight w:val="432"/>
        </w:trPr>
        <w:tc>
          <w:tcPr>
            <w:tcW w:w="1080" w:type="dxa"/>
            <w:vAlign w:val="bottom"/>
            <w:gridSpan w:val="2"/>
          </w:tcPr>
          <w:p>
            <w:pPr>
              <w:spacing w:after="0"/>
              <w:rPr>
                <w:sz w:val="20"/>
                <w:szCs w:val="20"/>
                <w:color w:val="auto"/>
              </w:rPr>
            </w:pPr>
            <w:r>
              <w:rPr>
                <w:rFonts w:ascii="Arial" w:cs="Arial" w:eastAsia="Arial" w:hAnsi="Arial"/>
                <w:sz w:val="18"/>
                <w:szCs w:val="18"/>
                <w:color w:val="auto"/>
              </w:rPr>
              <w:t>101.SCH*</w:t>
            </w:r>
          </w:p>
        </w:tc>
        <w:tc>
          <w:tcPr>
            <w:tcW w:w="10340" w:type="dxa"/>
            <w:vAlign w:val="bottom"/>
            <w:gridSpan w:val="5"/>
          </w:tcPr>
          <w:p>
            <w:pPr>
              <w:ind w:left="180"/>
              <w:spacing w:after="0"/>
              <w:rPr>
                <w:sz w:val="20"/>
                <w:szCs w:val="20"/>
                <w:color w:val="auto"/>
              </w:rPr>
            </w:pPr>
            <w:r>
              <w:rPr>
                <w:rFonts w:ascii="Arial" w:cs="Arial" w:eastAsia="Arial" w:hAnsi="Arial"/>
                <w:sz w:val="18"/>
                <w:szCs w:val="18"/>
                <w:color w:val="auto"/>
              </w:rPr>
              <w:t>—   XBRL Taxonomy Extension Schema Document</w:t>
            </w:r>
          </w:p>
        </w:tc>
      </w:tr>
      <w:tr>
        <w:trPr>
          <w:trHeight w:val="432"/>
        </w:trPr>
        <w:tc>
          <w:tcPr>
            <w:tcW w:w="1080" w:type="dxa"/>
            <w:vAlign w:val="bottom"/>
            <w:gridSpan w:val="2"/>
          </w:tcPr>
          <w:p>
            <w:pPr>
              <w:spacing w:after="0"/>
              <w:rPr>
                <w:sz w:val="20"/>
                <w:szCs w:val="20"/>
                <w:color w:val="auto"/>
              </w:rPr>
            </w:pPr>
            <w:r>
              <w:rPr>
                <w:rFonts w:ascii="Arial" w:cs="Arial" w:eastAsia="Arial" w:hAnsi="Arial"/>
                <w:sz w:val="18"/>
                <w:szCs w:val="18"/>
                <w:color w:val="auto"/>
              </w:rPr>
              <w:t>101.CAL*</w:t>
            </w:r>
          </w:p>
        </w:tc>
        <w:tc>
          <w:tcPr>
            <w:tcW w:w="10340" w:type="dxa"/>
            <w:vAlign w:val="bottom"/>
            <w:gridSpan w:val="5"/>
          </w:tcPr>
          <w:p>
            <w:pPr>
              <w:ind w:left="180"/>
              <w:spacing w:after="0"/>
              <w:rPr>
                <w:sz w:val="20"/>
                <w:szCs w:val="20"/>
                <w:color w:val="auto"/>
              </w:rPr>
            </w:pPr>
            <w:r>
              <w:rPr>
                <w:rFonts w:ascii="Arial" w:cs="Arial" w:eastAsia="Arial" w:hAnsi="Arial"/>
                <w:sz w:val="18"/>
                <w:szCs w:val="18"/>
                <w:color w:val="auto"/>
              </w:rPr>
              <w:t>—   XBRL Taxonomy Extension Calculation Linkbase Document</w:t>
            </w:r>
          </w:p>
        </w:tc>
      </w:tr>
      <w:tr>
        <w:trPr>
          <w:trHeight w:val="432"/>
        </w:trPr>
        <w:tc>
          <w:tcPr>
            <w:tcW w:w="1080" w:type="dxa"/>
            <w:vAlign w:val="bottom"/>
            <w:gridSpan w:val="2"/>
          </w:tcPr>
          <w:p>
            <w:pPr>
              <w:spacing w:after="0"/>
              <w:rPr>
                <w:sz w:val="20"/>
                <w:szCs w:val="20"/>
                <w:color w:val="auto"/>
              </w:rPr>
            </w:pPr>
            <w:r>
              <w:rPr>
                <w:rFonts w:ascii="Arial" w:cs="Arial" w:eastAsia="Arial" w:hAnsi="Arial"/>
                <w:sz w:val="18"/>
                <w:szCs w:val="18"/>
                <w:color w:val="auto"/>
              </w:rPr>
              <w:t>101.DEF*</w:t>
            </w:r>
          </w:p>
        </w:tc>
        <w:tc>
          <w:tcPr>
            <w:tcW w:w="10340" w:type="dxa"/>
            <w:vAlign w:val="bottom"/>
            <w:gridSpan w:val="5"/>
          </w:tcPr>
          <w:p>
            <w:pPr>
              <w:ind w:left="180"/>
              <w:spacing w:after="0"/>
              <w:rPr>
                <w:sz w:val="20"/>
                <w:szCs w:val="20"/>
                <w:color w:val="auto"/>
              </w:rPr>
            </w:pPr>
            <w:r>
              <w:rPr>
                <w:rFonts w:ascii="Arial" w:cs="Arial" w:eastAsia="Arial" w:hAnsi="Arial"/>
                <w:sz w:val="18"/>
                <w:szCs w:val="18"/>
                <w:color w:val="auto"/>
              </w:rPr>
              <w:t>—   XBRL Taxonomy Extension Definition Linkbase Document</w:t>
            </w:r>
          </w:p>
        </w:tc>
      </w:tr>
      <w:tr>
        <w:trPr>
          <w:trHeight w:val="432"/>
        </w:trPr>
        <w:tc>
          <w:tcPr>
            <w:tcW w:w="1080" w:type="dxa"/>
            <w:vAlign w:val="bottom"/>
            <w:gridSpan w:val="2"/>
          </w:tcPr>
          <w:p>
            <w:pPr>
              <w:spacing w:after="0"/>
              <w:rPr>
                <w:sz w:val="20"/>
                <w:szCs w:val="20"/>
                <w:color w:val="auto"/>
              </w:rPr>
            </w:pPr>
            <w:r>
              <w:rPr>
                <w:rFonts w:ascii="Arial" w:cs="Arial" w:eastAsia="Arial" w:hAnsi="Arial"/>
                <w:sz w:val="18"/>
                <w:szCs w:val="18"/>
                <w:color w:val="auto"/>
              </w:rPr>
              <w:t>101.LAB*</w:t>
            </w:r>
          </w:p>
        </w:tc>
        <w:tc>
          <w:tcPr>
            <w:tcW w:w="10340" w:type="dxa"/>
            <w:vAlign w:val="bottom"/>
            <w:gridSpan w:val="5"/>
          </w:tcPr>
          <w:p>
            <w:pPr>
              <w:ind w:left="180"/>
              <w:spacing w:after="0"/>
              <w:rPr>
                <w:sz w:val="20"/>
                <w:szCs w:val="20"/>
                <w:color w:val="auto"/>
              </w:rPr>
            </w:pPr>
            <w:r>
              <w:rPr>
                <w:rFonts w:ascii="Arial" w:cs="Arial" w:eastAsia="Arial" w:hAnsi="Arial"/>
                <w:sz w:val="18"/>
                <w:szCs w:val="18"/>
                <w:color w:val="auto"/>
              </w:rPr>
              <w:t>—   XBRL Taxonomy Extension Label Linkbase Document</w:t>
            </w:r>
          </w:p>
        </w:tc>
      </w:tr>
      <w:tr>
        <w:trPr>
          <w:trHeight w:val="432"/>
        </w:trPr>
        <w:tc>
          <w:tcPr>
            <w:tcW w:w="1080" w:type="dxa"/>
            <w:vAlign w:val="bottom"/>
            <w:gridSpan w:val="2"/>
          </w:tcPr>
          <w:p>
            <w:pPr>
              <w:spacing w:after="0"/>
              <w:rPr>
                <w:sz w:val="20"/>
                <w:szCs w:val="20"/>
                <w:color w:val="auto"/>
              </w:rPr>
            </w:pPr>
            <w:r>
              <w:rPr>
                <w:rFonts w:ascii="Arial" w:cs="Arial" w:eastAsia="Arial" w:hAnsi="Arial"/>
                <w:sz w:val="18"/>
                <w:szCs w:val="18"/>
                <w:color w:val="auto"/>
              </w:rPr>
              <w:t>101.PRE*</w:t>
            </w:r>
          </w:p>
        </w:tc>
        <w:tc>
          <w:tcPr>
            <w:tcW w:w="10340" w:type="dxa"/>
            <w:vAlign w:val="bottom"/>
            <w:gridSpan w:val="5"/>
          </w:tcPr>
          <w:p>
            <w:pPr>
              <w:ind w:left="180"/>
              <w:spacing w:after="0"/>
              <w:rPr>
                <w:sz w:val="20"/>
                <w:szCs w:val="20"/>
                <w:color w:val="auto"/>
              </w:rPr>
            </w:pPr>
            <w:r>
              <w:rPr>
                <w:rFonts w:ascii="Arial" w:cs="Arial" w:eastAsia="Arial" w:hAnsi="Arial"/>
                <w:sz w:val="18"/>
                <w:szCs w:val="18"/>
                <w:color w:val="auto"/>
              </w:rPr>
              <w:t>—   XBRL Taxonomy Extension Presentation Linkbase Document</w:t>
            </w:r>
          </w:p>
        </w:tc>
      </w:tr>
      <w:tr>
        <w:trPr>
          <w:trHeight w:val="432"/>
        </w:trPr>
        <w:tc>
          <w:tcPr>
            <w:tcW w:w="1080" w:type="dxa"/>
            <w:vAlign w:val="bottom"/>
            <w:gridSpan w:val="2"/>
          </w:tcPr>
          <w:p>
            <w:pPr>
              <w:spacing w:after="0"/>
              <w:rPr>
                <w:sz w:val="20"/>
                <w:szCs w:val="20"/>
                <w:color w:val="auto"/>
              </w:rPr>
            </w:pPr>
            <w:r>
              <w:rPr>
                <w:rFonts w:ascii="Arial" w:cs="Arial" w:eastAsia="Arial" w:hAnsi="Arial"/>
                <w:sz w:val="18"/>
                <w:szCs w:val="18"/>
                <w:color w:val="auto"/>
              </w:rPr>
              <w:t>---------</w:t>
            </w:r>
          </w:p>
        </w:tc>
        <w:tc>
          <w:tcPr>
            <w:tcW w:w="4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400" w:type="dxa"/>
            <w:vAlign w:val="bottom"/>
          </w:tcPr>
          <w:p>
            <w:pPr>
              <w:spacing w:after="0"/>
              <w:rPr>
                <w:sz w:val="24"/>
                <w:szCs w:val="24"/>
                <w:color w:val="auto"/>
              </w:rPr>
            </w:pPr>
          </w:p>
        </w:tc>
      </w:tr>
    </w:tbl>
    <w:p>
      <w:pPr>
        <w:ind w:left="360" w:hanging="352"/>
        <w:spacing w:after="0"/>
        <w:tabs>
          <w:tab w:leader="none" w:pos="3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9" w:lineRule="exact"/>
        <w:rPr>
          <w:sz w:val="20"/>
          <w:szCs w:val="20"/>
          <w:color w:val="auto"/>
        </w:rPr>
      </w:pPr>
    </w:p>
    <w:p>
      <w:pPr>
        <w:spacing w:after="0"/>
        <w:tabs>
          <w:tab w:leader="none" w:pos="34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Furnished herewith.</w:t>
      </w:r>
    </w:p>
    <w:p>
      <w:pPr>
        <w:spacing w:after="0" w:line="211" w:lineRule="exact"/>
        <w:rPr>
          <w:sz w:val="20"/>
          <w:szCs w:val="20"/>
          <w:color w:val="auto"/>
        </w:rPr>
      </w:pPr>
    </w:p>
    <w:p>
      <w:pPr>
        <w:ind w:right="60" w:firstLine="324"/>
        <w:spacing w:after="0" w:line="287" w:lineRule="auto"/>
        <w:rPr>
          <w:sz w:val="20"/>
          <w:szCs w:val="20"/>
          <w:color w:val="auto"/>
        </w:rPr>
      </w:pPr>
      <w:r>
        <w:rPr>
          <w:rFonts w:ascii="Arial" w:cs="Arial" w:eastAsia="Arial" w:hAnsi="Arial"/>
          <w:sz w:val="16"/>
          <w:szCs w:val="16"/>
          <w:color w:val="auto"/>
        </w:rPr>
        <w:t>PLEASE NOTE: Pursuant to the rules and regulations of the Securities and Exchange Commission, we have filed or incorporated by reference the agreements referenced above as exhibits to this Quarterly Report on Form 10-Q. The agreements have been filed to provide investors with information regarding their respective terms. The agreements are not intended to provide any other factual information about Civeo or its business or operations. In particular, the assertions embodied in any representations, warranties and covenants contained in the agreements may be subject to qualifications with respect to knowledge and materiality different from those applicable to investors and may be qualified by information in confidential disclosure schedules not included with the exhibits. These disclosure schedules may contain information that modifies, qualifies and creates exceptions to the representations, warranties and covenants set forth in the agreements. Moreover, certain representations, warranties and covenants in the agreements may have been used for the purpose of allocating risk between the parties, rather than establishing matters as facts. In addition, information concerning the subject matter of the representations, warranties and covenants may have changed after the date of the respective agreement, which subsequent information may or may not be fully reflected in our public disclosures. Accordingly, investors should not rely on the representations, warranties and covenants in the agreements as characterizations of the actual state of facts about Civeo or its business or operations on the date hereof.</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33</w:t>
      </w:r>
    </w:p>
    <w:p>
      <w:pPr>
        <w:sectPr>
          <w:pgSz w:w="11900" w:h="16838" w:orient="portrait"/>
          <w:cols w:equalWidth="0" w:num="1">
            <w:col w:w="11420"/>
          </w:cols>
          <w:pgMar w:left="240" w:top="567" w:right="239" w:bottom="1440" w:gutter="0" w:footer="0" w:header="0"/>
        </w:sectPr>
      </w:pPr>
    </w:p>
    <w:bookmarkStart w:id="33" w:name="page34"/>
    <w:bookmarkEnd w:id="33"/>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CHIEF EXECUTIVE OFFICER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CIVEO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RULE 13a–14(a) UNDER THE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SECURITIES EXCHANGE ACT OF 1934</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I, Bradley J. Dodson, certify that:</w:t>
      </w:r>
    </w:p>
    <w:p>
      <w:pPr>
        <w:spacing w:after="0" w:line="225" w:lineRule="exact"/>
        <w:rPr>
          <w:sz w:val="20"/>
          <w:szCs w:val="20"/>
          <w:color w:val="auto"/>
        </w:rPr>
      </w:pPr>
    </w:p>
    <w:p>
      <w:pPr>
        <w:ind w:left="980" w:hanging="324"/>
        <w:spacing w:after="0"/>
        <w:tabs>
          <w:tab w:leader="none" w:pos="9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Civeo Corporation (Registrant);</w:t>
      </w:r>
    </w:p>
    <w:p>
      <w:pPr>
        <w:spacing w:after="0" w:line="225" w:lineRule="exact"/>
        <w:rPr>
          <w:rFonts w:ascii="Arial" w:cs="Arial" w:eastAsia="Arial" w:hAnsi="Arial"/>
          <w:sz w:val="18"/>
          <w:szCs w:val="18"/>
          <w:color w:val="auto"/>
        </w:rPr>
      </w:pPr>
    </w:p>
    <w:p>
      <w:pPr>
        <w:jc w:val="both"/>
        <w:ind w:left="980" w:hanging="324"/>
        <w:spacing w:after="0" w:line="264" w:lineRule="auto"/>
        <w:tabs>
          <w:tab w:leader="none" w:pos="9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980" w:hanging="324"/>
        <w:spacing w:after="0" w:line="308" w:lineRule="auto"/>
        <w:tabs>
          <w:tab w:leader="none" w:pos="980" w:val="left"/>
        </w:tabs>
        <w:numPr>
          <w:ilvl w:val="0"/>
          <w:numId w:val="27"/>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jc w:val="both"/>
        <w:ind w:left="980" w:hanging="324"/>
        <w:spacing w:after="0" w:line="291" w:lineRule="auto"/>
        <w:tabs>
          <w:tab w:leader="none" w:pos="980" w:val="left"/>
        </w:tabs>
        <w:numPr>
          <w:ilvl w:val="0"/>
          <w:numId w:val="27"/>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w:t>
      </w:r>
    </w:p>
    <w:p>
      <w:pPr>
        <w:ind w:left="980"/>
        <w:spacing w:after="0"/>
        <w:rPr>
          <w:rFonts w:ascii="Arial" w:cs="Arial" w:eastAsia="Arial" w:hAnsi="Arial"/>
          <w:sz w:val="16"/>
          <w:szCs w:val="16"/>
          <w:color w:val="auto"/>
        </w:rPr>
      </w:pPr>
      <w:r>
        <w:rPr>
          <w:rFonts w:ascii="Arial" w:cs="Arial" w:eastAsia="Arial" w:hAnsi="Arial"/>
          <w:sz w:val="18"/>
          <w:szCs w:val="18"/>
          <w:color w:val="auto"/>
        </w:rPr>
        <w:t>15d-15(f)) for the Registrant and have:</w:t>
      </w:r>
    </w:p>
    <w:p>
      <w:pPr>
        <w:spacing w:after="0" w:line="210" w:lineRule="exact"/>
        <w:rPr>
          <w:rFonts w:ascii="Arial" w:cs="Arial" w:eastAsia="Arial" w:hAnsi="Arial"/>
          <w:sz w:val="16"/>
          <w:szCs w:val="16"/>
          <w:color w:val="auto"/>
        </w:rPr>
      </w:pPr>
    </w:p>
    <w:p>
      <w:pPr>
        <w:jc w:val="both"/>
        <w:ind w:left="1300" w:hanging="320"/>
        <w:spacing w:after="0" w:line="264" w:lineRule="auto"/>
        <w:tabs>
          <w:tab w:leader="none" w:pos="1300" w:val="left"/>
        </w:tabs>
        <w:numPr>
          <w:ilvl w:val="1"/>
          <w:numId w:val="2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jc w:val="both"/>
        <w:ind w:left="1300" w:hanging="320"/>
        <w:spacing w:after="0" w:line="264" w:lineRule="auto"/>
        <w:tabs>
          <w:tab w:leader="none" w:pos="1300" w:val="left"/>
        </w:tabs>
        <w:numPr>
          <w:ilvl w:val="1"/>
          <w:numId w:val="2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1300" w:hanging="320"/>
        <w:spacing w:after="0" w:line="342" w:lineRule="auto"/>
        <w:tabs>
          <w:tab w:leader="none" w:pos="1300" w:val="left"/>
        </w:tabs>
        <w:numPr>
          <w:ilvl w:val="1"/>
          <w:numId w:val="2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w:t>
      </w:r>
    </w:p>
    <w:p>
      <w:pPr>
        <w:spacing w:after="0" w:line="123" w:lineRule="exact"/>
        <w:rPr>
          <w:rFonts w:ascii="Arial" w:cs="Arial" w:eastAsia="Arial" w:hAnsi="Arial"/>
          <w:sz w:val="16"/>
          <w:szCs w:val="16"/>
          <w:color w:val="auto"/>
        </w:rPr>
      </w:pPr>
    </w:p>
    <w:p>
      <w:pPr>
        <w:jc w:val="both"/>
        <w:ind w:left="1300" w:hanging="320"/>
        <w:spacing w:after="0" w:line="264" w:lineRule="auto"/>
        <w:tabs>
          <w:tab w:leader="none" w:pos="1300" w:val="left"/>
        </w:tabs>
        <w:numPr>
          <w:ilvl w:val="1"/>
          <w:numId w:val="2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482600</wp:posOffset>
            </wp:positionV>
            <wp:extent cx="726757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4" w:name="page35"/>
    <w:bookmarkEnd w:id="34"/>
    <w:p>
      <w:pPr>
        <w:ind w:left="980" w:hanging="324"/>
        <w:spacing w:after="0" w:line="342" w:lineRule="auto"/>
        <w:tabs>
          <w:tab w:leader="none" w:pos="980" w:val="left"/>
        </w:tabs>
        <w:numPr>
          <w:ilvl w:val="0"/>
          <w:numId w:val="28"/>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3" w:lineRule="exact"/>
        <w:rPr>
          <w:rFonts w:ascii="Arial" w:cs="Arial" w:eastAsia="Arial" w:hAnsi="Arial"/>
          <w:sz w:val="16"/>
          <w:szCs w:val="16"/>
          <w:color w:val="auto"/>
        </w:rPr>
      </w:pPr>
    </w:p>
    <w:p>
      <w:pPr>
        <w:ind w:left="1300" w:hanging="320"/>
        <w:spacing w:after="0" w:line="308" w:lineRule="auto"/>
        <w:tabs>
          <w:tab w:leader="none" w:pos="1300" w:val="left"/>
        </w:tabs>
        <w:numPr>
          <w:ilvl w:val="1"/>
          <w:numId w:val="28"/>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left="1300" w:right="20" w:hanging="320"/>
        <w:spacing w:after="0" w:line="277" w:lineRule="auto"/>
        <w:tabs>
          <w:tab w:leader="none" w:pos="1300" w:val="left"/>
        </w:tabs>
        <w:numPr>
          <w:ilvl w:val="1"/>
          <w:numId w:val="2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April 27, 2017</w:t>
      </w:r>
    </w:p>
    <w:p>
      <w:pPr>
        <w:spacing w:after="0" w:line="23" w:lineRule="exact"/>
        <w:rPr>
          <w:sz w:val="20"/>
          <w:szCs w:val="20"/>
          <w:color w:val="auto"/>
        </w:rPr>
      </w:pPr>
    </w:p>
    <w:p>
      <w:pPr>
        <w:ind w:left="8000"/>
        <w:spacing w:after="0"/>
        <w:rPr>
          <w:sz w:val="20"/>
          <w:szCs w:val="20"/>
          <w:color w:val="auto"/>
        </w:rPr>
      </w:pPr>
      <w:r>
        <w:rPr>
          <w:rFonts w:ascii="Arial" w:cs="Arial" w:eastAsia="Arial" w:hAnsi="Arial"/>
          <w:sz w:val="18"/>
          <w:szCs w:val="18"/>
          <w:color w:val="auto"/>
        </w:rPr>
        <w:t>/s/ Bradley J. Dodson</w:t>
      </w:r>
    </w:p>
    <w:p>
      <w:pPr>
        <w:spacing w:after="0" w:line="9" w:lineRule="exact"/>
        <w:rPr>
          <w:sz w:val="20"/>
          <w:szCs w:val="20"/>
          <w:color w:val="auto"/>
        </w:rPr>
      </w:pPr>
    </w:p>
    <w:p>
      <w:pPr>
        <w:ind w:left="8000"/>
        <w:spacing w:after="0"/>
        <w:rPr>
          <w:sz w:val="20"/>
          <w:szCs w:val="20"/>
          <w:color w:val="auto"/>
        </w:rPr>
      </w:pPr>
      <w:r>
        <w:rPr>
          <w:rFonts w:ascii="Arial" w:cs="Arial" w:eastAsia="Arial" w:hAnsi="Arial"/>
          <w:sz w:val="18"/>
          <w:szCs w:val="18"/>
          <w:color w:val="auto"/>
        </w:rPr>
        <w:t>Bradley J. Dodson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5081905</wp:posOffset>
            </wp:positionH>
            <wp:positionV relativeFrom="paragraph">
              <wp:posOffset>-130810</wp:posOffset>
            </wp:positionV>
            <wp:extent cx="2169795"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2169795" cy="8890"/>
                    </a:xfrm>
                    <a:prstGeom prst="rect">
                      <a:avLst/>
                    </a:prstGeom>
                    <a:noFill/>
                  </pic:spPr>
                </pic:pic>
              </a:graphicData>
            </a:graphic>
          </wp:anchor>
        </w:drawing>
      </w:r>
    </w:p>
    <w:p>
      <w:pPr>
        <w:spacing w:after="0" w:line="3" w:lineRule="exact"/>
        <w:rPr>
          <w:sz w:val="20"/>
          <w:szCs w:val="20"/>
          <w:color w:val="auto"/>
        </w:rPr>
      </w:pPr>
    </w:p>
    <w:p>
      <w:pPr>
        <w:ind w:left="8000"/>
        <w:spacing w:after="0"/>
        <w:rPr>
          <w:sz w:val="20"/>
          <w:szCs w:val="20"/>
          <w:color w:val="auto"/>
        </w:rPr>
      </w:pPr>
      <w:r>
        <w:rPr>
          <w:rFonts w:ascii="Arial" w:cs="Arial" w:eastAsia="Arial" w:hAnsi="Arial"/>
          <w:sz w:val="18"/>
          <w:szCs w:val="18"/>
          <w:color w:val="auto"/>
        </w:rPr>
        <w:t>President and Chief Executive Officer</w:t>
      </w:r>
    </w:p>
    <w:p>
      <w:pPr>
        <w:sectPr>
          <w:pgSz w:w="11900" w:h="16838" w:orient="portrait"/>
          <w:cols w:equalWidth="0" w:num="1">
            <w:col w:w="11420"/>
          </w:cols>
          <w:pgMar w:left="240" w:top="854" w:right="239" w:bottom="1440" w:gutter="0" w:footer="0" w:header="0"/>
        </w:sectPr>
      </w:pPr>
    </w:p>
    <w:bookmarkStart w:id="35" w:name="page36"/>
    <w:bookmarkEnd w:id="35"/>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CHIEF FINANCIAL OFFICER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CIVEO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RULE 13a–14(a) UNDER THE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SECURITIES EXCHANGE ACT OF 1934</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I, Frank C. Steininger, certify that:</w:t>
      </w:r>
    </w:p>
    <w:p>
      <w:pPr>
        <w:spacing w:after="0" w:line="225" w:lineRule="exact"/>
        <w:rPr>
          <w:sz w:val="20"/>
          <w:szCs w:val="20"/>
          <w:color w:val="auto"/>
        </w:rPr>
      </w:pPr>
    </w:p>
    <w:p>
      <w:pPr>
        <w:ind w:left="980" w:hanging="324"/>
        <w:spacing w:after="0"/>
        <w:tabs>
          <w:tab w:leader="none" w:pos="9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Civeo Corporation (Registrant);</w:t>
      </w:r>
    </w:p>
    <w:p>
      <w:pPr>
        <w:spacing w:after="0" w:line="225" w:lineRule="exact"/>
        <w:rPr>
          <w:rFonts w:ascii="Arial" w:cs="Arial" w:eastAsia="Arial" w:hAnsi="Arial"/>
          <w:sz w:val="18"/>
          <w:szCs w:val="18"/>
          <w:color w:val="auto"/>
        </w:rPr>
      </w:pPr>
    </w:p>
    <w:p>
      <w:pPr>
        <w:jc w:val="both"/>
        <w:ind w:left="980" w:hanging="324"/>
        <w:spacing w:after="0" w:line="264" w:lineRule="auto"/>
        <w:tabs>
          <w:tab w:leader="none" w:pos="9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980" w:hanging="324"/>
        <w:spacing w:after="0" w:line="308" w:lineRule="auto"/>
        <w:tabs>
          <w:tab w:leader="none" w:pos="980" w:val="left"/>
        </w:tabs>
        <w:numPr>
          <w:ilvl w:val="0"/>
          <w:numId w:val="29"/>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jc w:val="both"/>
        <w:ind w:left="980" w:hanging="324"/>
        <w:spacing w:after="0" w:line="291" w:lineRule="auto"/>
        <w:tabs>
          <w:tab w:leader="none" w:pos="980" w:val="left"/>
        </w:tabs>
        <w:numPr>
          <w:ilvl w:val="0"/>
          <w:numId w:val="29"/>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w:t>
      </w:r>
    </w:p>
    <w:p>
      <w:pPr>
        <w:ind w:left="980"/>
        <w:spacing w:after="0"/>
        <w:rPr>
          <w:rFonts w:ascii="Arial" w:cs="Arial" w:eastAsia="Arial" w:hAnsi="Arial"/>
          <w:sz w:val="16"/>
          <w:szCs w:val="16"/>
          <w:color w:val="auto"/>
        </w:rPr>
      </w:pPr>
      <w:r>
        <w:rPr>
          <w:rFonts w:ascii="Arial" w:cs="Arial" w:eastAsia="Arial" w:hAnsi="Arial"/>
          <w:sz w:val="18"/>
          <w:szCs w:val="18"/>
          <w:color w:val="auto"/>
        </w:rPr>
        <w:t>15d-15(f)) for the Registrant and have:</w:t>
      </w:r>
    </w:p>
    <w:p>
      <w:pPr>
        <w:spacing w:after="0" w:line="210" w:lineRule="exact"/>
        <w:rPr>
          <w:rFonts w:ascii="Arial" w:cs="Arial" w:eastAsia="Arial" w:hAnsi="Arial"/>
          <w:sz w:val="16"/>
          <w:szCs w:val="16"/>
          <w:color w:val="auto"/>
        </w:rPr>
      </w:pPr>
    </w:p>
    <w:p>
      <w:pPr>
        <w:jc w:val="both"/>
        <w:ind w:left="1300" w:hanging="320"/>
        <w:spacing w:after="0" w:line="264" w:lineRule="auto"/>
        <w:tabs>
          <w:tab w:leader="none" w:pos="1300" w:val="left"/>
        </w:tabs>
        <w:numPr>
          <w:ilvl w:val="1"/>
          <w:numId w:val="2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jc w:val="both"/>
        <w:ind w:left="1300" w:hanging="320"/>
        <w:spacing w:after="0" w:line="264" w:lineRule="auto"/>
        <w:tabs>
          <w:tab w:leader="none" w:pos="1300" w:val="left"/>
        </w:tabs>
        <w:numPr>
          <w:ilvl w:val="1"/>
          <w:numId w:val="2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1300" w:hanging="320"/>
        <w:spacing w:after="0" w:line="342" w:lineRule="auto"/>
        <w:tabs>
          <w:tab w:leader="none" w:pos="1300" w:val="left"/>
        </w:tabs>
        <w:numPr>
          <w:ilvl w:val="1"/>
          <w:numId w:val="2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w:t>
      </w:r>
    </w:p>
    <w:p>
      <w:pPr>
        <w:spacing w:after="0" w:line="123" w:lineRule="exact"/>
        <w:rPr>
          <w:rFonts w:ascii="Arial" w:cs="Arial" w:eastAsia="Arial" w:hAnsi="Arial"/>
          <w:sz w:val="16"/>
          <w:szCs w:val="16"/>
          <w:color w:val="auto"/>
        </w:rPr>
      </w:pPr>
    </w:p>
    <w:p>
      <w:pPr>
        <w:jc w:val="both"/>
        <w:ind w:left="1300" w:hanging="320"/>
        <w:spacing w:after="0" w:line="264" w:lineRule="auto"/>
        <w:tabs>
          <w:tab w:leader="none" w:pos="1300" w:val="left"/>
        </w:tabs>
        <w:numPr>
          <w:ilvl w:val="1"/>
          <w:numId w:val="2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482600</wp:posOffset>
            </wp:positionV>
            <wp:extent cx="726757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6" w:name="page37"/>
    <w:bookmarkEnd w:id="36"/>
    <w:p>
      <w:pPr>
        <w:ind w:left="980" w:hanging="324"/>
        <w:spacing w:after="0" w:line="342" w:lineRule="auto"/>
        <w:tabs>
          <w:tab w:leader="none" w:pos="980" w:val="left"/>
        </w:tabs>
        <w:numPr>
          <w:ilvl w:val="0"/>
          <w:numId w:val="30"/>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3" w:lineRule="exact"/>
        <w:rPr>
          <w:rFonts w:ascii="Arial" w:cs="Arial" w:eastAsia="Arial" w:hAnsi="Arial"/>
          <w:sz w:val="16"/>
          <w:szCs w:val="16"/>
          <w:color w:val="auto"/>
        </w:rPr>
      </w:pPr>
    </w:p>
    <w:p>
      <w:pPr>
        <w:ind w:left="1300" w:hanging="320"/>
        <w:spacing w:after="0" w:line="308" w:lineRule="auto"/>
        <w:tabs>
          <w:tab w:leader="none" w:pos="1300" w:val="left"/>
        </w:tabs>
        <w:numPr>
          <w:ilvl w:val="1"/>
          <w:numId w:val="30"/>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left="1300" w:right="20" w:hanging="320"/>
        <w:spacing w:after="0" w:line="277" w:lineRule="auto"/>
        <w:tabs>
          <w:tab w:leader="none" w:pos="1300" w:val="left"/>
        </w:tabs>
        <w:numPr>
          <w:ilvl w:val="1"/>
          <w:numId w:val="3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April 27, 2017</w:t>
      </w:r>
    </w:p>
    <w:p>
      <w:pPr>
        <w:spacing w:after="0" w:line="225" w:lineRule="exact"/>
        <w:rPr>
          <w:sz w:val="20"/>
          <w:szCs w:val="20"/>
          <w:color w:val="auto"/>
        </w:rPr>
      </w:pPr>
    </w:p>
    <w:p>
      <w:pPr>
        <w:ind w:left="8000"/>
        <w:spacing w:after="0"/>
        <w:rPr>
          <w:sz w:val="20"/>
          <w:szCs w:val="20"/>
          <w:color w:val="auto"/>
        </w:rPr>
      </w:pPr>
      <w:r>
        <w:rPr>
          <w:rFonts w:ascii="Arial" w:cs="Arial" w:eastAsia="Arial" w:hAnsi="Arial"/>
          <w:sz w:val="18"/>
          <w:szCs w:val="18"/>
          <w:color w:val="auto"/>
        </w:rPr>
        <w:t>/s/ Frank C. Steininger</w:t>
      </w:r>
    </w:p>
    <w:p>
      <w:pPr>
        <w:spacing w:after="0" w:line="23" w:lineRule="exact"/>
        <w:rPr>
          <w:sz w:val="20"/>
          <w:szCs w:val="20"/>
          <w:color w:val="auto"/>
        </w:rPr>
      </w:pPr>
    </w:p>
    <w:p>
      <w:pPr>
        <w:ind w:left="8000"/>
        <w:spacing w:after="0"/>
        <w:rPr>
          <w:sz w:val="20"/>
          <w:szCs w:val="20"/>
          <w:color w:val="auto"/>
        </w:rPr>
      </w:pPr>
      <w:r>
        <w:rPr>
          <w:rFonts w:ascii="Arial" w:cs="Arial" w:eastAsia="Arial" w:hAnsi="Arial"/>
          <w:sz w:val="18"/>
          <w:szCs w:val="18"/>
          <w:color w:val="auto"/>
        </w:rPr>
        <w:t>Frank C. Steininger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5081905</wp:posOffset>
            </wp:positionH>
            <wp:positionV relativeFrom="paragraph">
              <wp:posOffset>-130810</wp:posOffset>
            </wp:positionV>
            <wp:extent cx="2169795"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2169795" cy="8890"/>
                    </a:xfrm>
                    <a:prstGeom prst="rect">
                      <a:avLst/>
                    </a:prstGeom>
                    <a:noFill/>
                  </pic:spPr>
                </pic:pic>
              </a:graphicData>
            </a:graphic>
          </wp:anchor>
        </w:drawing>
      </w:r>
    </w:p>
    <w:p>
      <w:pPr>
        <w:spacing w:after="0" w:line="3" w:lineRule="exact"/>
        <w:rPr>
          <w:sz w:val="20"/>
          <w:szCs w:val="20"/>
          <w:color w:val="auto"/>
        </w:rPr>
      </w:pPr>
    </w:p>
    <w:p>
      <w:pPr>
        <w:ind w:left="8000"/>
        <w:spacing w:after="0"/>
        <w:rPr>
          <w:sz w:val="20"/>
          <w:szCs w:val="20"/>
          <w:color w:val="auto"/>
        </w:rPr>
      </w:pPr>
      <w:r>
        <w:rPr>
          <w:rFonts w:ascii="Arial" w:cs="Arial" w:eastAsia="Arial" w:hAnsi="Arial"/>
          <w:sz w:val="17"/>
          <w:szCs w:val="17"/>
          <w:color w:val="auto"/>
        </w:rPr>
        <w:t>Senior Vice President, Chief Financial Officer</w:t>
      </w:r>
    </w:p>
    <w:p>
      <w:pPr>
        <w:spacing w:after="0" w:line="21" w:lineRule="exact"/>
        <w:rPr>
          <w:sz w:val="20"/>
          <w:szCs w:val="20"/>
          <w:color w:val="auto"/>
        </w:rPr>
      </w:pPr>
    </w:p>
    <w:p>
      <w:pPr>
        <w:ind w:left="8000"/>
        <w:spacing w:after="0"/>
        <w:rPr>
          <w:sz w:val="20"/>
          <w:szCs w:val="20"/>
          <w:color w:val="auto"/>
        </w:rPr>
      </w:pPr>
      <w:r>
        <w:rPr>
          <w:rFonts w:ascii="Arial" w:cs="Arial" w:eastAsia="Arial" w:hAnsi="Arial"/>
          <w:sz w:val="18"/>
          <w:szCs w:val="18"/>
          <w:color w:val="auto"/>
        </w:rPr>
        <w:t>and Treasurer</w:t>
      </w:r>
    </w:p>
    <w:p>
      <w:pPr>
        <w:sectPr>
          <w:pgSz w:w="11900" w:h="16838" w:orient="portrait"/>
          <w:cols w:equalWidth="0" w:num="1">
            <w:col w:w="11420"/>
          </w:cols>
          <w:pgMar w:left="240" w:top="800" w:right="239" w:bottom="1440" w:gutter="0" w:footer="0" w:header="0"/>
        </w:sectPr>
      </w:pPr>
    </w:p>
    <w:bookmarkStart w:id="37" w:name="page38"/>
    <w:bookmarkEnd w:id="37"/>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CHIEF EXECUTIVE OFFICER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CIVEO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 1350, 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00" w:lineRule="exact"/>
        <w:rPr>
          <w:sz w:val="20"/>
          <w:szCs w:val="20"/>
          <w:color w:val="auto"/>
        </w:rPr>
      </w:pPr>
    </w:p>
    <w:p>
      <w:pPr>
        <w:spacing w:after="0" w:line="22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connection with the Quarterly Report on Form 10-Q of Civeo Corporation (the “Company”) for the quarterly period ended March 31, 2017, as filed with the Securities and Exchange Commission on the date hereof (the “Report”), I, Bradley J. Dodson, President and Chief Executive Officer of the Company, hereby certify, pursuant to 18 U.S.C. Section 1350, as adopted pursuant to Section 906 of the Sarbanes-Oxley Act of 2002, to the best of my knowledge, that:</w:t>
      </w:r>
    </w:p>
    <w:p>
      <w:pPr>
        <w:spacing w:after="0" w:line="187" w:lineRule="exact"/>
        <w:rPr>
          <w:sz w:val="20"/>
          <w:szCs w:val="20"/>
          <w:color w:val="auto"/>
        </w:rPr>
      </w:pPr>
    </w:p>
    <w:p>
      <w:pPr>
        <w:ind w:left="980" w:hanging="324"/>
        <w:spacing w:after="0"/>
        <w:tabs>
          <w:tab w:leader="none" w:pos="9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Bradley J. Dodson</w:t>
      </w:r>
    </w:p>
    <w:p>
      <w:pPr>
        <w:spacing w:after="0" w:line="23" w:lineRule="exact"/>
        <w:rPr>
          <w:sz w:val="20"/>
          <w:szCs w:val="20"/>
          <w:color w:val="auto"/>
        </w:rPr>
      </w:pPr>
    </w:p>
    <w:p>
      <w:pPr>
        <w:ind w:left="5720"/>
        <w:spacing w:after="0"/>
        <w:tabs>
          <w:tab w:leader="none" w:pos="636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6"/>
          <w:szCs w:val="16"/>
          <w:color w:val="auto"/>
        </w:rPr>
        <w:t>Bradley J. Dodson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2898775"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5720"/>
        <w:spacing w:after="0"/>
        <w:tabs>
          <w:tab w:leader="none" w:pos="6360" w:val="left"/>
        </w:tabs>
        <w:rPr>
          <w:sz w:val="20"/>
          <w:szCs w:val="20"/>
          <w:color w:val="auto"/>
        </w:rPr>
      </w:pPr>
      <w:r>
        <w:rPr>
          <w:rFonts w:ascii="Arial" w:cs="Arial" w:eastAsia="Arial" w:hAnsi="Arial"/>
          <w:sz w:val="18"/>
          <w:szCs w:val="18"/>
          <w:color w:val="auto"/>
        </w:rPr>
        <w:t>Date:</w:t>
        <w:tab/>
        <w:t>April 27, 2017</w:t>
      </w:r>
    </w:p>
    <w:p>
      <w:pPr>
        <w:sectPr>
          <w:pgSz w:w="11900" w:h="16838" w:orient="portrait"/>
          <w:cols w:equalWidth="0" w:num="1">
            <w:col w:w="11420"/>
          </w:cols>
          <w:pgMar w:left="240" w:top="121" w:right="239" w:bottom="1440" w:gutter="0" w:footer="0" w:header="0"/>
        </w:sectPr>
      </w:pPr>
    </w:p>
    <w:bookmarkStart w:id="38" w:name="page39"/>
    <w:bookmarkEnd w:id="38"/>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CHIEF FINANCIAL OFFICER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CIVEO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 1350, 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connection with the Quarterly Report on Form 10-Q of Civeo Corporation (the “Company”) for the quarterly period ended March 31, 2017, as filed with the Securities and Exchange Commission on the date hereof (the “Report”), I, Frank C. Steininger, Senior Vice President, Chief Financial Officer and Treasurer of the Company, hereby certify, pursuant to 18 U.S.C. Section 1350, as adopted pursuant to Section 906 of the Sarbanes-Oxley Act of 2002, to the best of my knowledge, that:</w:t>
      </w:r>
    </w:p>
    <w:p>
      <w:pPr>
        <w:spacing w:after="0" w:line="187" w:lineRule="exact"/>
        <w:rPr>
          <w:sz w:val="20"/>
          <w:szCs w:val="20"/>
          <w:color w:val="auto"/>
        </w:rPr>
      </w:pPr>
    </w:p>
    <w:p>
      <w:pPr>
        <w:ind w:left="980" w:hanging="324"/>
        <w:spacing w:after="0"/>
        <w:tabs>
          <w:tab w:leader="none" w:pos="9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Frank C. Steininger</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Name: Frank C. Steininger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2898775"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5720"/>
        <w:spacing w:after="0"/>
        <w:tabs>
          <w:tab w:leader="none" w:pos="628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6"/>
          <w:szCs w:val="16"/>
          <w:color w:val="auto"/>
        </w:rPr>
        <w:t>April 27, 2017</w:t>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E6AFB66"/>
    <w:multiLevelType w:val="hybridMultilevel"/>
    <w:lvl w:ilvl="0">
      <w:lvlJc w:val="left"/>
      <w:lvlText w:val="[%1]"/>
      <w:numFmt w:val="upperLetter"/>
      <w:start w:val="24"/>
    </w:lvl>
  </w:abstractNum>
  <w:abstractNum w:abstractNumId="1">
    <w:nsid w:val="25E45D32"/>
    <w:multiLevelType w:val="hybridMultilevel"/>
    <w:lvl w:ilvl="0">
      <w:lvlJc w:val="left"/>
      <w:lvlText w:val="["/>
      <w:numFmt w:val="bullet"/>
      <w:start w:val="1"/>
    </w:lvl>
  </w:abstractNum>
  <w:abstractNum w:abstractNumId="2">
    <w:nsid w:val="519B500D"/>
    <w:multiLevelType w:val="hybridMultilevel"/>
    <w:lvl w:ilvl="0">
      <w:lvlJc w:val="left"/>
      <w:lvlText w:val="%1."/>
      <w:numFmt w:val="decimal"/>
      <w:start w:val="1"/>
    </w:lvl>
  </w:abstractNum>
  <w:abstractNum w:abstractNumId="3">
    <w:nsid w:val="431BD7B7"/>
    <w:multiLevelType w:val="hybridMultilevel"/>
    <w:lvl w:ilvl="0">
      <w:lvlJc w:val="left"/>
      <w:lvlText w:val="%1."/>
      <w:numFmt w:val="decimal"/>
      <w:start w:val="2"/>
    </w:lvl>
  </w:abstractNum>
  <w:abstractNum w:abstractNumId="4">
    <w:nsid w:val="3F2DBA31"/>
    <w:multiLevelType w:val="hybridMultilevel"/>
    <w:lvl w:ilvl="0">
      <w:lvlJc w:val="left"/>
      <w:lvlText w:val="%1."/>
      <w:numFmt w:val="decimal"/>
      <w:start w:val="3"/>
    </w:lvl>
  </w:abstractNum>
  <w:abstractNum w:abstractNumId="5">
    <w:nsid w:val="7C83E458"/>
    <w:multiLevelType w:val="hybridMultilevel"/>
    <w:lvl w:ilvl="0">
      <w:lvlJc w:val="left"/>
      <w:lvlText w:val="%1."/>
      <w:numFmt w:val="decimal"/>
      <w:start w:val="4"/>
    </w:lvl>
  </w:abstractNum>
  <w:abstractNum w:abstractNumId="6">
    <w:nsid w:val="257130A3"/>
    <w:multiLevelType w:val="hybridMultilevel"/>
    <w:lvl w:ilvl="0">
      <w:lvlJc w:val="left"/>
      <w:lvlText w:val="%1."/>
      <w:numFmt w:val="decimal"/>
      <w:start w:val="6"/>
    </w:lvl>
  </w:abstractNum>
  <w:abstractNum w:abstractNumId="7">
    <w:nsid w:val="62BBD95A"/>
    <w:multiLevelType w:val="hybridMultilevel"/>
    <w:lvl w:ilvl="0">
      <w:lvlJc w:val="left"/>
      <w:lvlText w:val="(%1)"/>
      <w:numFmt w:val="decimal"/>
      <w:start w:val="1"/>
    </w:lvl>
  </w:abstractNum>
  <w:abstractNum w:abstractNumId="8">
    <w:nsid w:val="436C6125"/>
    <w:multiLevelType w:val="hybridMultilevel"/>
    <w:lvl w:ilvl="0">
      <w:lvlJc w:val="left"/>
      <w:lvlText w:val="%1."/>
      <w:numFmt w:val="decimal"/>
      <w:start w:val="7"/>
    </w:lvl>
  </w:abstractNum>
  <w:abstractNum w:abstractNumId="9">
    <w:nsid w:val="628C895D"/>
    <w:multiLevelType w:val="hybridMultilevel"/>
    <w:lvl w:ilvl="0">
      <w:lvlJc w:val="left"/>
      <w:lvlText w:val="●"/>
      <w:numFmt w:val="bullet"/>
      <w:start w:val="1"/>
    </w:lvl>
  </w:abstractNum>
  <w:abstractNum w:abstractNumId="10">
    <w:nsid w:val="333AB105"/>
    <w:multiLevelType w:val="hybridMultilevel"/>
    <w:lvl w:ilvl="0">
      <w:lvlJc w:val="left"/>
      <w:lvlText w:val="●"/>
      <w:numFmt w:val="bullet"/>
      <w:start w:val="1"/>
    </w:lvl>
  </w:abstractNum>
  <w:abstractNum w:abstractNumId="11">
    <w:nsid w:val="721DA317"/>
    <w:multiLevelType w:val="hybridMultilevel"/>
    <w:lvl w:ilvl="0">
      <w:lvlJc w:val="left"/>
      <w:lvlText w:val="●"/>
      <w:numFmt w:val="bullet"/>
      <w:start w:val="1"/>
    </w:lvl>
  </w:abstractNum>
  <w:abstractNum w:abstractNumId="12">
    <w:nsid w:val="2443A858"/>
    <w:multiLevelType w:val="hybridMultilevel"/>
    <w:lvl w:ilvl="0">
      <w:lvlJc w:val="left"/>
      <w:lvlText w:val="(%1)"/>
      <w:numFmt w:val="lowerRoman"/>
      <w:start w:val="6"/>
    </w:lvl>
  </w:abstractNum>
  <w:abstractNum w:abstractNumId="13">
    <w:nsid w:val="2D1D5AE9"/>
    <w:multiLevelType w:val="hybridMultilevel"/>
    <w:lvl w:ilvl="0">
      <w:lvlJc w:val="left"/>
      <w:lvlText w:val="%1."/>
      <w:numFmt w:val="decimal"/>
      <w:start w:val="8"/>
    </w:lvl>
  </w:abstractNum>
  <w:abstractNum w:abstractNumId="14">
    <w:nsid w:val="6763845E"/>
    <w:multiLevelType w:val="hybridMultilevel"/>
    <w:lvl w:ilvl="0">
      <w:lvlJc w:val="left"/>
      <w:lvlText w:val="%1."/>
      <w:numFmt w:val="decimal"/>
      <w:start w:val="9"/>
    </w:lvl>
  </w:abstractNum>
  <w:abstractNum w:abstractNumId="15">
    <w:nsid w:val="75A2A8D4"/>
    <w:multiLevelType w:val="hybridMultilevel"/>
    <w:lvl w:ilvl="0">
      <w:lvlJc w:val="left"/>
      <w:lvlText w:val="(%1)"/>
      <w:numFmt w:val="decimal"/>
      <w:start w:val="1"/>
    </w:lvl>
  </w:abstractNum>
  <w:abstractNum w:abstractNumId="16">
    <w:nsid w:val="8EDBDAB"/>
    <w:multiLevelType w:val="hybridMultilevel"/>
    <w:lvl w:ilvl="0">
      <w:lvlJc w:val="left"/>
      <w:lvlText w:val="(%1)"/>
      <w:numFmt w:val="decimal"/>
      <w:start w:val="1"/>
    </w:lvl>
  </w:abstractNum>
  <w:abstractNum w:abstractNumId="17">
    <w:nsid w:val="79838CB2"/>
    <w:multiLevelType w:val="hybridMultilevel"/>
    <w:lvl w:ilvl="0">
      <w:lvlJc w:val="left"/>
      <w:lvlText w:val="(%1)"/>
      <w:numFmt w:val="decimal"/>
      <w:start w:val="1"/>
    </w:lvl>
  </w:abstractNum>
  <w:abstractNum w:abstractNumId="18">
    <w:nsid w:val="4353D0CD"/>
    <w:multiLevelType w:val="hybridMultilevel"/>
    <w:lvl w:ilvl="0">
      <w:lvlJc w:val="left"/>
      <w:lvlText w:val="(%1)"/>
      <w:numFmt w:val="decimal"/>
      <w:start w:val="1"/>
    </w:lvl>
  </w:abstractNum>
  <w:abstractNum w:abstractNumId="19">
    <w:nsid w:val="B03E0C6"/>
    <w:multiLevelType w:val="hybridMultilevel"/>
    <w:lvl w:ilvl="0">
      <w:lvlJc w:val="left"/>
      <w:lvlText w:val="●"/>
      <w:numFmt w:val="bullet"/>
      <w:start w:val="1"/>
    </w:lvl>
  </w:abstractNum>
  <w:abstractNum w:abstractNumId="20">
    <w:nsid w:val="189A769B"/>
    <w:multiLevelType w:val="hybridMultilevel"/>
    <w:lvl w:ilvl="0">
      <w:lvlJc w:val="left"/>
      <w:lvlText w:val="●"/>
      <w:numFmt w:val="bullet"/>
      <w:start w:val="1"/>
    </w:lvl>
  </w:abstractNum>
  <w:abstractNum w:abstractNumId="21">
    <w:nsid w:val="54E49EB4"/>
    <w:multiLevelType w:val="hybridMultilevel"/>
    <w:lvl w:ilvl="0">
      <w:lvlJc w:val="left"/>
      <w:lvlText w:val="(%1)"/>
      <w:numFmt w:val="lowerRoman"/>
      <w:start w:val="6"/>
    </w:lvl>
  </w:abstractNum>
  <w:abstractNum w:abstractNumId="22">
    <w:nsid w:val="71F32454"/>
    <w:multiLevelType w:val="hybridMultilevel"/>
    <w:lvl w:ilvl="0">
      <w:lvlJc w:val="left"/>
      <w:lvlText w:val="(%1)"/>
      <w:numFmt w:val="decimal"/>
      <w:start w:val="1"/>
    </w:lvl>
  </w:abstractNum>
  <w:abstractNum w:abstractNumId="23">
    <w:nsid w:val="2CA88611"/>
    <w:multiLevelType w:val="hybridMultilevel"/>
    <w:lvl w:ilvl="0">
      <w:lvlJc w:val="left"/>
      <w:lvlText w:val="(%1)"/>
      <w:numFmt w:val="lowerLetter"/>
      <w:start w:val="1"/>
    </w:lvl>
  </w:abstractNum>
  <w:abstractNum w:abstractNumId="24">
    <w:nsid w:val="836C40E"/>
    <w:multiLevelType w:val="hybridMultilevel"/>
    <w:lvl w:ilvl="0">
      <w:lvlJc w:val="left"/>
      <w:lvlText w:val="*"/>
      <w:numFmt w:val="bullet"/>
      <w:start w:val="1"/>
    </w:lvl>
  </w:abstractNum>
  <w:abstractNum w:abstractNumId="25">
    <w:nsid w:val="2901D82"/>
    <w:multiLevelType w:val="hybridMultilevel"/>
    <w:lvl w:ilvl="0">
      <w:lvlJc w:val="left"/>
      <w:lvlText w:val="*"/>
      <w:numFmt w:val="bullet"/>
      <w:start w:val="1"/>
    </w:lvl>
  </w:abstractNum>
  <w:abstractNum w:abstractNumId="26">
    <w:nsid w:val="3A95F874"/>
    <w:multiLevelType w:val="hybridMultilevel"/>
    <w:lvl w:ilvl="0">
      <w:lvlJc w:val="left"/>
      <w:lvlText w:val="%1."/>
      <w:numFmt w:val="decimal"/>
      <w:start w:val="1"/>
    </w:lvl>
    <w:lvl w:ilvl="1">
      <w:lvlJc w:val="left"/>
      <w:lvlText w:val="%2."/>
      <w:numFmt w:val="lowerLetter"/>
      <w:start w:val="1"/>
    </w:lvl>
  </w:abstractNum>
  <w:abstractNum w:abstractNumId="27">
    <w:nsid w:val="8138641"/>
    <w:multiLevelType w:val="hybridMultilevel"/>
    <w:lvl w:ilvl="0">
      <w:lvlJc w:val="left"/>
      <w:lvlText w:val="%1."/>
      <w:numFmt w:val="decimal"/>
      <w:start w:val="5"/>
    </w:lvl>
    <w:lvl w:ilvl="1">
      <w:lvlJc w:val="left"/>
      <w:lvlText w:val="%2."/>
      <w:numFmt w:val="lowerLetter"/>
      <w:start w:val="1"/>
    </w:lvl>
  </w:abstractNum>
  <w:abstractNum w:abstractNumId="28">
    <w:nsid w:val="1E7FF521"/>
    <w:multiLevelType w:val="hybridMultilevel"/>
    <w:lvl w:ilvl="0">
      <w:lvlJc w:val="left"/>
      <w:lvlText w:val="%1."/>
      <w:numFmt w:val="decimal"/>
      <w:start w:val="1"/>
    </w:lvl>
    <w:lvl w:ilvl="1">
      <w:lvlJc w:val="left"/>
      <w:lvlText w:val="%2."/>
      <w:numFmt w:val="lowerLetter"/>
      <w:start w:val="1"/>
    </w:lvl>
  </w:abstractNum>
  <w:abstractNum w:abstractNumId="29">
    <w:nsid w:val="7C3DBD3D"/>
    <w:multiLevelType w:val="hybridMultilevel"/>
    <w:lvl w:ilvl="0">
      <w:lvlJc w:val="left"/>
      <w:lvlText w:val="%1."/>
      <w:numFmt w:val="decimal"/>
      <w:start w:val="5"/>
    </w:lvl>
    <w:lvl w:ilvl="1">
      <w:lvlJc w:val="left"/>
      <w:lvlText w:val="%2."/>
      <w:numFmt w:val="lowerLetter"/>
      <w:start w:val="1"/>
    </w:lvl>
  </w:abstractNum>
  <w:abstractNum w:abstractNumId="30">
    <w:nsid w:val="737B8DDC"/>
    <w:multiLevelType w:val="hybridMultilevel"/>
    <w:lvl w:ilvl="0">
      <w:lvlJc w:val="left"/>
      <w:lvlText w:val="%1."/>
      <w:numFmt w:val="decimal"/>
      <w:start w:val="1"/>
    </w:lvl>
  </w:abstractNum>
  <w:abstractNum w:abstractNumId="31">
    <w:nsid w:val="6CEAF08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2019-12-07T21:16:34Z</dcterms:created>
  <dcterms:modified xsi:type="dcterms:W3CDTF">2019-12-07T21:16:34Z</dcterms:modified>
</cp:coreProperties>
</file>