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479" w:hanging="9"/>
        <w:spacing w:after="0" w:line="536" w:lineRule="auto"/>
        <w:tabs>
          <w:tab w:leader="none" w:pos="13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4"/>
          <w:szCs w:val="24"/>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24,623,351</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4"/>
          <w:szCs w:val="24"/>
          <w:color w:val="auto"/>
        </w:rPr>
      </w:pP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24,623,351</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24,623,351</w:t>
      </w:r>
    </w:p>
    <w:p>
      <w:pPr>
        <w:spacing w:after="0" w:line="207"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18.6%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HC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Asset Management LLC</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20,570,736</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0"/>
          <w:szCs w:val="20"/>
          <w:color w:val="auto"/>
        </w:rPr>
      </w:pPr>
    </w:p>
    <w:p>
      <w:pPr>
        <w:ind w:left="860"/>
        <w:spacing w:after="0"/>
        <w:tabs>
          <w:tab w:leader="none" w:pos="400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20,570,736</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420"/>
        <w:spacing w:after="0" w:line="238" w:lineRule="auto"/>
        <w:rPr>
          <w:sz w:val="20"/>
          <w:szCs w:val="20"/>
          <w:color w:val="auto"/>
        </w:rPr>
      </w:pPr>
      <w:r>
        <w:rPr>
          <w:rFonts w:ascii="Courier New" w:cs="Courier New" w:eastAsia="Courier New" w:hAnsi="Courier New"/>
          <w:sz w:val="18"/>
          <w:szCs w:val="18"/>
          <w:color w:val="auto"/>
        </w:rPr>
        <w:t>20,570,736</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15.6%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CIVEO CORPORATION</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rPr>
          <w:sz w:val="20"/>
          <w:szCs w:val="20"/>
          <w:color w:val="auto"/>
        </w:rPr>
      </w:pPr>
      <w:r>
        <w:rPr>
          <w:rFonts w:ascii="Courier New" w:cs="Courier New" w:eastAsia="Courier New" w:hAnsi="Courier New"/>
          <w:sz w:val="18"/>
          <w:szCs w:val="18"/>
          <w:color w:val="auto"/>
        </w:rPr>
        <w:t>Item 2.</w:t>
      </w:r>
    </w:p>
    <w:p>
      <w:pPr>
        <w:spacing w:after="0" w:line="3" w:lineRule="exact"/>
        <w:rPr>
          <w:sz w:val="20"/>
          <w:szCs w:val="20"/>
          <w:color w:val="auto"/>
        </w:rPr>
      </w:pPr>
    </w:p>
    <w:p>
      <w:pPr>
        <w:ind w:left="860" w:right="6419" w:hanging="852"/>
        <w:spacing w:after="0" w:line="279"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Persons Filing: Horizon Kinetics LLC Horizon Asset Management LLC</w:t>
      </w:r>
    </w:p>
    <w:p>
      <w:pPr>
        <w:spacing w:after="0" w:line="178" w:lineRule="exact"/>
        <w:rPr>
          <w:rFonts w:ascii="Courier New" w:cs="Courier New" w:eastAsia="Courier New" w:hAnsi="Courier New"/>
          <w:sz w:val="16"/>
          <w:szCs w:val="16"/>
          <w:color w:val="auto"/>
        </w:rPr>
      </w:pPr>
    </w:p>
    <w:p>
      <w:pPr>
        <w:ind w:left="860" w:right="303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9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No.:17878Y108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9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24,623,351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18.6%</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24,623,351</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24,623,351</w:t>
      </w:r>
    </w:p>
    <w:p>
      <w:pPr>
        <w:spacing w:after="0" w:line="16"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Five Percent or 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 being filed to report the fact that as of</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date hereof the reporting person has ceased to be the</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 of</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 check</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316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of more than Five Percent on Behalf of Another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bl>
    <w:p>
      <w:pPr>
        <w:sectPr>
          <w:pgSz w:w="11900" w:h="16838" w:orient="portrait"/>
          <w:cols w:equalWidth="0" w:num="1">
            <w:col w:w="10219"/>
          </w:cols>
          <w:pgMar w:left="240" w:top="339" w:right="1440" w:bottom="0" w:gutter="0" w:footer="0" w:header="0"/>
        </w:sectPr>
      </w:pPr>
    </w:p>
    <w:bookmarkStart w:id="2" w:name="page3"/>
    <w:bookmarkEnd w:id="2"/>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2018</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rPr>
          <w:sz w:val="20"/>
          <w:szCs w:val="20"/>
          <w:color w:val="auto"/>
        </w:rPr>
      </w:pPr>
      <w:r>
        <w:rPr>
          <w:rFonts w:ascii="Courier New" w:cs="Courier New" w:eastAsia="Courier New" w:hAnsi="Courier New"/>
          <w:sz w:val="18"/>
          <w:szCs w:val="18"/>
          <w:color w:val="auto"/>
        </w:rPr>
        <w:t>Jay Kesslen</w:t>
      </w:r>
    </w:p>
    <w:p>
      <w:pPr>
        <w:spacing w:after="0" w:line="237"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instructions in Item 7 of Schedule 13G,</w:t>
      </w:r>
    </w:p>
    <w:p>
      <w:pPr>
        <w:spacing w:after="0" w:line="4" w:lineRule="exact"/>
        <w:rPr>
          <w:sz w:val="20"/>
          <w:szCs w:val="20"/>
          <w:color w:val="auto"/>
        </w:rPr>
      </w:pPr>
    </w:p>
    <w:p>
      <w:pPr>
        <w:jc w:val="both"/>
        <w:ind w:right="3039"/>
        <w:spacing w:after="0" w:line="236" w:lineRule="auto"/>
        <w:rPr>
          <w:sz w:val="20"/>
          <w:szCs w:val="20"/>
          <w:color w:val="auto"/>
        </w:rPr>
      </w:pPr>
      <w:r>
        <w:rPr>
          <w:rFonts w:ascii="Courier New" w:cs="Courier New" w:eastAsia="Courier New" w:hAnsi="Courier New"/>
          <w:sz w:val="18"/>
          <w:szCs w:val="18"/>
          <w:color w:val="auto"/>
        </w:rPr>
        <w:t>the following table lists the identity and Item 3 classification, if applicable, of each relevant entity that beneficially owns shares of the security class being reported on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Item 3 Classification:</w:t>
      </w:r>
    </w:p>
    <w:p>
      <w:pPr>
        <w:spacing w:after="0" w:line="238" w:lineRule="auto"/>
        <w:rPr>
          <w:sz w:val="20"/>
          <w:szCs w:val="20"/>
          <w:color w:val="auto"/>
        </w:rPr>
      </w:pPr>
      <w:r>
        <w:rPr>
          <w:rFonts w:ascii="Courier New" w:cs="Courier New" w:eastAsia="Courier New" w:hAnsi="Courier New"/>
          <w:sz w:val="18"/>
          <w:szCs w:val="18"/>
          <w:color w:val="auto"/>
        </w:rPr>
        <w:t>Horizon Asset Management LLC*, IA</w:t>
      </w:r>
    </w:p>
    <w:p>
      <w:pPr>
        <w:spacing w:after="0"/>
        <w:rPr>
          <w:sz w:val="20"/>
          <w:szCs w:val="20"/>
          <w:color w:val="auto"/>
        </w:rPr>
      </w:pPr>
      <w:r>
        <w:rPr>
          <w:rFonts w:ascii="Courier New" w:cs="Courier New" w:eastAsia="Courier New" w:hAnsi="Courier New"/>
          <w:sz w:val="18"/>
          <w:szCs w:val="18"/>
          <w:color w:val="auto"/>
        </w:rPr>
        <w:t>Kinetics Asset Management LLC, IA</w:t>
      </w:r>
    </w:p>
    <w:p>
      <w:pPr>
        <w:spacing w:after="0" w:line="237" w:lineRule="auto"/>
        <w:rPr>
          <w:sz w:val="20"/>
          <w:szCs w:val="20"/>
          <w:color w:val="auto"/>
        </w:rPr>
      </w:pPr>
      <w:r>
        <w:rPr>
          <w:rFonts w:ascii="Courier New" w:cs="Courier New" w:eastAsia="Courier New" w:hAnsi="Courier New"/>
          <w:sz w:val="18"/>
          <w:szCs w:val="18"/>
          <w:color w:val="auto"/>
        </w:rPr>
        <w:t>Kinetics Advisers, LLC, IA</w:t>
      </w:r>
    </w:p>
    <w:p>
      <w:pPr>
        <w:spacing w:after="0" w:line="207"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This joint filing agreement dated February 14, 2018 is by and among Horizon Kinetics LLC, Horizon Asset Management, LLC, Kinetics Asset Management, LLC and Kinetics Advisers, LLC ("the Filing Persons").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Each of the filing persons may be required to file with the United States Securities and Exchange Commission a statement on Schedule 13G with respect to the common stock beneficially owned by them from time to time.</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Pursuant to and in accordance with Rule 13d-1(k) promulgated under the Securities Exchange Act of 1934, as amended, the Filing Persons hereby agree to file a single statement on Schedule 13G</w:t>
      </w:r>
    </w:p>
    <w:p>
      <w:pPr>
        <w:spacing w:after="0" w:line="1"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and any amendments thereto on behalf of each such parties, and hereby further agree to file this Joint Filing Agreement as an exhibit to such statement, as required by such rule.</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joint filing agreement may be terminated by any of filers upon one week's written notice or such lesser period of notice as the Filing Persons many mutually agree.</w:t>
      </w:r>
    </w:p>
    <w:p>
      <w:pPr>
        <w:spacing w:after="0" w:line="20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Horizon Kinetics LLC, Horizon Asset Management,LLC, Kinetics Asset Management, LLC and Kinetics Advisers,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Jay Kesslen</w:t>
      </w:r>
    </w:p>
    <w:p>
      <w:pPr>
        <w:spacing w:after="0" w:line="238" w:lineRule="auto"/>
        <w:rPr>
          <w:sz w:val="20"/>
          <w:szCs w:val="20"/>
          <w:color w:val="auto"/>
        </w:rPr>
      </w:pPr>
      <w:r>
        <w:rPr>
          <w:rFonts w:ascii="Courier New" w:cs="Courier New" w:eastAsia="Courier New" w:hAnsi="Courier New"/>
          <w:sz w:val="18"/>
          <w:szCs w:val="18"/>
          <w:color w:val="auto"/>
        </w:rPr>
        <w:t>General Counsel of each.</w:t>
      </w:r>
    </w:p>
    <w:sectPr>
      <w:pgSz w:w="11900" w:h="16838" w:orient="portrait"/>
      <w:cols w:equalWidth="0" w:num="1">
        <w:col w:w="10219"/>
      </w:cols>
      <w:pgMar w:left="240" w:top="142"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2019-12-21T04:59:01Z</dcterms:created>
  <dcterms:modified xsi:type="dcterms:W3CDTF">2019-12-21T04:59:01Z</dcterms:modified>
</cp:coreProperties>
</file>