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719455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43"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200" w:lineRule="exact"/>
        <w:rPr>
          <w:sz w:val="24"/>
          <w:szCs w:val="24"/>
          <w:color w:val="auto"/>
        </w:rPr>
      </w:pPr>
    </w:p>
    <w:p>
      <w:pPr>
        <w:spacing w:after="0" w:line="2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26, 2018</w:t>
      </w:r>
    </w:p>
    <w:p>
      <w:pPr>
        <w:spacing w:after="0" w:line="200" w:lineRule="exact"/>
        <w:rPr>
          <w:sz w:val="24"/>
          <w:szCs w:val="24"/>
          <w:color w:val="auto"/>
        </w:r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Civeo Corporation</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80"/>
          </w:cols>
          <w:pgMar w:left="240" w:top="1440" w:right="379" w:bottom="1440" w:gutter="0" w:footer="0" w:header="0"/>
        </w:sectPr>
      </w:pPr>
    </w:p>
    <w:p>
      <w:pPr>
        <w:spacing w:after="0" w:line="39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1-36246</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98-1253716</w:t>
      </w:r>
    </w:p>
    <w:p>
      <w:pPr>
        <w:spacing w:after="0" w:line="90" w:lineRule="exact"/>
        <w:rPr>
          <w:sz w:val="24"/>
          <w:szCs w:val="24"/>
          <w:color w:val="auto"/>
        </w:rPr>
      </w:pPr>
    </w:p>
    <w:p>
      <w:pPr>
        <w:sectPr>
          <w:pgSz w:w="11900" w:h="16838" w:orient="portrait"/>
          <w:cols w:equalWidth="0" w:num="3">
            <w:col w:w="4180" w:space="720"/>
            <w:col w:w="2640" w:space="720"/>
            <w:col w:w="3020"/>
          </w:cols>
          <w:pgMar w:left="240" w:top="1440" w:right="37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500" w:space="720"/>
            <w:col w:w="2280" w:space="720"/>
            <w:col w:w="4060"/>
          </w:cols>
          <w:pgMar w:left="240" w:top="1440"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333 Clay Street, Suite 4980, Houston, Texas 77002</w:t>
      </w:r>
    </w:p>
    <w:p>
      <w:pPr>
        <w:spacing w:after="0" w:line="49"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(Address of Principal Executive Offices) (Zip Code)</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73" w:lineRule="exact"/>
        <w:rPr>
          <w:sz w:val="24"/>
          <w:szCs w:val="24"/>
          <w:color w:val="auto"/>
        </w:rPr>
      </w:pPr>
    </w:p>
    <w:p>
      <w:pPr>
        <w:ind w:left="40"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 w:lineRule="exact"/>
        <w:rPr>
          <w:sz w:val="24"/>
          <w:szCs w:val="24"/>
          <w:color w:val="auto"/>
        </w:rPr>
      </w:pPr>
    </w:p>
    <w:p>
      <w:pPr>
        <w:ind w:left="260" w:hanging="103"/>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260" w:hanging="103"/>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260" w:hanging="103"/>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260" w:hanging="103"/>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5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280"/>
          </w:cols>
          <w:pgMar w:left="240" w:top="1440" w:right="37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753745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26, 2018, Civeo Corporation (“Civeo”) entered into a First Amendment (the “Credit Agreement Amendment”) to its Amended and Restated Syndicated Facility Agreement, dated April 2, 2018 (the “Credit Agreement”), among Civeo and certain of its subsidiaries, as borrowers, the guarantors party thereto, the lenders named therein, Royal Bank of Canada, as Administrative Agent, and the other agents party thereto. Pursuant to the Credit Agreement Amendment, the Credit Agreement has been amended to, among other things:</w:t>
      </w:r>
    </w:p>
    <w:p>
      <w:pPr>
        <w:spacing w:after="0" w:line="200" w:lineRule="exact"/>
        <w:rPr>
          <w:sz w:val="20"/>
          <w:szCs w:val="20"/>
          <w:color w:val="auto"/>
        </w:rPr>
      </w:pPr>
    </w:p>
    <w:p>
      <w:pPr>
        <w:spacing w:after="0" w:line="203" w:lineRule="exact"/>
        <w:rPr>
          <w:sz w:val="20"/>
          <w:szCs w:val="20"/>
          <w:color w:val="auto"/>
        </w:rPr>
      </w:pPr>
    </w:p>
    <w:p>
      <w:pPr>
        <w:ind w:left="660" w:right="60" w:hanging="328"/>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certain changes to the maximum total leverage ratio financial covenant, including an increase in the permitted level of the total leverage ratio to a range of 4.00x to 4.75x (as specified in the Credit Agreement Amendment) for each fiscal quarter beginning with the fiscal quarter ending December 31, 2018 through the fiscal quarter ending September 30, 2019; provided, that upon consummation of a Qualified Offering (as defined in the Credit Agreement), the permitted total leverage ratios change to a range of 4.00x to 4.75x (as specified in the Credit Agreement Amendment).</w:t>
      </w:r>
    </w:p>
    <w:p>
      <w:pPr>
        <w:spacing w:after="0" w:line="37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each revolving borrowing under the Credit Agreement subject to pro forma compliance with the financial covenants specified in the Credit Agreement.</w:t>
      </w:r>
    </w:p>
    <w:p>
      <w:pPr>
        <w:spacing w:after="0" w:line="38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 the quarterly scheduled amortization under the Canadian Term Loans to C$11,503,857.42 with the remainder due on the Maturity Date.</w:t>
      </w:r>
    </w:p>
    <w:p>
      <w:pPr>
        <w:spacing w:after="0" w:line="275" w:lineRule="exact"/>
        <w:rPr>
          <w:sz w:val="20"/>
          <w:szCs w:val="20"/>
          <w:color w:val="auto"/>
        </w:rPr>
      </w:pPr>
    </w:p>
    <w:p>
      <w:pPr>
        <w:ind w:right="200"/>
        <w:spacing w:after="0" w:line="340" w:lineRule="auto"/>
        <w:rPr>
          <w:sz w:val="20"/>
          <w:szCs w:val="20"/>
          <w:color w:val="auto"/>
        </w:rPr>
      </w:pPr>
      <w:r>
        <w:rPr>
          <w:rFonts w:ascii="Arial" w:cs="Arial" w:eastAsia="Arial" w:hAnsi="Arial"/>
          <w:sz w:val="18"/>
          <w:szCs w:val="18"/>
          <w:color w:val="auto"/>
        </w:rPr>
        <w:t>The description of the Credit Agreement Amendment set forth herein is summary in nature and is qualified in its entirety by reference to the full text of the Credit Agreement Amendment, a copy of which is attached hereto as Exhibit 10.1, and is incorporated herein by reference.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of this Current Report on Form 8-K is incorporated by reference into this Item 2.03.</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660" w:type="dxa"/>
            <w:vAlign w:val="bottom"/>
          </w:tcPr>
          <w:p>
            <w:pPr>
              <w:spacing w:after="0"/>
              <w:rPr>
                <w:sz w:val="16"/>
                <w:szCs w:val="16"/>
                <w:color w:val="auto"/>
              </w:rPr>
            </w:pPr>
          </w:p>
        </w:tc>
        <w:tc>
          <w:tcPr>
            <w:tcW w:w="184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6380" w:type="dxa"/>
            <w:vAlign w:val="bottom"/>
            <w:gridSpan w:val="3"/>
          </w:tcPr>
          <w:p>
            <w:pPr>
              <w:spacing w:after="0"/>
              <w:rPr>
                <w:sz w:val="16"/>
                <w:szCs w:val="16"/>
                <w:color w:val="auto"/>
              </w:rPr>
            </w:pPr>
          </w:p>
        </w:tc>
      </w:tr>
      <w:tr>
        <w:trPr>
          <w:trHeight w:val="561"/>
        </w:trPr>
        <w:tc>
          <w:tcPr>
            <w:tcW w:w="60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First Amendment to Amended and Restated Syndicated Facility Agreement, dated as of October 26, 2018, among</w:t>
              </w:r>
            </w:hyperlink>
          </w:p>
        </w:tc>
      </w:tr>
      <w:tr>
        <w:trPr>
          <w:trHeight w:val="196"/>
        </w:trPr>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Civeo Corporation and certain of its subsidiaries, as borrowers, the guarantors party thereto, the lenders named</w:t>
              </w:r>
            </w:hyperlink>
          </w:p>
        </w:tc>
        <w:tc>
          <w:tcPr>
            <w:tcW w:w="2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therein, Royal Bank of Canada, as Administrative Agent, and the other agents party thereto.</w:t>
              </w:r>
            </w:hyperlink>
          </w:p>
        </w:tc>
        <w:tc>
          <w:tcPr>
            <w:tcW w:w="1580" w:type="dxa"/>
            <w:vAlign w:val="bottom"/>
            <w:gridSpan w:val="2"/>
          </w:tcPr>
          <w:p>
            <w:pPr>
              <w:spacing w:after="0"/>
              <w:rPr>
                <w:sz w:val="17"/>
                <w:szCs w:val="17"/>
                <w:color w:val="auto"/>
              </w:rPr>
            </w:pPr>
          </w:p>
        </w:tc>
      </w:tr>
    </w:tbl>
    <w:p>
      <w:pPr>
        <w:sectPr>
          <w:pgSz w:w="11900" w:h="16838" w:orient="portrait"/>
          <w:cols w:equalWidth="0" w:num="1">
            <w:col w:w="11360"/>
          </w:cols>
          <w:pgMar w:left="240" w:top="1440"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080" w:right="4080" w:hanging="5469"/>
        <w:spacing w:after="0" w:line="331" w:lineRule="auto"/>
        <w:tabs>
          <w:tab w:leader="none" w:pos="5060" w:val="left"/>
        </w:tabs>
        <w:rPr>
          <w:sz w:val="20"/>
          <w:szCs w:val="20"/>
          <w:color w:val="auto"/>
        </w:rPr>
      </w:pPr>
      <w:r>
        <w:rPr>
          <w:rFonts w:ascii="Arial" w:cs="Arial" w:eastAsia="Arial" w:hAnsi="Arial"/>
          <w:sz w:val="18"/>
          <w:szCs w:val="18"/>
          <w:color w:val="auto"/>
        </w:rPr>
        <w:t>Date: October 31,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Frank C. Steininger</w:t>
      </w:r>
      <w:r>
        <w:rPr>
          <w:rFonts w:ascii="Arial" w:cs="Arial" w:eastAsia="Arial" w:hAnsi="Arial"/>
          <w:sz w:val="17"/>
          <w:szCs w:val="17"/>
          <w:color w:val="auto"/>
        </w:rPr>
        <w:t xml:space="preserve"> Frank C. Steininger</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Chief Financial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 &amp; Treasurer</w:t>
      </w:r>
    </w:p>
    <w:p>
      <w:pPr>
        <w:sectPr>
          <w:pgSz w:w="11900" w:h="16838" w:orient="portrait"/>
          <w:cols w:equalWidth="0" w:num="1">
            <w:col w:w="11220"/>
          </w:cols>
          <w:pgMar w:left="240" w:top="131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i w:val="1"/>
          <w:iCs w:val="1"/>
          <w:u w:val="single" w:color="auto"/>
          <w:color w:val="auto"/>
        </w:rPr>
        <w:t>Execution Version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AMENDED AND RESTATED SYNDICATED FACILITY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dated as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October 26,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among</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CIVEO CORPORATION,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CIVEO CANADA LIMITED PARTNERSHIP,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CIVEO PTY LIMITED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CIVEO MANAGEMENT LLC,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Borrowers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LENDERS NAMED HEREIN,</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ROYAL BANK OF CANADA,</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as Administrative Agent, U.S. Collateral Agent,</w:t>
      </w:r>
    </w:p>
    <w:p>
      <w:pPr>
        <w:jc w:val="center"/>
        <w:ind w:right="40"/>
        <w:spacing w:after="0" w:line="237" w:lineRule="auto"/>
        <w:rPr>
          <w:sz w:val="20"/>
          <w:szCs w:val="20"/>
          <w:color w:val="auto"/>
        </w:rPr>
      </w:pPr>
      <w:r>
        <w:rPr>
          <w:rFonts w:ascii="Arial" w:cs="Arial" w:eastAsia="Arial" w:hAnsi="Arial"/>
          <w:sz w:val="19"/>
          <w:szCs w:val="19"/>
          <w:color w:val="auto"/>
        </w:rPr>
        <w:t>Canadian Administrative Agent, Canadian Collateral Agent</w:t>
      </w:r>
    </w:p>
    <w:p>
      <w:pPr>
        <w:jc w:val="center"/>
        <w:spacing w:after="0"/>
        <w:rPr>
          <w:sz w:val="20"/>
          <w:szCs w:val="20"/>
          <w:color w:val="auto"/>
        </w:rPr>
      </w:pPr>
      <w:r>
        <w:rPr>
          <w:rFonts w:ascii="Arial" w:cs="Arial" w:eastAsia="Arial" w:hAnsi="Arial"/>
          <w:sz w:val="19"/>
          <w:szCs w:val="19"/>
          <w:color w:val="auto"/>
        </w:rPr>
        <w:t>and an Issuing Bank,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and</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RBC EUROPE LIMITED,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as Australian Administrative Agent, Australian Collateral Agent</w:t>
      </w:r>
    </w:p>
    <w:p>
      <w:pPr>
        <w:jc w:val="center"/>
        <w:spacing w:after="0"/>
        <w:rPr>
          <w:sz w:val="20"/>
          <w:szCs w:val="20"/>
          <w:color w:val="auto"/>
        </w:rPr>
      </w:pPr>
      <w:r>
        <w:rPr>
          <w:rFonts w:ascii="Arial" w:cs="Arial" w:eastAsia="Arial" w:hAnsi="Arial"/>
          <w:sz w:val="19"/>
          <w:szCs w:val="19"/>
          <w:color w:val="auto"/>
        </w:rPr>
        <w:t>and an Issuing Bank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RBC CAPITAL MARKETS,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Lead Arranger and Sole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60" w:hanging="528"/>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RBC Capital Markets is the global brand name of the corporate and investment banking business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US-DOCS\103672518.6</w:t>
      </w:r>
    </w:p>
    <w:p>
      <w:pPr>
        <w:sectPr>
          <w:pgSz w:w="11900" w:h="16838" w:orient="portrait"/>
          <w:cols w:equalWidth="0" w:num="1">
            <w:col w:w="11420"/>
          </w:cols>
          <w:pgMar w:left="240" w:top="122"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0"/>
          <w:szCs w:val="20"/>
          <w:b w:val="1"/>
          <w:bCs w:val="1"/>
          <w:color w:val="auto"/>
        </w:rPr>
        <w:t>FIRST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SYNDICATED FACILITY AGREEMENT</w:t>
      </w:r>
    </w:p>
    <w:p>
      <w:pPr>
        <w:spacing w:after="0" w:line="20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THIS FIRST AMENDMENT TO AMENDED AND RESTATED SYNDICATED FACILITY AGREEMENT (this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October 26, 2018, is among CIVEO CORPORATION, a corporation incorporated under the laws of the Province of British Columbia (the “</w:t>
      </w:r>
      <w:r>
        <w:rPr>
          <w:rFonts w:ascii="Arial" w:cs="Arial" w:eastAsia="Arial" w:hAnsi="Arial"/>
          <w:sz w:val="20"/>
          <w:szCs w:val="20"/>
          <w:u w:val="single" w:color="auto"/>
          <w:color w:val="auto"/>
        </w:rPr>
        <w:t>Parent Borrower</w:t>
      </w:r>
      <w:r>
        <w:rPr>
          <w:rFonts w:ascii="Arial" w:cs="Arial" w:eastAsia="Arial" w:hAnsi="Arial"/>
          <w:sz w:val="20"/>
          <w:szCs w:val="20"/>
          <w:color w:val="auto"/>
        </w:rPr>
        <w:t>”), CIVEO MANAGEMENT LLC, a Delaware limited liability company (the “</w:t>
      </w:r>
      <w:r>
        <w:rPr>
          <w:rFonts w:ascii="Arial" w:cs="Arial" w:eastAsia="Arial" w:hAnsi="Arial"/>
          <w:sz w:val="20"/>
          <w:szCs w:val="20"/>
          <w:u w:val="single" w:color="auto"/>
          <w:color w:val="auto"/>
        </w:rPr>
        <w:t>U.S. Borrower</w:t>
      </w:r>
      <w:r>
        <w:rPr>
          <w:rFonts w:ascii="Arial" w:cs="Arial" w:eastAsia="Arial" w:hAnsi="Arial"/>
          <w:sz w:val="20"/>
          <w:szCs w:val="20"/>
          <w:color w:val="auto"/>
        </w:rPr>
        <w:t>”), CIVEO CANADA LIMITED PARTNERSHIP, a limited partnership organized under the laws of the Province of Alberta (the “</w:t>
      </w:r>
      <w:r>
        <w:rPr>
          <w:rFonts w:ascii="Arial" w:cs="Arial" w:eastAsia="Arial" w:hAnsi="Arial"/>
          <w:sz w:val="20"/>
          <w:szCs w:val="20"/>
          <w:u w:val="single" w:color="auto"/>
          <w:color w:val="auto"/>
        </w:rPr>
        <w:t>New Canadian</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w:t>
      </w:r>
      <w:r>
        <w:rPr>
          <w:rFonts w:ascii="Arial" w:cs="Arial" w:eastAsia="Arial" w:hAnsi="Arial"/>
          <w:sz w:val="20"/>
          <w:szCs w:val="20"/>
          <w:color w:val="auto"/>
        </w:rPr>
        <w:t>”), CIVEO PTY LIMITED ACN 003 657 510, an Australian proprietary limited company (the “</w:t>
      </w:r>
      <w:r>
        <w:rPr>
          <w:rFonts w:ascii="Arial" w:cs="Arial" w:eastAsia="Arial" w:hAnsi="Arial"/>
          <w:sz w:val="20"/>
          <w:szCs w:val="20"/>
          <w:u w:val="single" w:color="auto"/>
          <w:color w:val="auto"/>
        </w:rPr>
        <w:t>Australian Borrower</w:t>
      </w:r>
      <w:r>
        <w:rPr>
          <w:rFonts w:ascii="Arial" w:cs="Arial" w:eastAsia="Arial" w:hAnsi="Arial"/>
          <w:sz w:val="20"/>
          <w:szCs w:val="20"/>
          <w:color w:val="auto"/>
        </w:rPr>
        <w:t>” and, together with the Parent Borrower, U.S. Borrower and the New Canadian Borrower, the “</w:t>
      </w:r>
      <w:r>
        <w:rPr>
          <w:rFonts w:ascii="Arial" w:cs="Arial" w:eastAsia="Arial" w:hAnsi="Arial"/>
          <w:sz w:val="20"/>
          <w:szCs w:val="20"/>
          <w:u w:val="single" w:color="auto"/>
          <w:color w:val="auto"/>
        </w:rPr>
        <w:t>Borrowers</w:t>
      </w:r>
      <w:r>
        <w:rPr>
          <w:rFonts w:ascii="Arial" w:cs="Arial" w:eastAsia="Arial" w:hAnsi="Arial"/>
          <w:sz w:val="20"/>
          <w:szCs w:val="20"/>
          <w:color w:val="auto"/>
        </w:rPr>
        <w:t>”), certain subsidiary guarantors of the Borrowers party hereto, the Lenders party hereto (the “</w:t>
      </w:r>
      <w:r>
        <w:rPr>
          <w:rFonts w:ascii="Arial" w:cs="Arial" w:eastAsia="Arial" w:hAnsi="Arial"/>
          <w:sz w:val="20"/>
          <w:szCs w:val="20"/>
          <w:u w:val="single" w:color="auto"/>
          <w:color w:val="auto"/>
        </w:rPr>
        <w:t>Lenders</w:t>
      </w:r>
      <w:r>
        <w:rPr>
          <w:rFonts w:ascii="Arial" w:cs="Arial" w:eastAsia="Arial" w:hAnsi="Arial"/>
          <w:sz w:val="20"/>
          <w:szCs w:val="20"/>
          <w:color w:val="auto"/>
        </w:rPr>
        <w:t>”), the Issuing Banks, the Swing Line Lenders,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w:t>
      </w:r>
    </w:p>
    <w:p>
      <w:pPr>
        <w:spacing w:after="0" w:line="222" w:lineRule="exact"/>
        <w:rPr>
          <w:sz w:val="20"/>
          <w:szCs w:val="20"/>
          <w:color w:val="auto"/>
        </w:rPr>
      </w:pPr>
    </w:p>
    <w:p>
      <w:pPr>
        <w:jc w:val="both"/>
        <w:ind w:firstLine="656"/>
        <w:spacing w:after="0" w:line="269" w:lineRule="auto"/>
        <w:tabs>
          <w:tab w:leader="none" w:pos="1123"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Borrowers, the Agents and the Lenders are parties to that certain Amended and Restated Syndicated Facility Agreement, dated as of April 2, 2018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as amended by this First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pursuant to which the Lenders have made certain loans to and other extensions of credit on behalf of the Borrowers.</w:t>
      </w:r>
    </w:p>
    <w:p>
      <w:pPr>
        <w:spacing w:after="0" w:line="170" w:lineRule="exact"/>
        <w:rPr>
          <w:rFonts w:ascii="Arial" w:cs="Arial" w:eastAsia="Arial" w:hAnsi="Arial"/>
          <w:sz w:val="19"/>
          <w:szCs w:val="19"/>
          <w:color w:val="auto"/>
        </w:rPr>
      </w:pPr>
    </w:p>
    <w:p>
      <w:pPr>
        <w:ind w:firstLine="656"/>
        <w:spacing w:after="0" w:line="260" w:lineRule="auto"/>
        <w:tabs>
          <w:tab w:leader="none" w:pos="1049"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Borrowers, the Agents, the Issuing Banks, the Swing Line Lenders and the Lenders desire to amend certain provisions of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010000"/>
        </w:rPr>
        <w:t xml:space="preserve">Section 1. </w:t>
      </w:r>
      <w:r>
        <w:rPr>
          <w:rFonts w:ascii="Arial" w:cs="Arial" w:eastAsia="Arial" w:hAnsi="Arial"/>
          <w:sz w:val="20"/>
          <w:szCs w:val="20"/>
          <w:u w:val="single" w:color="auto"/>
          <w:color w:val="000000"/>
        </w:rPr>
        <w:t>Defined Terms</w:t>
      </w:r>
      <w:r>
        <w:rPr>
          <w:rFonts w:ascii="Arial" w:cs="Arial" w:eastAsia="Arial" w:hAnsi="Arial"/>
          <w:sz w:val="20"/>
          <w:szCs w:val="20"/>
          <w:color w:val="000000"/>
        </w:rPr>
        <w:t>. Each capitalized term used herein but not otherwise defined herein has the meaning given such term</w:t>
      </w:r>
      <w:r>
        <w:rPr>
          <w:rFonts w:ascii="Arial" w:cs="Arial" w:eastAsia="Arial" w:hAnsi="Arial"/>
          <w:sz w:val="20"/>
          <w:szCs w:val="20"/>
          <w:color w:val="010000"/>
        </w:rPr>
        <w:t xml:space="preserve"> </w:t>
      </w:r>
      <w:r>
        <w:rPr>
          <w:rFonts w:ascii="Arial" w:cs="Arial" w:eastAsia="Arial" w:hAnsi="Arial"/>
          <w:sz w:val="20"/>
          <w:szCs w:val="20"/>
          <w:color w:val="000000"/>
        </w:rPr>
        <w:t>in the Amended Credit Agreement. Unless otherwise indicated, all article and section references in this First Amendment refer to articles and sections of the Amended Credit Agreement.</w:t>
      </w:r>
    </w:p>
    <w:p>
      <w:pPr>
        <w:spacing w:after="0" w:line="18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010000"/>
        </w:rPr>
        <w:t xml:space="preserve">Section 2. </w:t>
      </w:r>
      <w:r>
        <w:rPr>
          <w:rFonts w:ascii="Arial" w:cs="Arial" w:eastAsia="Arial" w:hAnsi="Arial"/>
          <w:sz w:val="20"/>
          <w:szCs w:val="20"/>
          <w:u w:val="single" w:color="auto"/>
          <w:color w:val="000000"/>
        </w:rPr>
        <w:t>Amendments to Credit Agreement</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Effective as of the First Amendment Effective Date, the Credit Agreement is</w:t>
      </w:r>
      <w:r>
        <w:rPr>
          <w:rFonts w:ascii="Arial" w:cs="Arial" w:eastAsia="Arial" w:hAnsi="Arial"/>
          <w:sz w:val="20"/>
          <w:szCs w:val="20"/>
          <w:color w:val="010000"/>
        </w:rPr>
        <w:t xml:space="preserve"> </w:t>
      </w:r>
      <w:r>
        <w:rPr>
          <w:rFonts w:ascii="Arial" w:cs="Arial" w:eastAsia="Arial" w:hAnsi="Arial"/>
          <w:sz w:val="20"/>
          <w:szCs w:val="20"/>
          <w:color w:val="000000"/>
        </w:rPr>
        <w:t>hereby amended as follows:</w:t>
      </w:r>
    </w:p>
    <w:p>
      <w:pPr>
        <w:spacing w:after="0" w:line="183"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21"/>
          <w:szCs w:val="21"/>
          <w:color w:val="010000"/>
        </w:rPr>
      </w:pPr>
      <w:r>
        <w:rPr>
          <w:rFonts w:ascii="Arial" w:cs="Arial" w:eastAsia="Arial" w:hAnsi="Arial"/>
          <w:sz w:val="19"/>
          <w:szCs w:val="19"/>
          <w:color w:val="auto"/>
        </w:rPr>
        <w:t>Section 1.01 of the Credit Agreement is amended by adding the following definitions where alphabetically appropriate:</w:t>
      </w:r>
    </w:p>
    <w:p>
      <w:pPr>
        <w:spacing w:after="0" w:line="231" w:lineRule="exact"/>
        <w:rPr>
          <w:sz w:val="20"/>
          <w:szCs w:val="20"/>
          <w:color w:val="auto"/>
        </w:rPr>
      </w:pPr>
    </w:p>
    <w:p>
      <w:pPr>
        <w:ind w:left="6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First Amendment</w:t>
      </w:r>
      <w:r>
        <w:rPr>
          <w:rFonts w:ascii="Arial" w:cs="Arial" w:eastAsia="Arial" w:hAnsi="Arial"/>
          <w:sz w:val="19"/>
          <w:szCs w:val="19"/>
          <w:color w:val="auto"/>
        </w:rPr>
        <w:t>” shall mean that certain First Amendment to Amended and Restated Syndicated Facility Agreement, dated as of October 26, 2018, among the Borrowers, the Administrative Agents and the Lenders party thereto.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First Amendment Effective Date</w:t>
      </w:r>
      <w:r>
        <w:rPr>
          <w:rFonts w:ascii="Arial" w:cs="Arial" w:eastAsia="Arial" w:hAnsi="Arial"/>
          <w:sz w:val="20"/>
          <w:szCs w:val="20"/>
          <w:color w:val="auto"/>
        </w:rPr>
        <w:t>” shall have the meaning set forth in the First Amendment.</w:t>
      </w:r>
    </w:p>
    <w:p>
      <w:pPr>
        <w:spacing w:after="0" w:line="254"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22"/>
          <w:szCs w:val="22"/>
          <w:color w:val="010000"/>
        </w:rPr>
      </w:pPr>
      <w:r>
        <w:rPr>
          <w:rFonts w:ascii="Arial" w:cs="Arial" w:eastAsia="Arial" w:hAnsi="Arial"/>
          <w:sz w:val="20"/>
          <w:szCs w:val="20"/>
          <w:color w:val="auto"/>
        </w:rPr>
        <w:t>Section 4.01 of the Credit Agreement is amended by</w:t>
      </w:r>
    </w:p>
    <w:p>
      <w:pPr>
        <w:spacing w:after="0" w:line="233" w:lineRule="exact"/>
        <w:rPr>
          <w:rFonts w:ascii="Arial" w:cs="Arial" w:eastAsia="Arial" w:hAnsi="Arial"/>
          <w:sz w:val="22"/>
          <w:szCs w:val="22"/>
          <w:color w:val="010000"/>
        </w:rPr>
      </w:pPr>
    </w:p>
    <w:p>
      <w:pPr>
        <w:ind w:left="1940" w:hanging="635"/>
        <w:spacing w:after="0"/>
        <w:tabs>
          <w:tab w:leader="none" w:pos="1940" w:val="left"/>
        </w:tabs>
        <w:numPr>
          <w:ilvl w:val="1"/>
          <w:numId w:val="7"/>
        </w:numPr>
        <w:rPr>
          <w:rFonts w:ascii="Arial" w:cs="Arial" w:eastAsia="Arial" w:hAnsi="Arial"/>
          <w:sz w:val="22"/>
          <w:szCs w:val="22"/>
          <w:color w:val="010000"/>
        </w:rPr>
      </w:pPr>
      <w:r>
        <w:rPr>
          <w:rFonts w:ascii="Arial" w:cs="Arial" w:eastAsia="Arial" w:hAnsi="Arial"/>
          <w:sz w:val="20"/>
          <w:szCs w:val="20"/>
          <w:color w:val="auto"/>
        </w:rPr>
        <w:t>adding the following new subsection (e):</w:t>
      </w:r>
    </w:p>
    <w:p>
      <w:pPr>
        <w:sectPr>
          <w:pgSz w:w="11900" w:h="16838" w:orient="portrait"/>
          <w:cols w:equalWidth="0" w:num="1">
            <w:col w:w="11420"/>
          </w:cols>
          <w:pgMar w:left="240" w:top="522" w:right="239" w:bottom="1440" w:gutter="0" w:footer="0" w:header="0"/>
        </w:sectPr>
      </w:pPr>
    </w:p>
    <w:bookmarkStart w:id="5" w:name="page6"/>
    <w:bookmarkEnd w:id="5"/>
    <w:p>
      <w:pPr>
        <w:jc w:val="both"/>
        <w:ind w:left="660" w:firstLine="645"/>
        <w:spacing w:after="0" w:line="265" w:lineRule="auto"/>
        <w:tabs>
          <w:tab w:leader="none" w:pos="1818" w:val="left"/>
        </w:tabs>
        <w:numPr>
          <w:ilvl w:val="0"/>
          <w:numId w:val="8"/>
        </w:numPr>
        <w:rPr>
          <w:rFonts w:ascii="Arial" w:cs="Arial" w:eastAsia="Arial" w:hAnsi="Arial"/>
          <w:sz w:val="22"/>
          <w:szCs w:val="22"/>
          <w:color w:val="auto"/>
        </w:rPr>
      </w:pPr>
      <w:r>
        <w:rPr>
          <w:rFonts w:ascii="Arial" w:cs="Arial" w:eastAsia="Arial" w:hAnsi="Arial"/>
          <w:sz w:val="20"/>
          <w:szCs w:val="20"/>
          <w:color w:val="auto"/>
        </w:rPr>
        <w:t>After giving pro forma effect to such Credit Event, the Parent Borrower is in compliance with the financial covenants described in Section 6.11 as of the most recently ended four (4) quarter period for which financial statements are required to be delivered under Section 5.04 as if such Credit Event had occurred on the last day of such period.</w:t>
      </w:r>
    </w:p>
    <w:p>
      <w:pPr>
        <w:spacing w:after="0" w:line="210" w:lineRule="exact"/>
        <w:rPr>
          <w:sz w:val="20"/>
          <w:szCs w:val="20"/>
          <w:color w:val="auto"/>
        </w:rPr>
      </w:pPr>
    </w:p>
    <w:p>
      <w:pPr>
        <w:ind w:left="1940" w:hanging="635"/>
        <w:spacing w:after="0"/>
        <w:tabs>
          <w:tab w:leader="none" w:pos="1940" w:val="left"/>
        </w:tabs>
        <w:numPr>
          <w:ilvl w:val="1"/>
          <w:numId w:val="9"/>
        </w:numPr>
        <w:rPr>
          <w:rFonts w:ascii="Arial" w:cs="Arial" w:eastAsia="Arial" w:hAnsi="Arial"/>
          <w:sz w:val="22"/>
          <w:szCs w:val="22"/>
          <w:color w:val="010000"/>
        </w:rPr>
      </w:pPr>
      <w:r>
        <w:rPr>
          <w:rFonts w:ascii="Arial" w:cs="Arial" w:eastAsia="Arial" w:hAnsi="Arial"/>
          <w:sz w:val="20"/>
          <w:szCs w:val="20"/>
          <w:color w:val="auto"/>
        </w:rPr>
        <w:t>replacing “(b), (c) and (d)” in the last paragraph thereof with “(b), (c), (d) and (e)”.</w:t>
      </w:r>
    </w:p>
    <w:p>
      <w:pPr>
        <w:spacing w:after="0" w:line="233" w:lineRule="exact"/>
        <w:rPr>
          <w:rFonts w:ascii="Arial" w:cs="Arial" w:eastAsia="Arial" w:hAnsi="Arial"/>
          <w:sz w:val="22"/>
          <w:szCs w:val="22"/>
          <w:color w:val="010000"/>
        </w:rPr>
      </w:pPr>
    </w:p>
    <w:p>
      <w:pPr>
        <w:ind w:left="1080" w:hanging="424"/>
        <w:spacing w:after="0"/>
        <w:tabs>
          <w:tab w:leader="none" w:pos="1080" w:val="left"/>
        </w:tabs>
        <w:numPr>
          <w:ilvl w:val="0"/>
          <w:numId w:val="10"/>
        </w:numPr>
        <w:rPr>
          <w:rFonts w:ascii="Arial" w:cs="Arial" w:eastAsia="Arial" w:hAnsi="Arial"/>
          <w:sz w:val="22"/>
          <w:szCs w:val="22"/>
          <w:color w:val="010000"/>
        </w:rPr>
      </w:pPr>
      <w:r>
        <w:rPr>
          <w:rFonts w:ascii="Arial" w:cs="Arial" w:eastAsia="Arial" w:hAnsi="Arial"/>
          <w:sz w:val="20"/>
          <w:szCs w:val="20"/>
          <w:color w:val="auto"/>
        </w:rPr>
        <w:t>Section 6.11(a) of the Credit Agreement is amended in its entirety as follows:</w:t>
      </w:r>
    </w:p>
    <w:p>
      <w:pPr>
        <w:spacing w:after="0" w:line="209" w:lineRule="exact"/>
        <w:rPr>
          <w:sz w:val="20"/>
          <w:szCs w:val="20"/>
          <w:color w:val="auto"/>
        </w:rPr>
      </w:pPr>
    </w:p>
    <w:p>
      <w:pPr>
        <w:jc w:val="both"/>
        <w:ind w:left="660" w:firstLine="645"/>
        <w:spacing w:after="0" w:line="291" w:lineRule="auto"/>
        <w:tabs>
          <w:tab w:leader="none" w:pos="1807"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Maximum Total Leverage Ratio</w:t>
      </w:r>
      <w:r>
        <w:rPr>
          <w:rFonts w:ascii="Arial" w:cs="Arial" w:eastAsia="Arial" w:hAnsi="Arial"/>
          <w:sz w:val="18"/>
          <w:szCs w:val="18"/>
          <w:color w:val="auto"/>
        </w:rPr>
        <w:t>. Commencing with the four fiscal quarter period ending March 31, 2018, permit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Leverage Ratio for any period of four consecutive fiscal quarters of the Parent Borrower, in each case taken as one accounting period, as of the last day of any fiscal quarter, to be greater than (A) if a Qualified Offering has not been consummated:</w:t>
      </w:r>
    </w:p>
    <w:p>
      <w:pPr>
        <w:spacing w:after="0" w:line="308"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1100" w:type="dxa"/>
            <w:vAlign w:val="bottom"/>
          </w:tcPr>
          <w:p>
            <w:pPr>
              <w:spacing w:after="0"/>
              <w:rPr>
                <w:sz w:val="22"/>
                <w:szCs w:val="22"/>
                <w:color w:val="auto"/>
              </w:rPr>
            </w:pPr>
          </w:p>
        </w:tc>
        <w:tc>
          <w:tcPr>
            <w:tcW w:w="3960" w:type="dxa"/>
            <w:vAlign w:val="bottom"/>
          </w:tcPr>
          <w:p>
            <w:pPr>
              <w:ind w:left="40"/>
              <w:spacing w:after="0"/>
              <w:rPr>
                <w:sz w:val="20"/>
                <w:szCs w:val="20"/>
                <w:color w:val="auto"/>
              </w:rPr>
            </w:pPr>
            <w:r>
              <w:rPr>
                <w:rFonts w:ascii="Arial" w:cs="Arial" w:eastAsia="Arial" w:hAnsi="Arial"/>
                <w:sz w:val="20"/>
                <w:szCs w:val="20"/>
                <w:b w:val="1"/>
                <w:bCs w:val="1"/>
                <w:color w:val="auto"/>
              </w:rPr>
              <w:t>Fiscal Quarter Ending</w:t>
            </w:r>
          </w:p>
        </w:tc>
        <w:tc>
          <w:tcPr>
            <w:tcW w:w="3120" w:type="dxa"/>
            <w:vAlign w:val="bottom"/>
          </w:tcPr>
          <w:p>
            <w:pPr>
              <w:jc w:val="right"/>
              <w:ind w:right="561"/>
              <w:spacing w:after="0"/>
              <w:rPr>
                <w:sz w:val="20"/>
                <w:szCs w:val="20"/>
                <w:color w:val="auto"/>
              </w:rPr>
            </w:pPr>
            <w:r>
              <w:rPr>
                <w:rFonts w:ascii="Arial" w:cs="Arial" w:eastAsia="Arial" w:hAnsi="Arial"/>
                <w:sz w:val="20"/>
                <w:szCs w:val="20"/>
                <w:b w:val="1"/>
                <w:bCs w:val="1"/>
                <w:color w:val="auto"/>
              </w:rPr>
              <w:t>Total Leverage Ratio</w:t>
            </w:r>
          </w:p>
        </w:tc>
      </w:tr>
      <w:tr>
        <w:trPr>
          <w:trHeight w:val="23"/>
        </w:trPr>
        <w:tc>
          <w:tcPr>
            <w:tcW w:w="1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54"/>
        </w:trPr>
        <w:tc>
          <w:tcPr>
            <w:tcW w:w="1100" w:type="dxa"/>
            <w:vAlign w:val="bottom"/>
          </w:tcPr>
          <w:p>
            <w:pPr>
              <w:spacing w:after="0"/>
              <w:rPr>
                <w:sz w:val="22"/>
                <w:szCs w:val="22"/>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March 31, 2018 and June 30, 2018</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4.50:1.00</w:t>
            </w:r>
          </w:p>
        </w:tc>
      </w:tr>
      <w:tr>
        <w:trPr>
          <w:trHeight w:val="284"/>
        </w:trPr>
        <w:tc>
          <w:tcPr>
            <w:tcW w:w="1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September 30, 2018</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4.25:1.00</w:t>
            </w:r>
          </w:p>
        </w:tc>
      </w:tr>
      <w:tr>
        <w:trPr>
          <w:trHeight w:val="284"/>
        </w:trPr>
        <w:tc>
          <w:tcPr>
            <w:tcW w:w="1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December 31, 2018</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4.50:1.00</w:t>
            </w:r>
          </w:p>
        </w:tc>
      </w:tr>
      <w:tr>
        <w:trPr>
          <w:trHeight w:val="284"/>
        </w:trPr>
        <w:tc>
          <w:tcPr>
            <w:tcW w:w="1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March 31, 2019</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4.75:1.00</w:t>
            </w:r>
          </w:p>
        </w:tc>
      </w:tr>
      <w:tr>
        <w:trPr>
          <w:trHeight w:val="284"/>
        </w:trPr>
        <w:tc>
          <w:tcPr>
            <w:tcW w:w="1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June 30, 2019</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4.50:1.00</w:t>
            </w:r>
          </w:p>
        </w:tc>
      </w:tr>
      <w:tr>
        <w:trPr>
          <w:trHeight w:val="284"/>
        </w:trPr>
        <w:tc>
          <w:tcPr>
            <w:tcW w:w="1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September 30, 2019</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4.00:1.00</w:t>
            </w:r>
          </w:p>
        </w:tc>
      </w:tr>
      <w:tr>
        <w:trPr>
          <w:trHeight w:val="284"/>
        </w:trPr>
        <w:tc>
          <w:tcPr>
            <w:tcW w:w="1100" w:type="dxa"/>
            <w:vAlign w:val="bottom"/>
          </w:tcPr>
          <w:p>
            <w:pPr>
              <w:spacing w:after="0"/>
              <w:rPr>
                <w:sz w:val="24"/>
                <w:szCs w:val="24"/>
                <w:color w:val="auto"/>
              </w:rPr>
            </w:pPr>
          </w:p>
        </w:tc>
        <w:tc>
          <w:tcPr>
            <w:tcW w:w="3960" w:type="dxa"/>
            <w:vAlign w:val="bottom"/>
          </w:tcPr>
          <w:p>
            <w:pPr>
              <w:ind w:left="40"/>
              <w:spacing w:after="0"/>
              <w:rPr>
                <w:sz w:val="20"/>
                <w:szCs w:val="20"/>
                <w:color w:val="auto"/>
              </w:rPr>
            </w:pPr>
            <w:r>
              <w:rPr>
                <w:rFonts w:ascii="Arial" w:cs="Arial" w:eastAsia="Arial" w:hAnsi="Arial"/>
                <w:sz w:val="20"/>
                <w:szCs w:val="20"/>
                <w:color w:val="auto"/>
              </w:rPr>
              <w:t>December 31, 2019 and thereafter</w:t>
            </w:r>
          </w:p>
        </w:tc>
        <w:tc>
          <w:tcPr>
            <w:tcW w:w="3120" w:type="dxa"/>
            <w:vAlign w:val="bottom"/>
          </w:tcPr>
          <w:p>
            <w:pPr>
              <w:jc w:val="right"/>
              <w:ind w:right="761"/>
              <w:spacing w:after="0"/>
              <w:rPr>
                <w:sz w:val="20"/>
                <w:szCs w:val="20"/>
                <w:color w:val="auto"/>
              </w:rPr>
            </w:pPr>
            <w:r>
              <w:rPr>
                <w:rFonts w:ascii="Arial" w:cs="Arial" w:eastAsia="Arial" w:hAnsi="Arial"/>
                <w:sz w:val="20"/>
                <w:szCs w:val="20"/>
                <w:color w:val="auto"/>
              </w:rPr>
              <w:t>3.50:1.00</w:t>
            </w:r>
          </w:p>
        </w:tc>
      </w:tr>
      <w:tr>
        <w:trPr>
          <w:trHeight w:val="486"/>
        </w:trPr>
        <w:tc>
          <w:tcPr>
            <w:tcW w:w="5060" w:type="dxa"/>
            <w:vAlign w:val="bottom"/>
            <w:gridSpan w:val="2"/>
          </w:tcPr>
          <w:p>
            <w:pPr>
              <w:spacing w:after="0"/>
              <w:rPr>
                <w:sz w:val="20"/>
                <w:szCs w:val="20"/>
                <w:color w:val="auto"/>
              </w:rPr>
            </w:pPr>
            <w:r>
              <w:rPr>
                <w:rFonts w:ascii="Arial" w:cs="Arial" w:eastAsia="Arial" w:hAnsi="Arial"/>
                <w:sz w:val="20"/>
                <w:szCs w:val="20"/>
                <w:color w:val="auto"/>
              </w:rPr>
              <w:t>and (B) if a Qualified Offering has been consummated,</w:t>
            </w:r>
          </w:p>
        </w:tc>
        <w:tc>
          <w:tcPr>
            <w:tcW w:w="3120" w:type="dxa"/>
            <w:vAlign w:val="bottom"/>
          </w:tcPr>
          <w:p>
            <w:pPr>
              <w:spacing w:after="0"/>
              <w:rPr>
                <w:sz w:val="24"/>
                <w:szCs w:val="24"/>
                <w:color w:val="auto"/>
              </w:rPr>
            </w:pPr>
          </w:p>
        </w:tc>
      </w:tr>
    </w:tbl>
    <w:p>
      <w:pPr>
        <w:spacing w:after="0" w:line="351" w:lineRule="exact"/>
        <w:rPr>
          <w:sz w:val="20"/>
          <w:szCs w:val="20"/>
          <w:color w:val="auto"/>
        </w:rPr>
      </w:pPr>
    </w:p>
    <w:tbl>
      <w:tblPr>
        <w:tblLayout w:type="fixed"/>
        <w:tblInd w:w="1300" w:type="dxa"/>
        <w:tblCellMar>
          <w:top w:w="0" w:type="dxa"/>
          <w:left w:w="0" w:type="dxa"/>
          <w:bottom w:w="0" w:type="dxa"/>
          <w:right w:w="0" w:type="dxa"/>
        </w:tblCellMar>
      </w:tblPr>
      <w:tr>
        <w:trPr>
          <w:trHeight w:val="256"/>
        </w:trPr>
        <w:tc>
          <w:tcPr>
            <w:tcW w:w="3700" w:type="dxa"/>
            <w:vAlign w:val="bottom"/>
          </w:tcPr>
          <w:p>
            <w:pPr>
              <w:ind w:left="40"/>
              <w:spacing w:after="0"/>
              <w:rPr>
                <w:sz w:val="20"/>
                <w:szCs w:val="20"/>
                <w:color w:val="auto"/>
              </w:rPr>
            </w:pPr>
            <w:r>
              <w:rPr>
                <w:rFonts w:ascii="Arial" w:cs="Arial" w:eastAsia="Arial" w:hAnsi="Arial"/>
                <w:sz w:val="20"/>
                <w:szCs w:val="20"/>
                <w:b w:val="1"/>
                <w:bCs w:val="1"/>
                <w:color w:val="auto"/>
              </w:rPr>
              <w:t>Fiscal Quarter Ending</w:t>
            </w:r>
          </w:p>
        </w:tc>
        <w:tc>
          <w:tcPr>
            <w:tcW w:w="3380" w:type="dxa"/>
            <w:vAlign w:val="bottom"/>
          </w:tcPr>
          <w:p>
            <w:pPr>
              <w:jc w:val="right"/>
              <w:ind w:right="561"/>
              <w:spacing w:after="0"/>
              <w:rPr>
                <w:sz w:val="20"/>
                <w:szCs w:val="20"/>
                <w:color w:val="auto"/>
              </w:rPr>
            </w:pPr>
            <w:r>
              <w:rPr>
                <w:rFonts w:ascii="Arial" w:cs="Arial" w:eastAsia="Arial" w:hAnsi="Arial"/>
                <w:sz w:val="20"/>
                <w:szCs w:val="20"/>
                <w:b w:val="1"/>
                <w:bCs w:val="1"/>
                <w:color w:val="auto"/>
              </w:rPr>
              <w:t>Total Leverage Ratio</w:t>
            </w:r>
          </w:p>
        </w:tc>
      </w:tr>
      <w:tr>
        <w:trPr>
          <w:trHeight w:val="23"/>
        </w:trPr>
        <w:tc>
          <w:tcPr>
            <w:tcW w:w="37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4"/>
        </w:trPr>
        <w:tc>
          <w:tcPr>
            <w:tcW w:w="3700" w:type="dxa"/>
            <w:vAlign w:val="bottom"/>
          </w:tcPr>
          <w:p>
            <w:pPr>
              <w:ind w:left="40"/>
              <w:spacing w:after="0"/>
              <w:rPr>
                <w:sz w:val="20"/>
                <w:szCs w:val="20"/>
                <w:color w:val="auto"/>
              </w:rPr>
            </w:pPr>
            <w:r>
              <w:rPr>
                <w:rFonts w:ascii="Arial" w:cs="Arial" w:eastAsia="Arial" w:hAnsi="Arial"/>
                <w:sz w:val="20"/>
                <w:szCs w:val="20"/>
                <w:color w:val="auto"/>
              </w:rPr>
              <w:t>September 30, 2018</w:t>
            </w:r>
          </w:p>
        </w:tc>
        <w:tc>
          <w:tcPr>
            <w:tcW w:w="3380" w:type="dxa"/>
            <w:vAlign w:val="bottom"/>
          </w:tcPr>
          <w:p>
            <w:pPr>
              <w:jc w:val="right"/>
              <w:ind w:right="761"/>
              <w:spacing w:after="0"/>
              <w:rPr>
                <w:sz w:val="20"/>
                <w:szCs w:val="20"/>
                <w:color w:val="auto"/>
              </w:rPr>
            </w:pPr>
            <w:r>
              <w:rPr>
                <w:rFonts w:ascii="Arial" w:cs="Arial" w:eastAsia="Arial" w:hAnsi="Arial"/>
                <w:sz w:val="20"/>
                <w:szCs w:val="20"/>
                <w:color w:val="auto"/>
              </w:rPr>
              <w:t>4.25:1.00</w:t>
            </w:r>
          </w:p>
        </w:tc>
      </w:tr>
      <w:tr>
        <w:trPr>
          <w:trHeight w:val="284"/>
        </w:trPr>
        <w:tc>
          <w:tcPr>
            <w:tcW w:w="3700" w:type="dxa"/>
            <w:vAlign w:val="bottom"/>
          </w:tcPr>
          <w:p>
            <w:pPr>
              <w:ind w:left="40"/>
              <w:spacing w:after="0"/>
              <w:rPr>
                <w:sz w:val="20"/>
                <w:szCs w:val="20"/>
                <w:color w:val="auto"/>
              </w:rPr>
            </w:pPr>
            <w:r>
              <w:rPr>
                <w:rFonts w:ascii="Arial" w:cs="Arial" w:eastAsia="Arial" w:hAnsi="Arial"/>
                <w:sz w:val="20"/>
                <w:szCs w:val="20"/>
                <w:color w:val="auto"/>
              </w:rPr>
              <w:t>December 31, 2018</w:t>
            </w:r>
          </w:p>
        </w:tc>
        <w:tc>
          <w:tcPr>
            <w:tcW w:w="3380" w:type="dxa"/>
            <w:vAlign w:val="bottom"/>
          </w:tcPr>
          <w:p>
            <w:pPr>
              <w:jc w:val="right"/>
              <w:ind w:right="761"/>
              <w:spacing w:after="0"/>
              <w:rPr>
                <w:sz w:val="20"/>
                <w:szCs w:val="20"/>
                <w:color w:val="auto"/>
              </w:rPr>
            </w:pPr>
            <w:r>
              <w:rPr>
                <w:rFonts w:ascii="Arial" w:cs="Arial" w:eastAsia="Arial" w:hAnsi="Arial"/>
                <w:sz w:val="20"/>
                <w:szCs w:val="20"/>
                <w:color w:val="auto"/>
              </w:rPr>
              <w:t>4.50:1.00</w:t>
            </w:r>
          </w:p>
        </w:tc>
      </w:tr>
      <w:tr>
        <w:trPr>
          <w:trHeight w:val="284"/>
        </w:trPr>
        <w:tc>
          <w:tcPr>
            <w:tcW w:w="3700" w:type="dxa"/>
            <w:vAlign w:val="bottom"/>
          </w:tcPr>
          <w:p>
            <w:pPr>
              <w:ind w:left="40"/>
              <w:spacing w:after="0"/>
              <w:rPr>
                <w:sz w:val="20"/>
                <w:szCs w:val="20"/>
                <w:color w:val="auto"/>
              </w:rPr>
            </w:pPr>
            <w:r>
              <w:rPr>
                <w:rFonts w:ascii="Arial" w:cs="Arial" w:eastAsia="Arial" w:hAnsi="Arial"/>
                <w:sz w:val="20"/>
                <w:szCs w:val="20"/>
                <w:color w:val="auto"/>
              </w:rPr>
              <w:t>March 31, 2019</w:t>
            </w:r>
          </w:p>
        </w:tc>
        <w:tc>
          <w:tcPr>
            <w:tcW w:w="3380" w:type="dxa"/>
            <w:vAlign w:val="bottom"/>
          </w:tcPr>
          <w:p>
            <w:pPr>
              <w:jc w:val="right"/>
              <w:ind w:right="761"/>
              <w:spacing w:after="0"/>
              <w:rPr>
                <w:sz w:val="20"/>
                <w:szCs w:val="20"/>
                <w:color w:val="auto"/>
              </w:rPr>
            </w:pPr>
            <w:r>
              <w:rPr>
                <w:rFonts w:ascii="Arial" w:cs="Arial" w:eastAsia="Arial" w:hAnsi="Arial"/>
                <w:sz w:val="20"/>
                <w:szCs w:val="20"/>
                <w:color w:val="auto"/>
              </w:rPr>
              <w:t>4.75:1.00</w:t>
            </w:r>
          </w:p>
        </w:tc>
      </w:tr>
      <w:tr>
        <w:trPr>
          <w:trHeight w:val="284"/>
        </w:trPr>
        <w:tc>
          <w:tcPr>
            <w:tcW w:w="3700" w:type="dxa"/>
            <w:vAlign w:val="bottom"/>
          </w:tcPr>
          <w:p>
            <w:pPr>
              <w:ind w:left="40"/>
              <w:spacing w:after="0"/>
              <w:rPr>
                <w:sz w:val="20"/>
                <w:szCs w:val="20"/>
                <w:color w:val="auto"/>
              </w:rPr>
            </w:pPr>
            <w:r>
              <w:rPr>
                <w:rFonts w:ascii="Arial" w:cs="Arial" w:eastAsia="Arial" w:hAnsi="Arial"/>
                <w:sz w:val="20"/>
                <w:szCs w:val="20"/>
                <w:color w:val="auto"/>
              </w:rPr>
              <w:t>June 30, 2019</w:t>
            </w:r>
          </w:p>
        </w:tc>
        <w:tc>
          <w:tcPr>
            <w:tcW w:w="3380" w:type="dxa"/>
            <w:vAlign w:val="bottom"/>
          </w:tcPr>
          <w:p>
            <w:pPr>
              <w:jc w:val="right"/>
              <w:ind w:right="761"/>
              <w:spacing w:after="0"/>
              <w:rPr>
                <w:sz w:val="20"/>
                <w:szCs w:val="20"/>
                <w:color w:val="auto"/>
              </w:rPr>
            </w:pPr>
            <w:r>
              <w:rPr>
                <w:rFonts w:ascii="Arial" w:cs="Arial" w:eastAsia="Arial" w:hAnsi="Arial"/>
                <w:sz w:val="20"/>
                <w:szCs w:val="20"/>
                <w:color w:val="auto"/>
              </w:rPr>
              <w:t>4.50:1.00</w:t>
            </w:r>
          </w:p>
        </w:tc>
      </w:tr>
      <w:tr>
        <w:trPr>
          <w:trHeight w:val="284"/>
        </w:trPr>
        <w:tc>
          <w:tcPr>
            <w:tcW w:w="3700" w:type="dxa"/>
            <w:vAlign w:val="bottom"/>
          </w:tcPr>
          <w:p>
            <w:pPr>
              <w:ind w:left="40"/>
              <w:spacing w:after="0"/>
              <w:rPr>
                <w:sz w:val="20"/>
                <w:szCs w:val="20"/>
                <w:color w:val="auto"/>
              </w:rPr>
            </w:pPr>
            <w:r>
              <w:rPr>
                <w:rFonts w:ascii="Arial" w:cs="Arial" w:eastAsia="Arial" w:hAnsi="Arial"/>
                <w:sz w:val="20"/>
                <w:szCs w:val="20"/>
                <w:color w:val="auto"/>
              </w:rPr>
              <w:t>September 30, 2019 and thereafter</w:t>
            </w:r>
          </w:p>
        </w:tc>
        <w:tc>
          <w:tcPr>
            <w:tcW w:w="3380" w:type="dxa"/>
            <w:vAlign w:val="bottom"/>
          </w:tcPr>
          <w:p>
            <w:pPr>
              <w:jc w:val="right"/>
              <w:ind w:right="761"/>
              <w:spacing w:after="0"/>
              <w:rPr>
                <w:sz w:val="20"/>
                <w:szCs w:val="20"/>
                <w:color w:val="auto"/>
              </w:rPr>
            </w:pPr>
            <w:r>
              <w:rPr>
                <w:rFonts w:ascii="Arial" w:cs="Arial" w:eastAsia="Arial" w:hAnsi="Arial"/>
                <w:sz w:val="20"/>
                <w:szCs w:val="20"/>
                <w:color w:val="auto"/>
              </w:rPr>
              <w:t>4.00:1.00</w:t>
            </w:r>
          </w:p>
        </w:tc>
      </w:tr>
    </w:tbl>
    <w:p>
      <w:pPr>
        <w:spacing w:after="0" w:line="200" w:lineRule="exact"/>
        <w:rPr>
          <w:sz w:val="20"/>
          <w:szCs w:val="20"/>
          <w:color w:val="auto"/>
        </w:rPr>
      </w:pPr>
    </w:p>
    <w:p>
      <w:pPr>
        <w:spacing w:after="0" w:line="2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22"/>
          <w:szCs w:val="22"/>
          <w:color w:val="010000"/>
        </w:rPr>
      </w:pPr>
      <w:r>
        <w:rPr>
          <w:rFonts w:ascii="Arial" w:cs="Arial" w:eastAsia="Arial" w:hAnsi="Arial"/>
          <w:sz w:val="20"/>
          <w:szCs w:val="20"/>
          <w:color w:val="auto"/>
        </w:rPr>
        <w:t>Schedule 2.04 to the Credit Agreement is amended and replaced in its entirety with Annex I attached hereto.</w:t>
      </w: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010000"/>
        </w:rPr>
        <w:t xml:space="preserve">Section 3. </w:t>
      </w:r>
      <w:r>
        <w:rPr>
          <w:rFonts w:ascii="Arial" w:cs="Arial" w:eastAsia="Arial" w:hAnsi="Arial"/>
          <w:sz w:val="19"/>
          <w:szCs w:val="19"/>
          <w:u w:val="single" w:color="auto"/>
          <w:color w:val="000000"/>
        </w:rPr>
        <w:t>Consent Fees</w:t>
      </w:r>
      <w:r>
        <w:rPr>
          <w:rFonts w:ascii="Arial" w:cs="Arial" w:eastAsia="Arial" w:hAnsi="Arial"/>
          <w:sz w:val="19"/>
          <w:szCs w:val="19"/>
          <w:color w:val="000000"/>
        </w:rPr>
        <w:t>. The Borrowers agree to pay to the Administrative Agent for the account of each Lender that (a)</w:t>
      </w:r>
      <w:r>
        <w:rPr>
          <w:rFonts w:ascii="Arial" w:cs="Arial" w:eastAsia="Arial" w:hAnsi="Arial"/>
          <w:sz w:val="19"/>
          <w:szCs w:val="19"/>
          <w:color w:val="010000"/>
        </w:rPr>
        <w:t xml:space="preserve"> </w:t>
      </w:r>
      <w:r>
        <w:rPr>
          <w:rFonts w:ascii="Arial" w:cs="Arial" w:eastAsia="Arial" w:hAnsi="Arial"/>
          <w:sz w:val="19"/>
          <w:szCs w:val="19"/>
          <w:color w:val="000000"/>
        </w:rPr>
        <w:t>notifies the Administrative Agent (or its counsel) that it has consented to this First Amendment and (b) delivers evidence satisfactory to the Administrative Agent that it has obtained all credit and other internal approvals necessary to enter into this First Amendment, in each case at or prior to 5:00 p.m., New York City time, on October 25, 2018, a consent fee (the “</w:t>
      </w:r>
      <w:r>
        <w:rPr>
          <w:rFonts w:ascii="Arial" w:cs="Arial" w:eastAsia="Arial" w:hAnsi="Arial"/>
          <w:sz w:val="19"/>
          <w:szCs w:val="19"/>
          <w:u w:val="single" w:color="auto"/>
          <w:color w:val="000000"/>
        </w:rPr>
        <w:t>Consent Fees</w:t>
      </w:r>
      <w:r>
        <w:rPr>
          <w:rFonts w:ascii="Arial" w:cs="Arial" w:eastAsia="Arial" w:hAnsi="Arial"/>
          <w:sz w:val="19"/>
          <w:szCs w:val="19"/>
          <w:color w:val="000000"/>
        </w:rPr>
        <w:t>”) in an amount equal to 0.20% of the aggregate principal amount of the outstanding Canadian Term Loans, the U.S. Revolving Commitment, the Canadian Revolving Commitment and the Australian Revolving Commitment of such Lender as of the First Amendment Effective Date. Consent Fees shall be payable (i) in U.S. dollars for the U.S. Revolving Commitment, (ii) in U.S. Dollar Equivalent for the Australian Revolving Commitment and the Canadian Revolving Commitment and (iii) in Canadian dollars for the Canadian Term Loans.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3" w:right="239" w:bottom="1440" w:gutter="0" w:footer="0" w:header="0"/>
        </w:sectPr>
      </w:pPr>
    </w:p>
    <w:bookmarkStart w:id="6" w:name="page7"/>
    <w:bookmarkEnd w:id="6"/>
    <w:p>
      <w:pPr>
        <w:jc w:val="both"/>
        <w:ind w:right="20" w:firstLine="648"/>
        <w:spacing w:after="0" w:line="347" w:lineRule="auto"/>
        <w:rPr>
          <w:sz w:val="20"/>
          <w:szCs w:val="20"/>
          <w:color w:val="auto"/>
        </w:rPr>
      </w:pPr>
      <w:r>
        <w:rPr>
          <w:rFonts w:ascii="Arial" w:cs="Arial" w:eastAsia="Arial" w:hAnsi="Arial"/>
          <w:sz w:val="18"/>
          <w:szCs w:val="18"/>
          <w:color w:val="010000"/>
        </w:rPr>
        <w:t xml:space="preserve">Section 4. </w:t>
      </w:r>
      <w:r>
        <w:rPr>
          <w:rFonts w:ascii="Arial" w:cs="Arial" w:eastAsia="Arial" w:hAnsi="Arial"/>
          <w:sz w:val="18"/>
          <w:szCs w:val="18"/>
          <w:u w:val="single" w:color="auto"/>
          <w:color w:val="000000"/>
        </w:rPr>
        <w:t>Conditions Precedent</w:t>
      </w:r>
      <w:r>
        <w:rPr>
          <w:rFonts w:ascii="Arial" w:cs="Arial" w:eastAsia="Arial" w:hAnsi="Arial"/>
          <w:sz w:val="18"/>
          <w:szCs w:val="18"/>
          <w:color w:val="000000"/>
        </w:rPr>
        <w:t>. This First Amendment shall not be deemed to be effective until the date on which each of the</w:t>
      </w:r>
      <w:r>
        <w:rPr>
          <w:rFonts w:ascii="Arial" w:cs="Arial" w:eastAsia="Arial" w:hAnsi="Arial"/>
          <w:sz w:val="18"/>
          <w:szCs w:val="18"/>
          <w:color w:val="010000"/>
        </w:rPr>
        <w:t xml:space="preserve"> </w:t>
      </w:r>
      <w:r>
        <w:rPr>
          <w:rFonts w:ascii="Arial" w:cs="Arial" w:eastAsia="Arial" w:hAnsi="Arial"/>
          <w:sz w:val="18"/>
          <w:szCs w:val="18"/>
          <w:color w:val="000000"/>
        </w:rPr>
        <w:t>following conditions is satisfied (or waived in accordance with Section 9.08 of the Credit Agreement) (the “</w:t>
      </w:r>
      <w:r>
        <w:rPr>
          <w:rFonts w:ascii="Arial" w:cs="Arial" w:eastAsia="Arial" w:hAnsi="Arial"/>
          <w:sz w:val="18"/>
          <w:szCs w:val="18"/>
          <w:u w:val="single" w:color="auto"/>
          <w:color w:val="000000"/>
        </w:rPr>
        <w:t>First Amendment Effective Date</w:t>
      </w:r>
      <w:r>
        <w:rPr>
          <w:rFonts w:ascii="Arial" w:cs="Arial" w:eastAsia="Arial" w:hAnsi="Arial"/>
          <w:sz w:val="18"/>
          <w:szCs w:val="18"/>
          <w:color w:val="000000"/>
        </w:rPr>
        <w:t>”):</w:t>
      </w:r>
    </w:p>
    <w:p>
      <w:pPr>
        <w:spacing w:after="0" w:line="144" w:lineRule="exact"/>
        <w:rPr>
          <w:sz w:val="20"/>
          <w:szCs w:val="20"/>
          <w:color w:val="auto"/>
        </w:rPr>
      </w:pPr>
    </w:p>
    <w:p>
      <w:pPr>
        <w:ind w:firstLine="656"/>
        <w:spacing w:after="0" w:line="291" w:lineRule="auto"/>
        <w:tabs>
          <w:tab w:leader="none" w:pos="1136" w:val="left"/>
        </w:tabs>
        <w:numPr>
          <w:ilvl w:val="0"/>
          <w:numId w:val="13"/>
        </w:numPr>
        <w:rPr>
          <w:rFonts w:ascii="Arial" w:cs="Arial" w:eastAsia="Arial" w:hAnsi="Arial"/>
          <w:sz w:val="21"/>
          <w:szCs w:val="21"/>
          <w:color w:val="010000"/>
        </w:rPr>
      </w:pPr>
      <w:r>
        <w:rPr>
          <w:rFonts w:ascii="Arial" w:cs="Arial" w:eastAsia="Arial" w:hAnsi="Arial"/>
          <w:sz w:val="19"/>
          <w:szCs w:val="19"/>
          <w:color w:val="auto"/>
        </w:rPr>
        <w:t>The Administrative Agent shall have received from the Required Lenders, the Borrowers and the Guarantors, counterparts (in such number as may be requested by the Administrative Agent) of this First Amendment signed on behalf of such Persons.</w:t>
      </w:r>
    </w:p>
    <w:p>
      <w:pPr>
        <w:spacing w:after="0" w:line="185" w:lineRule="exact"/>
        <w:rPr>
          <w:rFonts w:ascii="Arial" w:cs="Arial" w:eastAsia="Arial" w:hAnsi="Arial"/>
          <w:sz w:val="21"/>
          <w:szCs w:val="21"/>
          <w:color w:val="010000"/>
        </w:rPr>
      </w:pPr>
    </w:p>
    <w:p>
      <w:pPr>
        <w:jc w:val="both"/>
        <w:ind w:firstLine="656"/>
        <w:spacing w:after="0" w:line="266" w:lineRule="auto"/>
        <w:tabs>
          <w:tab w:leader="none" w:pos="1107" w:val="left"/>
        </w:tabs>
        <w:numPr>
          <w:ilvl w:val="0"/>
          <w:numId w:val="13"/>
        </w:numPr>
        <w:rPr>
          <w:rFonts w:ascii="Arial" w:cs="Arial" w:eastAsia="Arial" w:hAnsi="Arial"/>
          <w:sz w:val="22"/>
          <w:szCs w:val="22"/>
          <w:color w:val="010000"/>
        </w:rPr>
      </w:pPr>
      <w:r>
        <w:rPr>
          <w:rFonts w:ascii="Arial" w:cs="Arial" w:eastAsia="Arial" w:hAnsi="Arial"/>
          <w:sz w:val="20"/>
          <w:szCs w:val="20"/>
          <w:color w:val="auto"/>
        </w:rPr>
        <w:t>The Administrative Agents and the Lead Arranger shall have received all Fees and other amounts due and payable on or prior to the First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210" w:lineRule="exact"/>
        <w:rPr>
          <w:rFonts w:ascii="Arial" w:cs="Arial" w:eastAsia="Arial" w:hAnsi="Arial"/>
          <w:sz w:val="22"/>
          <w:szCs w:val="22"/>
          <w:color w:val="010000"/>
        </w:rPr>
      </w:pPr>
    </w:p>
    <w:p>
      <w:pPr>
        <w:jc w:val="both"/>
        <w:ind w:firstLine="656"/>
        <w:spacing w:after="0" w:line="282" w:lineRule="auto"/>
        <w:tabs>
          <w:tab w:leader="none" w:pos="1109" w:val="left"/>
        </w:tabs>
        <w:numPr>
          <w:ilvl w:val="0"/>
          <w:numId w:val="13"/>
        </w:numPr>
        <w:rPr>
          <w:rFonts w:ascii="Arial" w:cs="Arial" w:eastAsia="Arial" w:hAnsi="Arial"/>
          <w:sz w:val="21"/>
          <w:szCs w:val="21"/>
          <w:color w:val="010000"/>
        </w:rPr>
      </w:pPr>
      <w:r>
        <w:rPr>
          <w:rFonts w:ascii="Arial" w:cs="Arial" w:eastAsia="Arial" w:hAnsi="Arial"/>
          <w:sz w:val="19"/>
          <w:szCs w:val="19"/>
          <w:color w:val="auto"/>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First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201" w:lineRule="exact"/>
        <w:rPr>
          <w:rFonts w:ascii="Arial" w:cs="Arial" w:eastAsia="Arial" w:hAnsi="Arial"/>
          <w:sz w:val="21"/>
          <w:szCs w:val="21"/>
          <w:color w:val="010000"/>
        </w:rPr>
      </w:pPr>
    </w:p>
    <w:p>
      <w:pPr>
        <w:ind w:left="1080" w:hanging="424"/>
        <w:spacing w:after="0"/>
        <w:tabs>
          <w:tab w:leader="none" w:pos="1080" w:val="left"/>
        </w:tabs>
        <w:numPr>
          <w:ilvl w:val="0"/>
          <w:numId w:val="13"/>
        </w:numPr>
        <w:rPr>
          <w:rFonts w:ascii="Arial" w:cs="Arial" w:eastAsia="Arial" w:hAnsi="Arial"/>
          <w:sz w:val="19"/>
          <w:szCs w:val="19"/>
          <w:color w:val="010000"/>
        </w:rPr>
      </w:pPr>
      <w:r>
        <w:rPr>
          <w:rFonts w:ascii="Arial" w:cs="Arial" w:eastAsia="Arial" w:hAnsi="Arial"/>
          <w:sz w:val="18"/>
          <w:szCs w:val="18"/>
          <w:color w:val="auto"/>
        </w:rPr>
        <w:t>No Default or Event of Default shall have occurred and be continuing, after giving effect to the terms of this First Amendment.</w:t>
      </w:r>
    </w:p>
    <w:p>
      <w:pPr>
        <w:spacing w:after="0" w:line="25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color w:val="010000"/>
        </w:rPr>
        <w:t>Section 5.</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As of the date hereof, each Borrower hereby represents and warrants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each of the Lenders as follows:</w:t>
      </w:r>
    </w:p>
    <w:p>
      <w:pPr>
        <w:spacing w:after="0" w:line="229" w:lineRule="exact"/>
        <w:rPr>
          <w:sz w:val="20"/>
          <w:szCs w:val="20"/>
          <w:color w:val="auto"/>
        </w:rPr>
      </w:pPr>
    </w:p>
    <w:p>
      <w:pPr>
        <w:jc w:val="both"/>
        <w:ind w:firstLine="656"/>
        <w:spacing w:after="0" w:line="243" w:lineRule="auto"/>
        <w:tabs>
          <w:tab w:leader="none" w:pos="1082"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93" w:lineRule="exact"/>
        <w:rPr>
          <w:rFonts w:ascii="Arial" w:cs="Arial" w:eastAsia="Arial" w:hAnsi="Arial"/>
          <w:sz w:val="20"/>
          <w:szCs w:val="20"/>
          <w:color w:val="auto"/>
        </w:rPr>
      </w:pPr>
    </w:p>
    <w:p>
      <w:pPr>
        <w:ind w:left="1080" w:hanging="424"/>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2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0"/>
          <w:szCs w:val="20"/>
          <w:color w:val="010000"/>
        </w:rPr>
        <w:t>Section 6.</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b w:val="1"/>
          <w:bCs w:val="1"/>
          <w:color w:val="auto"/>
        </w:rPr>
        <w:t>.</w:t>
      </w:r>
    </w:p>
    <w:p>
      <w:pPr>
        <w:spacing w:after="0" w:line="262" w:lineRule="exact"/>
        <w:rPr>
          <w:sz w:val="20"/>
          <w:szCs w:val="20"/>
          <w:color w:val="auto"/>
        </w:rPr>
      </w:pPr>
    </w:p>
    <w:p>
      <w:pPr>
        <w:jc w:val="both"/>
        <w:ind w:firstLine="656"/>
        <w:spacing w:after="0" w:line="283" w:lineRule="auto"/>
        <w:tabs>
          <w:tab w:leader="none" w:pos="1109" w:val="left"/>
        </w:tabs>
        <w:numPr>
          <w:ilvl w:val="0"/>
          <w:numId w:val="15"/>
        </w:numPr>
        <w:rPr>
          <w:rFonts w:ascii="Arial" w:cs="Arial" w:eastAsia="Arial" w:hAnsi="Arial"/>
          <w:sz w:val="21"/>
          <w:szCs w:val="21"/>
          <w:color w:val="010000"/>
        </w:rPr>
      </w:pPr>
      <w:r>
        <w:rPr>
          <w:rFonts w:ascii="Arial" w:cs="Arial" w:eastAsia="Arial" w:hAnsi="Arial"/>
          <w:sz w:val="19"/>
          <w:szCs w:val="19"/>
          <w:u w:val="single" w:color="auto"/>
          <w:color w:val="auto"/>
        </w:rPr>
        <w:t>Confirmation</w:t>
      </w:r>
      <w:r>
        <w:rPr>
          <w:rFonts w:ascii="Arial" w:cs="Arial" w:eastAsia="Arial" w:hAnsi="Arial"/>
          <w:sz w:val="19"/>
          <w:szCs w:val="19"/>
          <w:color w:val="auto"/>
        </w:rPr>
        <w:t>. The provisions of the Credit Agreement, as amended by this First Amendment, are hereby ratified and confirmed by the Borrowers and shall remain in full force and effect following the effectiveness of this First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9" w:right="239" w:bottom="1440" w:gutter="0" w:footer="0" w:header="0"/>
        </w:sectPr>
      </w:pPr>
    </w:p>
    <w:bookmarkStart w:id="7" w:name="page8"/>
    <w:bookmarkEnd w:id="7"/>
    <w:p>
      <w:pPr>
        <w:jc w:val="both"/>
        <w:ind w:firstLine="656"/>
        <w:spacing w:after="0" w:line="266" w:lineRule="auto"/>
        <w:tabs>
          <w:tab w:leader="none" w:pos="1094" w:val="left"/>
        </w:tabs>
        <w:numPr>
          <w:ilvl w:val="0"/>
          <w:numId w:val="16"/>
        </w:numPr>
        <w:rPr>
          <w:rFonts w:ascii="Arial" w:cs="Arial" w:eastAsia="Arial" w:hAnsi="Arial"/>
          <w:sz w:val="22"/>
          <w:szCs w:val="22"/>
          <w:color w:val="010000"/>
        </w:rPr>
      </w:pPr>
      <w:r>
        <w:rPr>
          <w:rFonts w:ascii="Arial" w:cs="Arial" w:eastAsia="Arial" w:hAnsi="Arial"/>
          <w:sz w:val="20"/>
          <w:szCs w:val="20"/>
          <w:u w:val="single" w:color="auto"/>
          <w:color w:val="auto"/>
        </w:rPr>
        <w:t>Ratification and Affirmation</w:t>
      </w:r>
      <w:r>
        <w:rPr>
          <w:rFonts w:ascii="Arial" w:cs="Arial" w:eastAsia="Arial" w:hAnsi="Arial"/>
          <w:sz w:val="20"/>
          <w:szCs w:val="20"/>
          <w:color w:val="auto"/>
        </w:rPr>
        <w:t>. Each of the Borrowers and Guarantors hereby (a) acknowledges the terms of this First Amendment and (b) 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210" w:lineRule="exact"/>
        <w:rPr>
          <w:rFonts w:ascii="Arial" w:cs="Arial" w:eastAsia="Arial" w:hAnsi="Arial"/>
          <w:sz w:val="22"/>
          <w:szCs w:val="22"/>
          <w:color w:val="010000"/>
        </w:rPr>
      </w:pPr>
    </w:p>
    <w:p>
      <w:pPr>
        <w:ind w:firstLine="656"/>
        <w:spacing w:after="0" w:line="265" w:lineRule="auto"/>
        <w:tabs>
          <w:tab w:leader="none" w:pos="1109" w:val="left"/>
        </w:tabs>
        <w:numPr>
          <w:ilvl w:val="0"/>
          <w:numId w:val="16"/>
        </w:numPr>
        <w:rPr>
          <w:rFonts w:ascii="Arial" w:cs="Arial" w:eastAsia="Arial" w:hAnsi="Arial"/>
          <w:sz w:val="22"/>
          <w:szCs w:val="22"/>
          <w:color w:val="010000"/>
        </w:rPr>
      </w:pPr>
      <w:r>
        <w:rPr>
          <w:rFonts w:ascii="Arial" w:cs="Arial" w:eastAsia="Arial" w:hAnsi="Arial"/>
          <w:sz w:val="20"/>
          <w:szCs w:val="20"/>
          <w:u w:val="single" w:color="auto"/>
          <w:color w:val="auto"/>
        </w:rPr>
        <w:t>Loan Document</w:t>
      </w:r>
      <w:r>
        <w:rPr>
          <w:rFonts w:ascii="Arial" w:cs="Arial" w:eastAsia="Arial" w:hAnsi="Arial"/>
          <w:sz w:val="20"/>
          <w:szCs w:val="20"/>
          <w:color w:val="auto"/>
        </w:rPr>
        <w:t>. This First Amendment is a “Loan Document” as defined and described in the Credit Agreement and all of the terms and provisions of the Amended Credit Agreement relating to Loan Documents shall apply hereto.</w:t>
      </w:r>
    </w:p>
    <w:p>
      <w:pPr>
        <w:spacing w:after="0" w:line="209" w:lineRule="exact"/>
        <w:rPr>
          <w:rFonts w:ascii="Arial" w:cs="Arial" w:eastAsia="Arial" w:hAnsi="Arial"/>
          <w:sz w:val="22"/>
          <w:szCs w:val="22"/>
          <w:color w:val="010000"/>
        </w:rPr>
      </w:pPr>
    </w:p>
    <w:p>
      <w:pPr>
        <w:jc w:val="both"/>
        <w:ind w:firstLine="656"/>
        <w:spacing w:after="0" w:line="284" w:lineRule="auto"/>
        <w:tabs>
          <w:tab w:leader="none" w:pos="1256" w:val="left"/>
        </w:tabs>
        <w:numPr>
          <w:ilvl w:val="0"/>
          <w:numId w:val="16"/>
        </w:numPr>
        <w:rPr>
          <w:rFonts w:ascii="Arial" w:cs="Arial" w:eastAsia="Arial" w:hAnsi="Arial"/>
          <w:sz w:val="21"/>
          <w:szCs w:val="21"/>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First Amendment may be executed by one or more of the parties hereto in any number of separate counterparts, and all of such counterparts taken together shall be deemed to constitute one and the same instrument. Delivery of this First Amendment by facsimile or electronic transmission shall be effective as delivery of a manually executed counterpart hereof.</w:t>
      </w:r>
    </w:p>
    <w:p>
      <w:pPr>
        <w:spacing w:after="0" w:line="196" w:lineRule="exact"/>
        <w:rPr>
          <w:rFonts w:ascii="Arial" w:cs="Arial" w:eastAsia="Arial" w:hAnsi="Arial"/>
          <w:sz w:val="21"/>
          <w:szCs w:val="21"/>
          <w:color w:val="010000"/>
        </w:rPr>
      </w:pPr>
    </w:p>
    <w:p>
      <w:pPr>
        <w:jc w:val="both"/>
        <w:ind w:firstLine="656"/>
        <w:spacing w:after="0" w:line="283" w:lineRule="auto"/>
        <w:tabs>
          <w:tab w:leader="none" w:pos="1311" w:val="left"/>
        </w:tabs>
        <w:numPr>
          <w:ilvl w:val="0"/>
          <w:numId w:val="16"/>
        </w:numPr>
        <w:rPr>
          <w:rFonts w:ascii="Arial" w:cs="Arial" w:eastAsia="Arial" w:hAnsi="Arial"/>
          <w:sz w:val="21"/>
          <w:szCs w:val="21"/>
          <w:color w:val="010000"/>
        </w:rPr>
      </w:pPr>
      <w:r>
        <w:rPr>
          <w:rFonts w:ascii="Arial" w:cs="Arial" w:eastAsia="Arial" w:hAnsi="Arial"/>
          <w:sz w:val="19"/>
          <w:szCs w:val="19"/>
          <w:u w:val="single" w:color="auto"/>
          <w:color w:val="auto"/>
        </w:rPr>
        <w:t>NO ORAL AGREEMENT</w:t>
      </w:r>
      <w:r>
        <w:rPr>
          <w:rFonts w:ascii="Arial" w:cs="Arial" w:eastAsia="Arial" w:hAnsi="Arial"/>
          <w:sz w:val="19"/>
          <w:szCs w:val="19"/>
          <w:color w:val="auto"/>
        </w:rPr>
        <w:t>. THIS FIRST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198" w:lineRule="exact"/>
        <w:rPr>
          <w:rFonts w:ascii="Arial" w:cs="Arial" w:eastAsia="Arial" w:hAnsi="Arial"/>
          <w:sz w:val="21"/>
          <w:szCs w:val="21"/>
          <w:color w:val="010000"/>
        </w:rPr>
      </w:pPr>
    </w:p>
    <w:p>
      <w:pPr>
        <w:ind w:firstLine="656"/>
        <w:spacing w:after="0" w:line="265" w:lineRule="auto"/>
        <w:tabs>
          <w:tab w:leader="none" w:pos="1085" w:val="left"/>
        </w:tabs>
        <w:numPr>
          <w:ilvl w:val="0"/>
          <w:numId w:val="16"/>
        </w:numPr>
        <w:rPr>
          <w:rFonts w:ascii="Arial" w:cs="Arial" w:eastAsia="Arial" w:hAnsi="Arial"/>
          <w:sz w:val="22"/>
          <w:szCs w:val="22"/>
          <w:color w:val="010000"/>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FIRST AMENDMENT SHALL BE CONSTRUED IN ACCORDANCE WITH AND GOVERNED BY THE LAWS OF THE STATE OF NEW YORK.</w:t>
      </w:r>
    </w:p>
    <w:p>
      <w:pPr>
        <w:spacing w:after="0" w:line="196"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010000"/>
        </w:rPr>
        <w:t xml:space="preserve">Section 7. </w:t>
      </w:r>
      <w:r>
        <w:rPr>
          <w:rFonts w:ascii="Arial" w:cs="Arial" w:eastAsia="Arial" w:hAnsi="Arial"/>
          <w:sz w:val="20"/>
          <w:szCs w:val="20"/>
          <w:u w:val="single" w:color="auto"/>
          <w:color w:val="000000"/>
        </w:rPr>
        <w:t>Not Fiduciary Relationship</w:t>
      </w:r>
      <w:r>
        <w:rPr>
          <w:rFonts w:ascii="Arial" w:cs="Arial" w:eastAsia="Arial" w:hAnsi="Arial"/>
          <w:sz w:val="20"/>
          <w:szCs w:val="20"/>
          <w:color w:val="000000"/>
        </w:rPr>
        <w:t>. The Loan Parties acknowledge that none of the Agents, the Issuing Banks, the Swing</w:t>
      </w:r>
      <w:r>
        <w:rPr>
          <w:rFonts w:ascii="Arial" w:cs="Arial" w:eastAsia="Arial" w:hAnsi="Arial"/>
          <w:sz w:val="20"/>
          <w:szCs w:val="20"/>
          <w:color w:val="010000"/>
        </w:rPr>
        <w:t xml:space="preserve"> </w:t>
      </w:r>
      <w:r>
        <w:rPr>
          <w:rFonts w:ascii="Arial" w:cs="Arial" w:eastAsia="Arial" w:hAnsi="Arial"/>
          <w:sz w:val="20"/>
          <w:szCs w:val="20"/>
          <w:color w:val="000000"/>
        </w:rPr>
        <w:t>Line Lenders, the Lenders or their respective Affiliates is acting as a fiduciary for or advisor to the Loan Parties.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3"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IN WITNESS WHEREOF, the parties hereto have caused this First Amendment to be duly executed as of the date first written above.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BORROWERS:</w:t>
      </w:r>
    </w:p>
    <w:p>
      <w:pPr>
        <w:spacing w:after="0" w:line="11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CIVEO CORPORATION</w:t>
      </w: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w:t>
      </w:r>
      <w:r>
        <w:rPr>
          <w:rFonts w:ascii="Arial" w:cs="Arial" w:eastAsia="Arial" w:hAnsi="Arial"/>
          <w:sz w:val="20"/>
          <w:szCs w:val="20"/>
          <w:color w:val="auto"/>
        </w:rPr>
        <w:t xml:space="preserve"> </w:t>
      </w:r>
      <w:r>
        <w:rPr>
          <w:rFonts w:ascii="Arial" w:cs="Arial" w:eastAsia="Arial" w:hAnsi="Arial"/>
          <w:sz w:val="21"/>
          <w:szCs w:val="21"/>
          <w:u w:val="single" w:color="auto"/>
          <w:color w:val="auto"/>
        </w:rPr>
        <w:t>Frank C. Steininger</w:t>
      </w:r>
      <w:r>
        <w:rPr>
          <w:rFonts w:ascii="Arial" w:cs="Arial" w:eastAsia="Arial" w:hAnsi="Arial"/>
          <w:sz w:val="20"/>
          <w:szCs w:val="20"/>
          <w:u w:val="single" w:color="auto"/>
          <w:color w:val="auto"/>
        </w:rPr>
        <w:t>_______________</w:t>
      </w:r>
    </w:p>
    <w:p>
      <w:pPr>
        <w:spacing w:after="0" w:line="33"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2"/>
          <w:szCs w:val="22"/>
          <w:color w:val="auto"/>
        </w:rPr>
        <w:t>Frank C. Steininger</w:t>
      </w:r>
    </w:p>
    <w:p>
      <w:pPr>
        <w:spacing w:after="0" w:line="17"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20"/>
          <w:szCs w:val="20"/>
          <w:color w:val="auto"/>
        </w:rPr>
        <w:t>Title:</w:t>
        <w:tab/>
        <w:t>Executive Vice President, Chief Financial Officer and Treasurer</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 xml:space="preserve">CIVEO </w:t>
      </w:r>
      <w:r>
        <w:rPr>
          <w:rFonts w:ascii="Arial" w:cs="Arial" w:eastAsia="Arial" w:hAnsi="Arial"/>
          <w:sz w:val="18"/>
          <w:szCs w:val="18"/>
          <w:color w:val="auto"/>
        </w:rPr>
        <w:t>CANADA LIMITED PARTNERSHIP</w:t>
      </w: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Bradley</w:t>
      </w:r>
      <w:r>
        <w:rPr>
          <w:rFonts w:ascii="Arial" w:cs="Arial" w:eastAsia="Arial" w:hAnsi="Arial"/>
          <w:sz w:val="20"/>
          <w:szCs w:val="20"/>
          <w:color w:val="auto"/>
        </w:rPr>
        <w:t xml:space="preserve"> </w:t>
      </w:r>
      <w:r>
        <w:rPr>
          <w:rFonts w:ascii="Arial" w:cs="Arial" w:eastAsia="Arial" w:hAnsi="Arial"/>
          <w:sz w:val="21"/>
          <w:szCs w:val="21"/>
          <w:u w:val="single" w:color="auto"/>
          <w:color w:val="auto"/>
        </w:rPr>
        <w:t>J. Dodson</w:t>
      </w:r>
      <w:r>
        <w:rPr>
          <w:rFonts w:ascii="Arial" w:cs="Arial" w:eastAsia="Arial" w:hAnsi="Arial"/>
          <w:sz w:val="20"/>
          <w:szCs w:val="20"/>
          <w:color w:val="auto"/>
        </w:rPr>
        <w:t>_________________</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9"/>
          <w:szCs w:val="19"/>
          <w:color w:val="auto"/>
        </w:rPr>
        <w:t>Bradley</w:t>
      </w:r>
      <w:r>
        <w:rPr>
          <w:rFonts w:ascii="Arial" w:cs="Arial" w:eastAsia="Arial" w:hAnsi="Arial"/>
          <w:sz w:val="22"/>
          <w:szCs w:val="22"/>
          <w:color w:val="auto"/>
        </w:rPr>
        <w:t xml:space="preserve"> J. Dodson</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19"/>
          <w:szCs w:val="19"/>
          <w:color w:val="auto"/>
        </w:rPr>
        <w:t>Director</w:t>
      </w:r>
      <w:r>
        <w:rPr>
          <w:rFonts w:ascii="Arial" w:cs="Arial" w:eastAsia="Arial" w:hAnsi="Arial"/>
          <w:sz w:val="22"/>
          <w:szCs w:val="22"/>
          <w:color w:val="auto"/>
        </w:rPr>
        <w:t xml:space="preserve"> and President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CIVEO MANAGEMENT LLC</w:t>
      </w:r>
    </w:p>
    <w:p>
      <w:pPr>
        <w:spacing w:after="0" w:line="200" w:lineRule="exact"/>
        <w:rPr>
          <w:sz w:val="20"/>
          <w:szCs w:val="20"/>
          <w:color w:val="auto"/>
        </w:rPr>
      </w:pP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w:t>
      </w:r>
      <w:r>
        <w:rPr>
          <w:rFonts w:ascii="Arial" w:cs="Arial" w:eastAsia="Arial" w:hAnsi="Arial"/>
          <w:sz w:val="20"/>
          <w:szCs w:val="20"/>
          <w:color w:val="auto"/>
        </w:rPr>
        <w:t xml:space="preserve"> </w:t>
      </w:r>
      <w:r>
        <w:rPr>
          <w:rFonts w:ascii="Arial" w:cs="Arial" w:eastAsia="Arial" w:hAnsi="Arial"/>
          <w:sz w:val="21"/>
          <w:szCs w:val="21"/>
          <w:u w:val="single" w:color="auto"/>
          <w:color w:val="auto"/>
        </w:rPr>
        <w:t>Frank C. Steininger</w:t>
      </w:r>
      <w:r>
        <w:rPr>
          <w:rFonts w:ascii="Arial" w:cs="Arial" w:eastAsia="Arial" w:hAnsi="Arial"/>
          <w:sz w:val="20"/>
          <w:szCs w:val="20"/>
          <w:color w:val="auto"/>
        </w:rPr>
        <w:t>________________</w:t>
      </w:r>
    </w:p>
    <w:p>
      <w:pPr>
        <w:spacing w:after="0" w:line="33"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2"/>
          <w:szCs w:val="22"/>
          <w:color w:val="auto"/>
        </w:rPr>
        <w:t>Frank C. Steininger</w:t>
      </w:r>
    </w:p>
    <w:p>
      <w:pPr>
        <w:spacing w:after="0" w:line="17"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Vice President, Chief Financial Officer and Treasurer</w:t>
      </w: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CIVEO PTY LIMITED</w:t>
      </w:r>
    </w:p>
    <w:p>
      <w:pPr>
        <w:spacing w:after="0" w:line="351"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Frank C. Steininger____________________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of Director</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490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09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of Director</w:t>
      </w: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Bradley J. Dodson</w:t>
      </w:r>
      <w:r>
        <w:rPr>
          <w:rFonts w:ascii="Arial" w:cs="Arial" w:eastAsia="Arial" w:hAnsi="Arial"/>
          <w:sz w:val="20"/>
          <w:szCs w:val="20"/>
          <w:color w:val="auto"/>
        </w:rPr>
        <w:t>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of Director/Company Secretary</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435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510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of Director/Company Secretary</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11260"/>
          </w:cols>
          <w:pgMar w:left="240" w:top="528" w:right="39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GUARANTORS:</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CIVEO OFFSHORE LLC</w:t>
      </w: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9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CIVEO USA LLC</w:t>
      </w: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9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CIVEO USA MANUFACTURING LLC</w:t>
      </w: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99"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CIVEO WATER AND WASTE WATER USA, LLC</w:t>
      </w:r>
    </w:p>
    <w:p>
      <w:pPr>
        <w:spacing w:after="0" w:line="200" w:lineRule="exact"/>
        <w:rPr>
          <w:sz w:val="20"/>
          <w:szCs w:val="20"/>
          <w:color w:val="auto"/>
        </w:rPr>
      </w:pPr>
    </w:p>
    <w:p>
      <w:pPr>
        <w:spacing w:after="0" w:line="31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9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CIVEO GP HOLDINGS CORPORATION</w:t>
      </w: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1459"/>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559"/>
          </w:cols>
          <w:pgMar w:left="900" w:top="598" w:right="1440" w:bottom="1440" w:gutter="0" w:footer="0" w:header="0"/>
        </w:sectPr>
      </w:pPr>
    </w:p>
    <w:bookmarkStart w:id="10" w:name="page11"/>
    <w:bookmarkEnd w:id="10"/>
    <w:p>
      <w:pPr>
        <w:ind w:left="3020" w:right="20"/>
        <w:spacing w:after="0" w:line="287" w:lineRule="auto"/>
        <w:rPr>
          <w:sz w:val="20"/>
          <w:szCs w:val="20"/>
          <w:color w:val="auto"/>
        </w:rPr>
      </w:pPr>
      <w:r>
        <w:rPr>
          <w:rFonts w:ascii="Arial" w:cs="Arial" w:eastAsia="Arial" w:hAnsi="Arial"/>
          <w:sz w:val="21"/>
          <w:szCs w:val="21"/>
          <w:color w:val="auto"/>
        </w:rPr>
        <w:t>CIVEO CANADA OPERATIONS GP LTD., on behalf of and in its capacity as general partner of CIVEO CANADA LIMITED PARTNERSHIP</w:t>
      </w:r>
    </w:p>
    <w:p>
      <w:pPr>
        <w:spacing w:after="0" w:line="200" w:lineRule="exact"/>
        <w:rPr>
          <w:sz w:val="20"/>
          <w:szCs w:val="20"/>
          <w:color w:val="auto"/>
        </w:rPr>
      </w:pPr>
    </w:p>
    <w:p>
      <w:pPr>
        <w:spacing w:after="0" w:line="20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CIVEO CANADA OPERATIONS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CIVEO LODGE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CIVEO CANADA HOLDCO3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line="263" w:lineRule="auto"/>
        <w:rPr>
          <w:sz w:val="20"/>
          <w:szCs w:val="20"/>
          <w:color w:val="auto"/>
        </w:rPr>
      </w:pPr>
      <w:r>
        <w:rPr>
          <w:rFonts w:ascii="Arial" w:cs="Arial" w:eastAsia="Arial" w:hAnsi="Arial"/>
          <w:sz w:val="22"/>
          <w:szCs w:val="22"/>
          <w:color w:val="auto"/>
        </w:rPr>
        <w:t>CIVEO LODGE GP LTD., on behalf of and in its capacity as general partner of CIVEO LODGE EMPLOYEES LIMITED PARTNERSHIP</w:t>
      </w: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8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900"/>
          </w:cols>
          <w:pgMar w:left="1440" w:top="375" w:right="559" w:bottom="1440" w:gutter="0" w:footer="0" w:header="0"/>
        </w:sectPr>
      </w:pPr>
    </w:p>
    <w:bookmarkStart w:id="11" w:name="page12"/>
    <w:bookmarkEnd w:id="11"/>
    <w:p>
      <w:pPr>
        <w:ind w:left="3020"/>
        <w:spacing w:after="0"/>
        <w:rPr>
          <w:sz w:val="20"/>
          <w:szCs w:val="20"/>
          <w:color w:val="auto"/>
        </w:rPr>
      </w:pPr>
      <w:r>
        <w:rPr>
          <w:rFonts w:ascii="Arial" w:cs="Arial" w:eastAsia="Arial" w:hAnsi="Arial"/>
          <w:sz w:val="22"/>
          <w:szCs w:val="22"/>
          <w:color w:val="auto"/>
        </w:rPr>
        <w:t>STRUCTURES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WATER CANADA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PACIFIC CATERING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CANADA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CIVEO PREMIUM SERVICES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NORTHERN METIS CATERING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375" w:right="1440" w:bottom="1440" w:gutter="0" w:footer="0" w:header="0"/>
        </w:sectPr>
      </w:pPr>
    </w:p>
    <w:bookmarkStart w:id="12" w:name="page13"/>
    <w:bookmarkEnd w:id="12"/>
    <w:p>
      <w:pPr>
        <w:jc w:val="center"/>
        <w:ind w:right="180"/>
        <w:spacing w:after="0"/>
        <w:rPr>
          <w:sz w:val="20"/>
          <w:szCs w:val="20"/>
          <w:color w:val="auto"/>
        </w:rPr>
      </w:pPr>
      <w:r>
        <w:rPr>
          <w:rFonts w:ascii="Arial" w:cs="Arial" w:eastAsia="Arial" w:hAnsi="Arial"/>
          <w:sz w:val="22"/>
          <w:szCs w:val="22"/>
          <w:color w:val="auto"/>
        </w:rPr>
        <w:t>BUFFALO METIS CATERING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4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INSTALLATIONS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CROWN SERVICES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FORT MCMURRAY LODGE SERVICES GP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99" w:lineRule="exact"/>
        <w:rPr>
          <w:sz w:val="20"/>
          <w:szCs w:val="20"/>
          <w:color w:val="auto"/>
        </w:rPr>
      </w:pPr>
    </w:p>
    <w:p>
      <w:pPr>
        <w:ind w:left="3020"/>
        <w:spacing w:after="0" w:line="343" w:lineRule="auto"/>
        <w:rPr>
          <w:sz w:val="20"/>
          <w:szCs w:val="20"/>
          <w:color w:val="auto"/>
        </w:rPr>
      </w:pPr>
      <w:r>
        <w:rPr>
          <w:rFonts w:ascii="Arial" w:cs="Arial" w:eastAsia="Arial" w:hAnsi="Arial"/>
          <w:sz w:val="19"/>
          <w:szCs w:val="19"/>
          <w:color w:val="auto"/>
        </w:rPr>
        <w:t>STRUCTURES GP LTD., on behalf of and in its capacity as general partner of CIVEO STRUCTURES EMPLOYEES LIMITED PARTNERSHIP</w:t>
      </w:r>
    </w:p>
    <w:p>
      <w:pPr>
        <w:spacing w:after="0" w:line="36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840"/>
          </w:cols>
          <w:pgMar w:left="1440" w:top="375" w:right="619" w:bottom="1440" w:gutter="0" w:footer="0" w:header="0"/>
        </w:sectPr>
      </w:pPr>
    </w:p>
    <w:bookmarkStart w:id="13" w:name="page14"/>
    <w:bookmarkEnd w:id="13"/>
    <w:p>
      <w:pPr>
        <w:ind w:left="3020"/>
        <w:spacing w:after="0" w:line="343" w:lineRule="auto"/>
        <w:rPr>
          <w:sz w:val="20"/>
          <w:szCs w:val="20"/>
          <w:color w:val="auto"/>
        </w:rPr>
      </w:pPr>
      <w:r>
        <w:rPr>
          <w:rFonts w:ascii="Arial" w:cs="Arial" w:eastAsia="Arial" w:hAnsi="Arial"/>
          <w:sz w:val="19"/>
          <w:szCs w:val="19"/>
          <w:color w:val="auto"/>
        </w:rPr>
        <w:t>WATER CANADA GP LTD, on behalf of and in its capacity as general partner of CIVEO WATER CANADA EMPLOYEES LIMITED PARTNERSHIP</w:t>
      </w:r>
    </w:p>
    <w:p>
      <w:pPr>
        <w:spacing w:after="0" w:line="36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99" w:lineRule="exact"/>
        <w:rPr>
          <w:sz w:val="20"/>
          <w:szCs w:val="20"/>
          <w:color w:val="auto"/>
        </w:rPr>
      </w:pPr>
    </w:p>
    <w:p>
      <w:pPr>
        <w:ind w:left="3020"/>
        <w:spacing w:after="0" w:line="343" w:lineRule="auto"/>
        <w:rPr>
          <w:sz w:val="20"/>
          <w:szCs w:val="20"/>
          <w:color w:val="auto"/>
        </w:rPr>
      </w:pPr>
      <w:r>
        <w:rPr>
          <w:rFonts w:ascii="Arial" w:cs="Arial" w:eastAsia="Arial" w:hAnsi="Arial"/>
          <w:sz w:val="19"/>
          <w:szCs w:val="19"/>
          <w:color w:val="auto"/>
        </w:rPr>
        <w:t>PACIFIC CATERING GP LTD, on behalf of and in its capacity as general partner of CIVEO PACIFIC CATERING EMPLOYEES LIMITED PARTNERSHIP</w:t>
      </w:r>
    </w:p>
    <w:p>
      <w:pPr>
        <w:spacing w:after="0" w:line="36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99" w:lineRule="exact"/>
        <w:rPr>
          <w:sz w:val="20"/>
          <w:szCs w:val="20"/>
          <w:color w:val="auto"/>
        </w:rPr>
      </w:pPr>
    </w:p>
    <w:p>
      <w:pPr>
        <w:jc w:val="both"/>
        <w:ind w:left="3020" w:right="440"/>
        <w:spacing w:after="0" w:line="253" w:lineRule="auto"/>
        <w:rPr>
          <w:sz w:val="20"/>
          <w:szCs w:val="20"/>
          <w:color w:val="auto"/>
        </w:rPr>
      </w:pPr>
      <w:r>
        <w:rPr>
          <w:rFonts w:ascii="Arial" w:cs="Arial" w:eastAsia="Arial" w:hAnsi="Arial"/>
          <w:sz w:val="22"/>
          <w:szCs w:val="22"/>
          <w:color w:val="auto"/>
        </w:rPr>
        <w:t>CIVEO PREMIUM SERVICES GP LTD, on behalf of and in its capacity as general partner of CIVEO PREMIUM SERVICES EMPLOYEES LIMITED PARTNERSHIP</w:t>
      </w:r>
    </w:p>
    <w:p>
      <w:pPr>
        <w:spacing w:after="0" w:line="200" w:lineRule="exact"/>
        <w:rPr>
          <w:sz w:val="20"/>
          <w:szCs w:val="20"/>
          <w:color w:val="auto"/>
        </w:rPr>
      </w:pPr>
    </w:p>
    <w:p>
      <w:pPr>
        <w:spacing w:after="0" w:line="24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right="40"/>
        <w:spacing w:after="0" w:line="343" w:lineRule="auto"/>
        <w:rPr>
          <w:sz w:val="20"/>
          <w:szCs w:val="20"/>
          <w:color w:val="auto"/>
        </w:rPr>
      </w:pPr>
      <w:r>
        <w:rPr>
          <w:rFonts w:ascii="Arial" w:cs="Arial" w:eastAsia="Arial" w:hAnsi="Arial"/>
          <w:sz w:val="19"/>
          <w:szCs w:val="19"/>
          <w:color w:val="auto"/>
        </w:rPr>
        <w:t>INSTALLATIONS GP LTD, on behalf of and in its capacity as general partner of CIVEO INSTALLATIONS EMPLOYEES LIMITED PARTNERSHIP</w:t>
      </w:r>
    </w:p>
    <w:p>
      <w:pPr>
        <w:spacing w:after="0" w:line="36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8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10100"/>
          </w:cols>
          <w:pgMar w:left="1440" w:top="375" w:right="359" w:bottom="1440" w:gutter="0" w:footer="0" w:header="0"/>
        </w:sectPr>
      </w:pPr>
    </w:p>
    <w:bookmarkStart w:id="14" w:name="page15"/>
    <w:bookmarkEnd w:id="14"/>
    <w:p>
      <w:pPr>
        <w:ind w:left="3020" w:right="60"/>
        <w:spacing w:after="0" w:line="343" w:lineRule="auto"/>
        <w:rPr>
          <w:sz w:val="20"/>
          <w:szCs w:val="20"/>
          <w:color w:val="auto"/>
        </w:rPr>
      </w:pPr>
      <w:r>
        <w:rPr>
          <w:rFonts w:ascii="Arial" w:cs="Arial" w:eastAsia="Arial" w:hAnsi="Arial"/>
          <w:sz w:val="19"/>
          <w:szCs w:val="19"/>
          <w:color w:val="auto"/>
        </w:rPr>
        <w:t>CROWN SERVICES GP LTD, on behalf of and in its capacity as general partner of CIVEO CROWN SERVICES EMPLOYEES LIMITED PARTNERSHIP</w:t>
      </w:r>
    </w:p>
    <w:p>
      <w:pPr>
        <w:spacing w:after="0" w:line="36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spacing w:after="0" w:line="263" w:lineRule="auto"/>
        <w:rPr>
          <w:sz w:val="20"/>
          <w:szCs w:val="20"/>
          <w:color w:val="auto"/>
        </w:rPr>
      </w:pPr>
      <w:r>
        <w:rPr>
          <w:rFonts w:ascii="Arial" w:cs="Arial" w:eastAsia="Arial" w:hAnsi="Arial"/>
          <w:sz w:val="22"/>
          <w:szCs w:val="22"/>
          <w:color w:val="0A0A0A"/>
        </w:rPr>
        <w:t>CANADA GP LTD., on behalf of and in its capacity as general partner of CIVEO CANADA EMPLOYEES LIMITED PARTNERSHIP</w:t>
      </w:r>
    </w:p>
    <w:p>
      <w:pPr>
        <w:spacing w:after="0" w:line="200" w:lineRule="exact"/>
        <w:rPr>
          <w:sz w:val="20"/>
          <w:szCs w:val="20"/>
          <w:color w:val="auto"/>
        </w:rPr>
      </w:pPr>
    </w:p>
    <w:p>
      <w:pPr>
        <w:spacing w:after="0" w:line="23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Vice President and Director</w:t>
      </w:r>
    </w:p>
    <w:p>
      <w:pPr>
        <w:spacing w:after="0" w:line="200" w:lineRule="exact"/>
        <w:rPr>
          <w:sz w:val="20"/>
          <w:szCs w:val="20"/>
          <w:color w:val="auto"/>
        </w:rPr>
      </w:pPr>
    </w:p>
    <w:p>
      <w:pPr>
        <w:spacing w:after="0" w:line="299" w:lineRule="exact"/>
        <w:rPr>
          <w:sz w:val="20"/>
          <w:szCs w:val="20"/>
          <w:color w:val="auto"/>
        </w:rPr>
      </w:pPr>
    </w:p>
    <w:p>
      <w:pPr>
        <w:ind w:left="3020" w:right="540"/>
        <w:spacing w:after="0" w:line="253" w:lineRule="auto"/>
        <w:rPr>
          <w:sz w:val="20"/>
          <w:szCs w:val="20"/>
          <w:color w:val="auto"/>
        </w:rPr>
      </w:pPr>
      <w:r>
        <w:rPr>
          <w:rFonts w:ascii="Arial" w:cs="Arial" w:eastAsia="Arial" w:hAnsi="Arial"/>
          <w:sz w:val="22"/>
          <w:szCs w:val="22"/>
          <w:color w:val="0A0A0A"/>
        </w:rPr>
        <w:t>FORT MCMURRAY LODGE SERVICES GP LTD., on behalf of and in its capacity as general partner of FORT MCMURRAY LODGE SERVICES LIMITED PARTNERSHIP</w:t>
      </w:r>
    </w:p>
    <w:p>
      <w:pPr>
        <w:spacing w:after="0" w:line="200" w:lineRule="exact"/>
        <w:rPr>
          <w:sz w:val="20"/>
          <w:szCs w:val="20"/>
          <w:color w:val="auto"/>
        </w:rPr>
      </w:pPr>
    </w:p>
    <w:p>
      <w:pPr>
        <w:spacing w:after="0" w:line="24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 and President</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0B0B0B"/>
        </w:rPr>
        <w:t>CIVEO PROPERTY PTY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5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10100"/>
          </w:cols>
          <w:pgMar w:left="1440" w:top="375" w:right="359" w:bottom="1440" w:gutter="0" w:footer="0" w:header="0"/>
        </w:sectPr>
      </w:pPr>
    </w:p>
    <w:bookmarkStart w:id="15" w:name="page16"/>
    <w:bookmarkEnd w:id="15"/>
    <w:p>
      <w:pPr>
        <w:ind w:left="3020"/>
        <w:spacing w:after="0"/>
        <w:rPr>
          <w:sz w:val="20"/>
          <w:szCs w:val="20"/>
          <w:color w:val="auto"/>
        </w:rPr>
      </w:pPr>
      <w:r>
        <w:rPr>
          <w:rFonts w:ascii="Arial" w:cs="Arial" w:eastAsia="Arial" w:hAnsi="Arial"/>
          <w:sz w:val="22"/>
          <w:szCs w:val="22"/>
          <w:color w:val="0B0B0B"/>
        </w:rPr>
        <w:t>CIVEO LINEN PTY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5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CIVEO HOLDING COMPANY 2 PTY LTD.</w:t>
      </w:r>
    </w:p>
    <w:p>
      <w:pPr>
        <w:spacing w:after="0" w:line="200" w:lineRule="exact"/>
        <w:rPr>
          <w:sz w:val="20"/>
          <w:szCs w:val="20"/>
          <w:color w:val="auto"/>
        </w:rPr>
      </w:pPr>
    </w:p>
    <w:p>
      <w:pPr>
        <w:spacing w:after="0" w:line="276"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19"/>
          <w:szCs w:val="19"/>
          <w:u w:val="single" w:color="auto"/>
          <w:color w:val="auto"/>
        </w:rPr>
        <w:t>/s/</w:t>
      </w:r>
      <w:r>
        <w:rPr>
          <w:rFonts w:ascii="Arial" w:cs="Arial" w:eastAsia="Arial" w:hAnsi="Arial"/>
          <w:sz w:val="22"/>
          <w:szCs w:val="22"/>
          <w:color w:val="auto"/>
        </w:rPr>
        <w:t xml:space="preserve"> </w:t>
      </w:r>
      <w:r>
        <w:rPr>
          <w:rFonts w:ascii="Arial" w:cs="Arial" w:eastAsia="Arial" w:hAnsi="Arial"/>
          <w:sz w:val="22"/>
          <w:szCs w:val="22"/>
          <w:u w:val="single" w:color="auto"/>
          <w:color w:val="auto"/>
        </w:rPr>
        <w:t>Frank C. Steininger</w:t>
      </w:r>
      <w:r>
        <w:rPr>
          <w:rFonts w:ascii="Arial" w:cs="Arial" w:eastAsia="Arial" w:hAnsi="Arial"/>
          <w:sz w:val="19"/>
          <w:szCs w:val="19"/>
          <w:u w:val="single" w:color="auto"/>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Frank C. Steininger</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5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Bradley J. Dodson</w:t>
      </w:r>
      <w:r>
        <w:rPr>
          <w:rFonts w:ascii="Arial" w:cs="Arial" w:eastAsia="Arial" w:hAnsi="Arial"/>
          <w:sz w:val="22"/>
          <w:szCs w:val="22"/>
          <w:color w:val="auto"/>
        </w:rPr>
        <w:t>_____________</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375" w:right="1440" w:bottom="1440" w:gutter="0" w:footer="0" w:header="0"/>
        </w:sectPr>
      </w:pPr>
    </w:p>
    <w:bookmarkStart w:id="16" w:name="page17"/>
    <w:bookmarkEnd w:id="16"/>
    <w:p>
      <w:pPr>
        <w:ind w:left="3340"/>
        <w:spacing w:after="0"/>
        <w:rPr>
          <w:sz w:val="20"/>
          <w:szCs w:val="20"/>
          <w:color w:val="auto"/>
        </w:rPr>
      </w:pPr>
      <w:r>
        <w:rPr>
          <w:rFonts w:ascii="Arial" w:cs="Arial" w:eastAsia="Arial" w:hAnsi="Arial"/>
          <w:sz w:val="20"/>
          <w:szCs w:val="20"/>
          <w:color w:val="auto"/>
        </w:rPr>
        <w:t>ROYAL BANK OF CANADA,</w:t>
      </w:r>
    </w:p>
    <w:p>
      <w:pPr>
        <w:spacing w:after="0" w:line="16" w:lineRule="exact"/>
        <w:rPr>
          <w:sz w:val="20"/>
          <w:szCs w:val="20"/>
          <w:color w:val="auto"/>
        </w:rPr>
      </w:pPr>
    </w:p>
    <w:p>
      <w:pPr>
        <w:ind w:left="2700"/>
        <w:spacing w:after="0" w:line="244" w:lineRule="auto"/>
        <w:rPr>
          <w:sz w:val="20"/>
          <w:szCs w:val="20"/>
          <w:color w:val="auto"/>
        </w:rPr>
      </w:pPr>
      <w:r>
        <w:rPr>
          <w:rFonts w:ascii="Arial" w:cs="Arial" w:eastAsia="Arial" w:hAnsi="Arial"/>
          <w:sz w:val="20"/>
          <w:szCs w:val="20"/>
          <w:color w:val="auto"/>
        </w:rPr>
        <w:t>as Administrative Agent, U.S. Collateral Agent, Canadian Administrative Agent and Canadian Collateral Agent</w:t>
      </w:r>
    </w:p>
    <w:p>
      <w:pPr>
        <w:spacing w:after="0" w:line="200" w:lineRule="exact"/>
        <w:rPr>
          <w:sz w:val="20"/>
          <w:szCs w:val="20"/>
          <w:color w:val="auto"/>
        </w:rPr>
      </w:pPr>
    </w:p>
    <w:p>
      <w:pPr>
        <w:spacing w:after="0" w:line="32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Helena Sadowski</w:t>
      </w:r>
      <w:r>
        <w:rPr>
          <w:rFonts w:ascii="Arial" w:cs="Arial" w:eastAsia="Arial" w:hAnsi="Arial"/>
          <w:sz w:val="20"/>
          <w:szCs w:val="20"/>
          <w:color w:val="auto"/>
        </w:rPr>
        <w:t>__________________</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Helena Sadowski</w:t>
      </w:r>
    </w:p>
    <w:p>
      <w:pPr>
        <w:ind w:left="2700"/>
        <w:spacing w:after="0"/>
        <w:rPr>
          <w:sz w:val="20"/>
          <w:szCs w:val="20"/>
          <w:color w:val="auto"/>
        </w:rPr>
      </w:pPr>
      <w:r>
        <w:rPr>
          <w:rFonts w:ascii="Arial" w:cs="Arial" w:eastAsia="Arial" w:hAnsi="Arial"/>
          <w:sz w:val="20"/>
          <w:szCs w:val="20"/>
          <w:color w:val="auto"/>
        </w:rPr>
        <w:t>Title: Manager,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10200"/>
          </w:cols>
          <w:pgMar w:left="1440" w:top="528" w:right="259" w:bottom="1440" w:gutter="0" w:footer="0" w:header="0"/>
        </w:sectPr>
      </w:pPr>
    </w:p>
    <w:bookmarkStart w:id="17" w:name="page18"/>
    <w:bookmarkEnd w:id="17"/>
    <w:p>
      <w:pPr>
        <w:ind w:left="3340"/>
        <w:spacing w:after="0"/>
        <w:rPr>
          <w:sz w:val="20"/>
          <w:szCs w:val="20"/>
          <w:color w:val="auto"/>
        </w:rPr>
      </w:pPr>
      <w:r>
        <w:rPr>
          <w:rFonts w:ascii="Arial" w:cs="Arial" w:eastAsia="Arial" w:hAnsi="Arial"/>
          <w:sz w:val="20"/>
          <w:szCs w:val="20"/>
          <w:color w:val="auto"/>
        </w:rPr>
        <w:t>RBC EUROPE LIMITED,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as Australian Administrative Agent, Australian Collateral Agent and an Issuing Lender</w:t>
      </w:r>
    </w:p>
    <w:p>
      <w:pPr>
        <w:spacing w:after="0" w:line="200" w:lineRule="exact"/>
        <w:rPr>
          <w:sz w:val="20"/>
          <w:szCs w:val="20"/>
          <w:color w:val="auto"/>
        </w:rPr>
      </w:pPr>
    </w:p>
    <w:p>
      <w:pPr>
        <w:spacing w:after="0" w:line="33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Simon Hilton</w:t>
      </w:r>
      <w:r>
        <w:rPr>
          <w:rFonts w:ascii="Arial" w:cs="Arial" w:eastAsia="Arial" w:hAnsi="Arial"/>
          <w:sz w:val="20"/>
          <w:szCs w:val="20"/>
          <w:color w:val="auto"/>
        </w:rPr>
        <w:t>______________________</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Simon Hilton</w:t>
      </w:r>
    </w:p>
    <w:p>
      <w:pPr>
        <w:ind w:left="2700"/>
        <w:spacing w:after="0"/>
        <w:rPr>
          <w:sz w:val="20"/>
          <w:szCs w:val="20"/>
          <w:color w:val="auto"/>
        </w:rPr>
      </w:pPr>
      <w:r>
        <w:rPr>
          <w:rFonts w:ascii="Arial" w:cs="Arial" w:eastAsia="Arial" w:hAnsi="Arial"/>
          <w:sz w:val="20"/>
          <w:szCs w:val="20"/>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600"/>
          </w:cols>
          <w:pgMar w:left="1440" w:top="528" w:right="859" w:bottom="1440" w:gutter="0" w:footer="0" w:header="0"/>
        </w:sectPr>
      </w:pPr>
    </w:p>
    <w:bookmarkStart w:id="18" w:name="page19"/>
    <w:bookmarkEnd w:id="18"/>
    <w:p>
      <w:pPr>
        <w:ind w:left="2700" w:firstLine="648"/>
        <w:spacing w:after="0" w:line="260" w:lineRule="auto"/>
        <w:rPr>
          <w:sz w:val="20"/>
          <w:szCs w:val="20"/>
          <w:color w:val="auto"/>
        </w:rPr>
      </w:pPr>
      <w:r>
        <w:rPr>
          <w:rFonts w:ascii="Arial" w:cs="Arial" w:eastAsia="Arial" w:hAnsi="Arial"/>
          <w:sz w:val="20"/>
          <w:szCs w:val="20"/>
          <w:color w:val="auto"/>
        </w:rPr>
        <w:t>ROYAL BANK OF CANADA, as a U.S. Lender, the U.S. Swing Line Lender and an Issuing Bank</w:t>
      </w:r>
    </w:p>
    <w:p>
      <w:pPr>
        <w:spacing w:after="0" w:line="200" w:lineRule="exact"/>
        <w:rPr>
          <w:sz w:val="20"/>
          <w:szCs w:val="20"/>
          <w:color w:val="auto"/>
        </w:rPr>
      </w:pPr>
    </w:p>
    <w:p>
      <w:pPr>
        <w:spacing w:after="0" w:line="3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Jay T. Sartain______________________</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Jay T. Sartain</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10120"/>
          </w:cols>
          <w:pgMar w:left="1440" w:top="528" w:right="339" w:bottom="1440" w:gutter="0" w:footer="0" w:header="0"/>
        </w:sectPr>
      </w:pPr>
    </w:p>
    <w:bookmarkStart w:id="19" w:name="page20"/>
    <w:bookmarkEnd w:id="19"/>
    <w:p>
      <w:pPr>
        <w:ind w:left="2700"/>
        <w:spacing w:after="0" w:line="260" w:lineRule="auto"/>
        <w:rPr>
          <w:sz w:val="20"/>
          <w:szCs w:val="20"/>
          <w:color w:val="auto"/>
        </w:rPr>
      </w:pPr>
      <w:r>
        <w:rPr>
          <w:rFonts w:ascii="Arial" w:cs="Arial" w:eastAsia="Arial" w:hAnsi="Arial"/>
          <w:sz w:val="20"/>
          <w:szCs w:val="20"/>
          <w:color w:val="auto"/>
        </w:rPr>
        <w:t>ROYAL BANK OF CANADA, as a Canadian Lender, the Canadian Swing Line Lender and an Issuing Bank</w:t>
      </w:r>
    </w:p>
    <w:p>
      <w:pPr>
        <w:spacing w:after="0" w:line="200" w:lineRule="exact"/>
        <w:rPr>
          <w:sz w:val="20"/>
          <w:szCs w:val="20"/>
          <w:color w:val="auto"/>
        </w:rPr>
      </w:pP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Bryn Davies</w:t>
      </w:r>
      <w:r>
        <w:rPr>
          <w:rFonts w:ascii="Arial" w:cs="Arial" w:eastAsia="Arial" w:hAnsi="Arial"/>
          <w:sz w:val="20"/>
          <w:szCs w:val="20"/>
          <w:color w:val="auto"/>
        </w:rPr>
        <w:t>_______________________</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Bryn Davies</w:t>
      </w:r>
    </w:p>
    <w:p>
      <w:pPr>
        <w:ind w:left="27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10020"/>
          </w:cols>
          <w:pgMar w:left="1440" w:top="528" w:right="439" w:bottom="1440" w:gutter="0" w:footer="0" w:header="0"/>
        </w:sectPr>
      </w:pPr>
    </w:p>
    <w:bookmarkStart w:id="20" w:name="page21"/>
    <w:bookmarkEnd w:id="20"/>
    <w:p>
      <w:pPr>
        <w:jc w:val="right"/>
        <w:ind w:right="199"/>
        <w:spacing w:after="0"/>
        <w:rPr>
          <w:sz w:val="20"/>
          <w:szCs w:val="20"/>
          <w:color w:val="auto"/>
        </w:rPr>
      </w:pPr>
      <w:r>
        <w:rPr>
          <w:rFonts w:ascii="Arial" w:cs="Arial" w:eastAsia="Arial" w:hAnsi="Arial"/>
          <w:sz w:val="20"/>
          <w:szCs w:val="20"/>
          <w:color w:val="auto"/>
        </w:rPr>
        <w:t>ROYAL BANK OF CANADA, as an Australian Lender and an Issuing Bank</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Marcus Rayment</w:t>
      </w:r>
      <w:r>
        <w:rPr>
          <w:rFonts w:ascii="Arial" w:cs="Arial" w:eastAsia="Arial" w:hAnsi="Arial"/>
          <w:sz w:val="20"/>
          <w:szCs w:val="20"/>
          <w:color w:val="auto"/>
        </w:rPr>
        <w:t>_ __________________</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Marcus Rayment</w:t>
      </w:r>
    </w:p>
    <w:p>
      <w:pPr>
        <w:ind w:left="2700"/>
        <w:spacing w:after="0"/>
        <w:rPr>
          <w:sz w:val="20"/>
          <w:szCs w:val="20"/>
          <w:color w:val="auto"/>
        </w:rPr>
      </w:pPr>
      <w:r>
        <w:rPr>
          <w:rFonts w:ascii="Arial" w:cs="Arial" w:eastAsia="Arial" w:hAnsi="Arial"/>
          <w:sz w:val="20"/>
          <w:szCs w:val="20"/>
          <w:color w:val="auto"/>
        </w:rPr>
        <w:t>Title: 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87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color w:val="auto"/>
        </w:rPr>
        <w:t>THE BANK OF NOVA SCOTIA, as a Canadian Lender and an Issuing Bank</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Scott Nickel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82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Scott Nickel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380"/>
          </w:cols>
          <w:pgMar w:left="1440" w:top="888" w:right="1079" w:bottom="1440" w:gutter="0" w:footer="0" w:header="0"/>
        </w:sectPr>
      </w:pPr>
    </w:p>
    <w:bookmarkStart w:id="22" w:name="page23"/>
    <w:bookmarkEnd w:id="22"/>
    <w:p>
      <w:pPr>
        <w:ind w:left="2700"/>
        <w:spacing w:after="0"/>
        <w:rPr>
          <w:sz w:val="20"/>
          <w:szCs w:val="20"/>
          <w:color w:val="auto"/>
        </w:rPr>
      </w:pPr>
      <w:r>
        <w:rPr>
          <w:rFonts w:ascii="Arial" w:cs="Arial" w:eastAsia="Arial" w:hAnsi="Arial"/>
          <w:sz w:val="22"/>
          <w:szCs w:val="22"/>
          <w:color w:val="auto"/>
        </w:rPr>
        <w:t>BNS ASIA LIMITED, as an Australian Lender</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Mark Levia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44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488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Mark Levia</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 Director, Head of Execution &amp; Head of BNSAL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780" w:right="1440" w:bottom="1440" w:gutter="0" w:footer="0" w:header="0"/>
        </w:sectPr>
      </w:pPr>
    </w:p>
    <w:bookmarkStart w:id="23" w:name="page24"/>
    <w:bookmarkEnd w:id="23"/>
    <w:p>
      <w:pPr>
        <w:ind w:left="2700"/>
        <w:spacing w:after="0"/>
        <w:rPr>
          <w:sz w:val="20"/>
          <w:szCs w:val="20"/>
          <w:color w:val="auto"/>
        </w:rPr>
      </w:pPr>
      <w:r>
        <w:rPr>
          <w:rFonts w:ascii="Arial" w:cs="Arial" w:eastAsia="Arial" w:hAnsi="Arial"/>
          <w:sz w:val="22"/>
          <w:szCs w:val="22"/>
          <w:color w:val="auto"/>
        </w:rPr>
        <w:t>HSBC BANK CANADA, as a Canadian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Ryan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47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Ryan Smith</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Assistant Vice President, Energy Financing</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Bruce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89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Bruce Robinson</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Vice President, Energy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780" w:right="1440" w:bottom="1440" w:gutter="0" w:footer="0" w:header="0"/>
        </w:sectPr>
      </w:pPr>
    </w:p>
    <w:bookmarkStart w:id="24" w:name="page25"/>
    <w:bookmarkEnd w:id="24"/>
    <w:p>
      <w:pPr>
        <w:ind w:left="2700"/>
        <w:spacing w:after="0" w:line="253" w:lineRule="auto"/>
        <w:rPr>
          <w:sz w:val="20"/>
          <w:szCs w:val="20"/>
          <w:color w:val="auto"/>
        </w:rPr>
      </w:pPr>
      <w:r>
        <w:rPr>
          <w:rFonts w:ascii="Arial" w:cs="Arial" w:eastAsia="Arial" w:hAnsi="Arial"/>
          <w:sz w:val="22"/>
          <w:szCs w:val="22"/>
          <w:color w:val="auto"/>
        </w:rPr>
        <w:t>For and on behalf of THE HONGKONG AND SHANGHAI BANKING CORPORATION LIMITED, SYDNEY BRANCH by its duly authorised attorney pursuant to a power of attorney in the presence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Robert 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13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346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Robert Agati</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Albert Kin Cheung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737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799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Albert Kin Cheung Leung</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Asst.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780"/>
          </w:cols>
          <w:pgMar w:left="1440" w:top="888" w:right="67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color w:val="auto"/>
        </w:rPr>
        <w:t>THE TORONTO-DOMINION BANK, as a Canadian Lender and an Issuing Bank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Vanessa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03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Vanessa Cheung</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Director, Commercial National Accounts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Ian M.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963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Ian M. McGuire</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Manager of Commercial Credit, National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840"/>
          </w:cols>
          <w:pgMar w:left="1440" w:top="888" w:right="619" w:bottom="1440" w:gutter="0" w:footer="0" w:header="0"/>
        </w:sectPr>
      </w:pPr>
    </w:p>
    <w:bookmarkStart w:id="26" w:name="page27"/>
    <w:bookmarkEnd w:id="26"/>
    <w:p>
      <w:pPr>
        <w:jc w:val="right"/>
        <w:ind w:right="1219"/>
        <w:spacing w:after="0"/>
        <w:rPr>
          <w:sz w:val="20"/>
          <w:szCs w:val="20"/>
          <w:color w:val="auto"/>
        </w:rPr>
      </w:pPr>
      <w:r>
        <w:rPr>
          <w:rFonts w:ascii="Arial" w:cs="Arial" w:eastAsia="Arial" w:hAnsi="Arial"/>
          <w:sz w:val="22"/>
          <w:szCs w:val="22"/>
          <w:color w:val="auto"/>
        </w:rPr>
        <w:t>TORONTO-DOMINION (TEXAS) LLC, as a U.S.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Pradeep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35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538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Pradeep Mehra</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888"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color w:val="auto"/>
        </w:rPr>
        <w:t>NATIONAL BANK OF CANADA, as a Canadian Lender and an Australian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Jason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74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Jason Anderson</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Director, Energy Services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Darrell Stelmack</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Director, Energy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980"/>
          </w:cols>
          <w:pgMar w:left="1440" w:top="1361" w:right="479" w:bottom="1440" w:gutter="0" w:footer="0" w:header="0"/>
        </w:sectPr>
      </w:pPr>
    </w:p>
    <w:bookmarkStart w:id="28" w:name="page29"/>
    <w:bookmarkEnd w:id="28"/>
    <w:p>
      <w:pPr>
        <w:jc w:val="center"/>
        <w:ind w:right="179"/>
        <w:spacing w:after="0"/>
        <w:rPr>
          <w:sz w:val="20"/>
          <w:szCs w:val="20"/>
          <w:color w:val="auto"/>
        </w:rPr>
      </w:pPr>
      <w:r>
        <w:rPr>
          <w:rFonts w:ascii="Arial" w:cs="Arial" w:eastAsia="Arial" w:hAnsi="Arial"/>
          <w:sz w:val="22"/>
          <w:szCs w:val="22"/>
          <w:color w:val="auto"/>
        </w:rPr>
        <w:t>ATB FINANCIAL, as Canadian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Neil Ternovatsky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47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Neil Ternovatsky</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Jeffrey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65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520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Jeffrey Lam</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Porfolio Manager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780"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color w:val="auto"/>
        </w:rPr>
        <w:t>WELLS FARGO BANK N.A., CANADIAN BRANCH, as Canadian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Lindy Couillard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81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173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Lindy Couillard</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Director, Wells Fargo Corporate Banking</w:t>
      </w:r>
    </w:p>
    <w:p>
      <w:pPr>
        <w:spacing w:after="0" w:line="200" w:lineRule="exact"/>
        <w:rPr>
          <w:sz w:val="20"/>
          <w:szCs w:val="20"/>
          <w:color w:val="auto"/>
        </w:rPr>
      </w:pPr>
    </w:p>
    <w:p>
      <w:pPr>
        <w:spacing w:after="0" w:line="28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360"/>
          </w:cols>
          <w:pgMar w:left="1440" w:top="780" w:right="109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t>WELLS FARGO BANK, NATIONAL ASSOCIATION, as an Australian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Kevin M.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87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Kevin M. Davidson</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700"/>
          </w:cols>
          <w:pgMar w:left="1440" w:top="780" w:right="759"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22"/>
          <w:szCs w:val="22"/>
          <w:color w:val="auto"/>
        </w:rPr>
        <w:t>SUMITOMO MITSUI BANKING CORPORATION, as a U.S.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Toshitake Funaki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47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Toshitake Funaki</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780" w:right="1440" w:bottom="1440" w:gutter="0" w:footer="0" w:header="0"/>
        </w:sectPr>
      </w:pPr>
    </w:p>
    <w:bookmarkStart w:id="32" w:name="page33"/>
    <w:bookmarkEnd w:id="32"/>
    <w:p>
      <w:pPr>
        <w:ind w:left="2700"/>
        <w:spacing w:after="0" w:line="263" w:lineRule="auto"/>
        <w:rPr>
          <w:sz w:val="20"/>
          <w:szCs w:val="20"/>
          <w:color w:val="auto"/>
        </w:rPr>
      </w:pPr>
      <w:r>
        <w:rPr>
          <w:rFonts w:ascii="Arial" w:cs="Arial" w:eastAsia="Arial" w:hAnsi="Arial"/>
          <w:sz w:val="22"/>
          <w:szCs w:val="22"/>
          <w:color w:val="auto"/>
        </w:rPr>
        <w:t>SUMITOMO MITSUI BANKING CORPORATION, CANADA BRANCH, as a Canadian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Alfred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899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9916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Alfred Lee</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Signature Page to First Amendment to Amended and Restated Syndicated Facility Agreement</w:t>
      </w:r>
    </w:p>
    <w:p>
      <w:pPr>
        <w:sectPr>
          <w:pgSz w:w="11900" w:h="16838" w:orient="portrait"/>
          <w:cols w:equalWidth="0" w:num="1">
            <w:col w:w="9720"/>
          </w:cols>
          <w:pgMar w:left="1440" w:top="780" w:right="739" w:bottom="1440" w:gutter="0" w:footer="0" w:header="0"/>
        </w:sectPr>
      </w:pPr>
    </w:p>
    <w:bookmarkStart w:id="33" w:name="page34"/>
    <w:bookmarkEnd w:id="33"/>
    <w:p>
      <w:pPr>
        <w:jc w:val="right"/>
        <w:ind w:right="1459"/>
        <w:spacing w:after="0"/>
        <w:rPr>
          <w:sz w:val="20"/>
          <w:szCs w:val="20"/>
          <w:color w:val="auto"/>
        </w:rPr>
      </w:pPr>
      <w:r>
        <w:rPr>
          <w:rFonts w:ascii="Arial" w:cs="Arial" w:eastAsia="Arial" w:hAnsi="Arial"/>
          <w:sz w:val="22"/>
          <w:szCs w:val="22"/>
          <w:color w:val="auto"/>
        </w:rPr>
        <w:t>CANADIAN WESTERN BANK, as a Canadian Lender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/s/Kuno Ryckborst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64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Kuno Ryckborst</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Title: Senior Manager, Energy &amp; Corporate Banking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Dean Proctor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28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Dean Proctor</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Title: Vice President and Branch Manager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First Amendment to Amended and Restated Syndicated Facility Agreement</w:t>
      </w:r>
    </w:p>
    <w:p>
      <w:pPr>
        <w:sectPr>
          <w:pgSz w:w="11900" w:h="16838" w:orient="portrait"/>
          <w:cols w:equalWidth="0" w:num="1">
            <w:col w:w="9019"/>
          </w:cols>
          <w:pgMar w:left="1440" w:top="780" w:right="1440"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40" w:type="dxa"/>
            <w:vAlign w:val="bottom"/>
            <w:gridSpan w:val="6"/>
          </w:tcPr>
          <w:p>
            <w:pPr>
              <w:jc w:val="center"/>
              <w:ind w:right="5320"/>
              <w:spacing w:after="0"/>
              <w:rPr>
                <w:sz w:val="20"/>
                <w:szCs w:val="20"/>
                <w:color w:val="auto"/>
              </w:rPr>
            </w:pPr>
            <w:r>
              <w:rPr>
                <w:rFonts w:ascii="Arial" w:cs="Arial" w:eastAsia="Arial" w:hAnsi="Arial"/>
                <w:sz w:val="20"/>
                <w:szCs w:val="20"/>
                <w:b w:val="1"/>
                <w:bCs w:val="1"/>
                <w:color w:val="auto"/>
              </w:rPr>
              <w:t>ANNEX I</w:t>
            </w: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84"/>
        </w:trPr>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0" w:type="dxa"/>
            <w:vAlign w:val="bottom"/>
            <w:gridSpan w:val="8"/>
          </w:tcPr>
          <w:p>
            <w:pPr>
              <w:jc w:val="center"/>
              <w:ind w:right="4240"/>
              <w:spacing w:after="0"/>
              <w:rPr>
                <w:sz w:val="20"/>
                <w:szCs w:val="20"/>
                <w:color w:val="auto"/>
              </w:rPr>
            </w:pPr>
            <w:r>
              <w:rPr>
                <w:rFonts w:ascii="Arial" w:cs="Arial" w:eastAsia="Arial" w:hAnsi="Arial"/>
                <w:sz w:val="20"/>
                <w:szCs w:val="20"/>
                <w:b w:val="1"/>
                <w:bCs w:val="1"/>
                <w:color w:val="auto"/>
                <w:w w:val="95"/>
              </w:rPr>
              <w:t>SCHEDULE 2.04</w:t>
            </w:r>
          </w:p>
        </w:tc>
      </w:tr>
      <w:tr>
        <w:trPr>
          <w:trHeight w:val="428"/>
        </w:trPr>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b w:val="1"/>
                <w:bCs w:val="1"/>
                <w:color w:val="auto"/>
                <w:w w:val="92"/>
              </w:rPr>
              <w:t>Amortization</w:t>
            </w:r>
          </w:p>
        </w:tc>
        <w:tc>
          <w:tcPr>
            <w:tcW w:w="5100" w:type="dxa"/>
            <w:vAlign w:val="bottom"/>
            <w:gridSpan w:val="3"/>
          </w:tcPr>
          <w:p>
            <w:pPr>
              <w:spacing w:after="0"/>
              <w:rPr>
                <w:sz w:val="24"/>
                <w:szCs w:val="24"/>
                <w:color w:val="auto"/>
              </w:rPr>
            </w:pPr>
          </w:p>
        </w:tc>
      </w:tr>
      <w:tr>
        <w:trPr>
          <w:trHeight w:val="544"/>
        </w:trPr>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0" w:type="dxa"/>
            <w:vAlign w:val="bottom"/>
            <w:gridSpan w:val="8"/>
          </w:tcPr>
          <w:p>
            <w:pPr>
              <w:jc w:val="center"/>
              <w:ind w:right="4240"/>
              <w:spacing w:after="0"/>
              <w:rPr>
                <w:sz w:val="20"/>
                <w:szCs w:val="20"/>
                <w:color w:val="auto"/>
              </w:rPr>
            </w:pPr>
            <w:r>
              <w:rPr>
                <w:rFonts w:ascii="Arial" w:cs="Arial" w:eastAsia="Arial" w:hAnsi="Arial"/>
                <w:sz w:val="22"/>
                <w:szCs w:val="22"/>
                <w:i w:val="1"/>
                <w:iCs w:val="1"/>
                <w:color w:val="auto"/>
                <w:w w:val="88"/>
              </w:rPr>
              <w:t>Canadian Term Loans</w:t>
            </w:r>
          </w:p>
        </w:tc>
      </w:tr>
      <w:tr>
        <w:trPr>
          <w:trHeight w:val="382"/>
        </w:trPr>
        <w:tc>
          <w:tcPr>
            <w:tcW w:w="266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1160" w:type="dxa"/>
            <w:vAlign w:val="bottom"/>
            <w:tcBorders>
              <w:bottom w:val="single" w:sz="8" w:color="00000A"/>
            </w:tcBorders>
          </w:tcPr>
          <w:p>
            <w:pPr>
              <w:spacing w:after="0"/>
              <w:rPr>
                <w:sz w:val="24"/>
                <w:szCs w:val="24"/>
                <w:color w:val="auto"/>
              </w:rPr>
            </w:pP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188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2500" w:type="dxa"/>
            <w:vAlign w:val="bottom"/>
            <w:tcBorders>
              <w:bottom w:val="single" w:sz="8" w:color="00000A"/>
            </w:tcBorders>
          </w:tcPr>
          <w:p>
            <w:pPr>
              <w:spacing w:after="0"/>
              <w:rPr>
                <w:sz w:val="24"/>
                <w:szCs w:val="24"/>
                <w:color w:val="auto"/>
              </w:rPr>
            </w:pPr>
          </w:p>
        </w:tc>
      </w:tr>
      <w:tr>
        <w:trPr>
          <w:trHeight w:val="223"/>
        </w:trPr>
        <w:tc>
          <w:tcPr>
            <w:tcW w:w="4240" w:type="dxa"/>
            <w:vAlign w:val="bottom"/>
            <w:tcBorders>
              <w:left w:val="single" w:sz="8" w:color="00000A"/>
            </w:tcBorders>
            <w:gridSpan w:val="3"/>
          </w:tcPr>
          <w:p>
            <w:pPr>
              <w:jc w:val="center"/>
              <w:ind w:left="1392"/>
              <w:spacing w:after="0" w:line="223" w:lineRule="exact"/>
              <w:rPr>
                <w:sz w:val="20"/>
                <w:szCs w:val="20"/>
                <w:color w:val="auto"/>
              </w:rPr>
            </w:pPr>
            <w:r>
              <w:rPr>
                <w:rFonts w:ascii="Arial" w:cs="Arial" w:eastAsia="Arial" w:hAnsi="Arial"/>
                <w:sz w:val="22"/>
                <w:szCs w:val="22"/>
                <w:color w:val="auto"/>
                <w:w w:val="90"/>
              </w:rPr>
              <w:t>Date</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right w:val="single" w:sz="8" w:color="00000A"/>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00" w:type="dxa"/>
            <w:vAlign w:val="bottom"/>
            <w:tcBorders>
              <w:right w:val="single" w:sz="8" w:color="00000A"/>
            </w:tcBorders>
            <w:gridSpan w:val="3"/>
          </w:tcPr>
          <w:p>
            <w:pPr>
              <w:jc w:val="center"/>
              <w:ind w:right="620"/>
              <w:spacing w:after="0" w:line="223" w:lineRule="exact"/>
              <w:rPr>
                <w:sz w:val="20"/>
                <w:szCs w:val="20"/>
                <w:color w:val="auto"/>
              </w:rPr>
            </w:pPr>
            <w:r>
              <w:rPr>
                <w:rFonts w:ascii="Arial" w:cs="Arial" w:eastAsia="Arial" w:hAnsi="Arial"/>
                <w:sz w:val="22"/>
                <w:szCs w:val="22"/>
                <w:color w:val="auto"/>
                <w:w w:val="94"/>
              </w:rPr>
              <w:t>Amount</w:t>
            </w:r>
          </w:p>
        </w:tc>
      </w:tr>
      <w:tr>
        <w:trPr>
          <w:trHeight w:val="48"/>
        </w:trPr>
        <w:tc>
          <w:tcPr>
            <w:tcW w:w="2660" w:type="dxa"/>
            <w:vAlign w:val="bottom"/>
            <w:tcBorders>
              <w:left w:val="single" w:sz="8" w:color="00000A"/>
              <w:bottom w:val="single" w:sz="8" w:color="00000A"/>
            </w:tcBorders>
          </w:tcPr>
          <w:p>
            <w:pPr>
              <w:spacing w:after="0"/>
              <w:rPr>
                <w:sz w:val="4"/>
                <w:szCs w:val="4"/>
                <w:color w:val="auto"/>
              </w:rPr>
            </w:pPr>
          </w:p>
        </w:tc>
        <w:tc>
          <w:tcPr>
            <w:tcW w:w="420" w:type="dxa"/>
            <w:vAlign w:val="bottom"/>
            <w:tcBorders>
              <w:top w:val="single" w:sz="8" w:color="auto"/>
              <w:bottom w:val="single" w:sz="8" w:color="00000A"/>
            </w:tcBorders>
          </w:tcPr>
          <w:p>
            <w:pPr>
              <w:spacing w:after="0"/>
              <w:rPr>
                <w:sz w:val="4"/>
                <w:szCs w:val="4"/>
                <w:color w:val="auto"/>
              </w:rPr>
            </w:pPr>
          </w:p>
        </w:tc>
        <w:tc>
          <w:tcPr>
            <w:tcW w:w="1160" w:type="dxa"/>
            <w:vAlign w:val="bottom"/>
            <w:tcBorders>
              <w:bottom w:val="single" w:sz="8" w:color="00000A"/>
            </w:tcBorders>
          </w:tcPr>
          <w:p>
            <w:pPr>
              <w:spacing w:after="0"/>
              <w:rPr>
                <w:sz w:val="4"/>
                <w:szCs w:val="4"/>
                <w:color w:val="auto"/>
              </w:rPr>
            </w:pPr>
          </w:p>
        </w:tc>
        <w:tc>
          <w:tcPr>
            <w:tcW w:w="860" w:type="dxa"/>
            <w:vAlign w:val="bottom"/>
            <w:tcBorders>
              <w:bottom w:val="single" w:sz="8" w:color="00000A"/>
            </w:tcBorders>
          </w:tcPr>
          <w:p>
            <w:pPr>
              <w:spacing w:after="0"/>
              <w:rPr>
                <w:sz w:val="4"/>
                <w:szCs w:val="4"/>
                <w:color w:val="auto"/>
              </w:rPr>
            </w:pPr>
          </w:p>
        </w:tc>
        <w:tc>
          <w:tcPr>
            <w:tcW w:w="200" w:type="dxa"/>
            <w:vAlign w:val="bottom"/>
            <w:tcBorders>
              <w:bottom w:val="single" w:sz="8" w:color="00000A"/>
            </w:tcBorders>
          </w:tcPr>
          <w:p>
            <w:pPr>
              <w:spacing w:after="0"/>
              <w:rPr>
                <w:sz w:val="4"/>
                <w:szCs w:val="4"/>
                <w:color w:val="auto"/>
              </w:rPr>
            </w:pPr>
          </w:p>
        </w:tc>
        <w:tc>
          <w:tcPr>
            <w:tcW w:w="440" w:type="dxa"/>
            <w:vAlign w:val="bottom"/>
            <w:tcBorders>
              <w:bottom w:val="single" w:sz="8" w:color="00000A"/>
              <w:right w:val="single" w:sz="8" w:color="00000A"/>
            </w:tcBorders>
          </w:tcPr>
          <w:p>
            <w:pPr>
              <w:spacing w:after="0"/>
              <w:rPr>
                <w:sz w:val="4"/>
                <w:szCs w:val="4"/>
                <w:color w:val="auto"/>
              </w:rPr>
            </w:pPr>
          </w:p>
        </w:tc>
        <w:tc>
          <w:tcPr>
            <w:tcW w:w="380" w:type="dxa"/>
            <w:vAlign w:val="bottom"/>
            <w:tcBorders>
              <w:bottom w:val="single" w:sz="8" w:color="00000A"/>
            </w:tcBorders>
          </w:tcPr>
          <w:p>
            <w:pPr>
              <w:spacing w:after="0"/>
              <w:rPr>
                <w:sz w:val="4"/>
                <w:szCs w:val="4"/>
                <w:color w:val="auto"/>
              </w:rPr>
            </w:pPr>
          </w:p>
        </w:tc>
        <w:tc>
          <w:tcPr>
            <w:tcW w:w="220" w:type="dxa"/>
            <w:vAlign w:val="bottom"/>
            <w:tcBorders>
              <w:bottom w:val="single" w:sz="8" w:color="00000A"/>
            </w:tcBorders>
          </w:tcPr>
          <w:p>
            <w:pPr>
              <w:spacing w:after="0"/>
              <w:rPr>
                <w:sz w:val="4"/>
                <w:szCs w:val="4"/>
                <w:color w:val="auto"/>
              </w:rPr>
            </w:pPr>
          </w:p>
        </w:tc>
        <w:tc>
          <w:tcPr>
            <w:tcW w:w="188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84"/>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June 30, 2018</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9"/>
              </w:rPr>
              <w:t>C$9,203,085.94</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September 30, 2018</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9"/>
              </w:rPr>
              <w:t>C$9,203,085.94</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December 31, 2018</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90"/>
              </w:rPr>
              <w:t>March 31, 2019</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June 30, 2019</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September 30, 2019</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December 31, 2019</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90"/>
              </w:rPr>
              <w:t>March 31, 2020</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June 30, 2020</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87"/>
              </w:rPr>
              <w:t>September 30, 2020</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20"/>
              <w:spacing w:after="0"/>
              <w:rPr>
                <w:sz w:val="20"/>
                <w:szCs w:val="20"/>
                <w:color w:val="auto"/>
              </w:rPr>
            </w:pPr>
            <w:r>
              <w:rPr>
                <w:rFonts w:ascii="Arial" w:cs="Arial" w:eastAsia="Arial" w:hAnsi="Arial"/>
                <w:sz w:val="22"/>
                <w:szCs w:val="22"/>
                <w:color w:val="auto"/>
                <w:w w:val="87"/>
              </w:rPr>
              <w:t>C$11,503,857.42</w:t>
            </w:r>
          </w:p>
        </w:tc>
      </w:tr>
      <w:tr>
        <w:trPr>
          <w:trHeight w:val="291"/>
        </w:trPr>
        <w:tc>
          <w:tcPr>
            <w:tcW w:w="4240" w:type="dxa"/>
            <w:vAlign w:val="bottom"/>
            <w:tcBorders>
              <w:left w:val="single" w:sz="8" w:color="00000A"/>
              <w:bottom w:val="single" w:sz="8" w:color="00000A"/>
            </w:tcBorders>
            <w:gridSpan w:val="3"/>
          </w:tcPr>
          <w:p>
            <w:pPr>
              <w:jc w:val="center"/>
              <w:ind w:left="1392"/>
              <w:spacing w:after="0"/>
              <w:rPr>
                <w:sz w:val="20"/>
                <w:szCs w:val="20"/>
                <w:color w:val="auto"/>
              </w:rPr>
            </w:pPr>
            <w:r>
              <w:rPr>
                <w:rFonts w:ascii="Arial" w:cs="Arial" w:eastAsia="Arial" w:hAnsi="Arial"/>
                <w:sz w:val="22"/>
                <w:szCs w:val="22"/>
                <w:color w:val="auto"/>
                <w:w w:val="93"/>
              </w:rPr>
              <w:t>Maturity Date</w:t>
            </w:r>
          </w:p>
        </w:tc>
        <w:tc>
          <w:tcPr>
            <w:tcW w:w="86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tcBorders>
          </w:tcPr>
          <w:p>
            <w:pPr>
              <w:spacing w:after="0"/>
              <w:rPr>
                <w:sz w:val="24"/>
                <w:szCs w:val="24"/>
                <w:color w:val="auto"/>
              </w:rPr>
            </w:pPr>
          </w:p>
        </w:tc>
        <w:tc>
          <w:tcPr>
            <w:tcW w:w="440" w:type="dxa"/>
            <w:vAlign w:val="bottom"/>
            <w:tcBorders>
              <w:bottom w:val="single" w:sz="8" w:color="00000A"/>
              <w:right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2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gridSpan w:val="3"/>
          </w:tcPr>
          <w:p>
            <w:pPr>
              <w:jc w:val="center"/>
              <w:ind w:right="640"/>
              <w:spacing w:after="0"/>
              <w:rPr>
                <w:sz w:val="20"/>
                <w:szCs w:val="20"/>
                <w:color w:val="auto"/>
              </w:rPr>
            </w:pPr>
            <w:r>
              <w:rPr>
                <w:rFonts w:ascii="Arial" w:cs="Arial" w:eastAsia="Arial" w:hAnsi="Arial"/>
                <w:sz w:val="22"/>
                <w:szCs w:val="22"/>
                <w:color w:val="auto"/>
                <w:w w:val="89"/>
              </w:rPr>
              <w:t>Remaining Balance</w:t>
            </w:r>
          </w:p>
        </w:tc>
      </w:tr>
    </w:tbl>
    <w:p>
      <w:pPr>
        <w:spacing w:after="0" w:line="1" w:lineRule="exact"/>
        <w:rPr>
          <w:sz w:val="20"/>
          <w:szCs w:val="20"/>
          <w:color w:val="auto"/>
        </w:rPr>
      </w:pPr>
    </w:p>
    <w:sectPr>
      <w:pgSz w:w="11900" w:h="16838" w:orient="portrait"/>
      <w:cols w:equalWidth="0" w:num="1">
        <w:col w:w="11440"/>
      </w:cols>
      <w:pgMar w:left="240" w:top="13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4"/>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upp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2"/>
    </w:lvl>
    <w:lvl w:ilvl="1">
      <w:lvlJc w:val="left"/>
      <w:lvlText w:val="(%2)"/>
      <w:numFmt w:val="decimal"/>
      <w:start w:val="1"/>
    </w:lvl>
  </w:abstractNum>
  <w:abstractNum w:abstractNumId="7">
    <w:nsid w:val="66EF438D"/>
    <w:multiLevelType w:val="hybridMultilevel"/>
    <w:lvl w:ilvl="0">
      <w:lvlJc w:val="left"/>
      <w:lvlText w:val="(%1)"/>
      <w:numFmt w:val="lowerLetter"/>
      <w:start w:val="5"/>
    </w:lvl>
  </w:abstractNum>
  <w:abstractNum w:abstractNumId="8">
    <w:nsid w:val="140E0F76"/>
    <w:multiLevelType w:val="hybridMultilevel"/>
    <w:lvl w:ilvl="0">
      <w:lvlJc w:val="left"/>
      <w:lvlText w:val="%1"/>
      <w:numFmt w:val="lowerLetter"/>
      <w:start w:val="1"/>
    </w:lvl>
    <w:lvl w:ilvl="1">
      <w:lvlJc w:val="left"/>
      <w:lvlText w:val="(%2)"/>
      <w:numFmt w:val="decimal"/>
      <w:start w:val="2"/>
    </w:lvl>
  </w:abstractNum>
  <w:abstractNum w:abstractNumId="9">
    <w:nsid w:val="3352255A"/>
    <w:multiLevelType w:val="hybridMultilevel"/>
    <w:lvl w:ilvl="0">
      <w:lvlJc w:val="left"/>
      <w:lvlText w:val="(%1)"/>
      <w:numFmt w:val="lowerLetter"/>
      <w:start w:val="3"/>
    </w:lvl>
    <w:lvl w:ilvl="1">
      <w:lvlJc w:val="left"/>
      <w:lvlText w:val="%2"/>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2019-12-28T19:04:10Z</dcterms:created>
  <dcterms:modified xsi:type="dcterms:W3CDTF">2019-12-28T19:04:10Z</dcterms:modified>
</cp:coreProperties>
</file>