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CIVEO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#17878Y108</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#17878Y108</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1,603,620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17,224,436</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17,224,436</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13.023%</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HC</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#17878Y108</w:t>
            </w:r>
          </w:p>
        </w:tc>
        <w:tc>
          <w:tcPr>
            <w:tcW w:w="10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17,224,436</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17,224,436</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13.023%</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#17878Y108</w:t>
            </w:r>
          </w:p>
        </w:tc>
        <w:tc>
          <w:tcPr>
            <w:tcW w:w="10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Reporting Person - Fidelity Low-Priced Stock Fund</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Massachusetts</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12,228,759</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12,228,759</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9.246%</w:t>
            </w:r>
          </w:p>
        </w:tc>
        <w:tc>
          <w:tcPr>
            <w:tcW w:w="55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IV</w:t>
            </w:r>
          </w:p>
        </w:tc>
        <w:tc>
          <w:tcPr>
            <w:tcW w:w="558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CIVEO CORP</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3 Allen Center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333 Clay St, Ste 4980</w:t>
            </w:r>
          </w:p>
        </w:tc>
        <w:tc>
          <w:tcPr>
            <w:tcW w:w="10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TX 77002</w:t>
            </w:r>
          </w:p>
        </w:tc>
      </w:tr>
      <w:tr>
        <w:trPr>
          <w:trHeight w:val="203"/>
        </w:trPr>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0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17878Y108</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58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or (c) and the</w:t>
      </w:r>
    </w:p>
    <w:p>
      <w:pPr>
        <w:spacing w:after="0" w:line="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person filing, FMR LLC, is a parent holding company in accordance with Section 240.13d-1(b)(1)(ii)(G). (Note: See Exhibit 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84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Ownership</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(a)</w:t>
            </w:r>
          </w:p>
        </w:tc>
        <w:tc>
          <w:tcPr>
            <w:tcW w:w="3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17,224,436</w:t>
            </w:r>
          </w:p>
        </w:tc>
      </w:tr>
      <w:tr>
        <w:trPr>
          <w:trHeight w:val="405"/>
        </w:trPr>
        <w:tc>
          <w:tcPr>
            <w:tcW w:w="164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13.023%</w:t>
            </w:r>
          </w:p>
        </w:tc>
        <w:tc>
          <w:tcPr>
            <w:tcW w:w="110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1,603,620</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17,224,436</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sale of, the COMMON STOCK of CIVEO CORP. No one other person's interest in the COMMON STOCK of CIVEO CORP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ectPr>
          <w:pgSz w:w="11900" w:h="16838" w:orient="portrait"/>
          <w:cols w:equalWidth="0" w:num="1">
            <w:col w:w="10219"/>
          </w:cols>
          <w:pgMar w:left="240" w:top="136" w:right="1440" w:bottom="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This power of attorney is incorporated herein by reference to Exhibit 24</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to the Schedule 13G filed by FMR LLC on June 10, 2016, accession number:</w:t>
      </w:r>
    </w:p>
    <w:p>
      <w:pPr>
        <w:spacing w:after="0" w:line="238" w:lineRule="auto"/>
        <w:rPr>
          <w:sz w:val="20"/>
          <w:szCs w:val="20"/>
          <w:color w:val="auto"/>
        </w:rPr>
      </w:pPr>
      <w:r>
        <w:rPr>
          <w:rFonts w:ascii="Courier New" w:cs="Courier New" w:eastAsia="Courier New" w:hAnsi="Courier New"/>
          <w:sz w:val="18"/>
          <w:szCs w:val="18"/>
          <w:color w:val="auto"/>
        </w:rPr>
        <w:t>0000315066-16-005935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10"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CIVEO CORP at December 29,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Low-Priced Stock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ind w:left="86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9" w:lineRule="exact"/>
        <w:rPr>
          <w:sz w:val="20"/>
          <w:szCs w:val="20"/>
          <w:color w:val="auto"/>
        </w:rPr>
      </w:pPr>
    </w:p>
    <w:p>
      <w:pPr>
        <w:ind w:right="24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lvl w:ilvl="1">
      <w:lvlJc w:val="left"/>
      <w:lvlText w:val="(%2)"/>
      <w:numFmt w:val="lowerLetter"/>
      <w:start w:val="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2019-12-08T07:43:49Z</dcterms:created>
  <dcterms:modified xsi:type="dcterms:W3CDTF">2019-12-08T07:43:49Z</dcterms:modified>
</cp:coreProperties>
</file>