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60" w:right="1780" w:hanging="560"/>
        <w:spacing w:after="0" w:line="26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2018</w:t>
      </w:r>
    </w:p>
    <w:p>
      <w:pPr>
        <w:spacing w:after="0" w:line="184"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left="960" w:right="1760" w:hanging="560"/>
        <w:spacing w:after="0" w:line="492" w:lineRule="auto"/>
        <w:tabs>
          <w:tab w:leader="none" w:pos="543"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_________________________ to 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001-36246</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8" w:lineRule="exact"/>
        <w:rPr>
          <w:sz w:val="24"/>
          <w:szCs w:val="24"/>
          <w:color w:val="auto"/>
        </w:rPr>
      </w:pPr>
    </w:p>
    <w:tbl>
      <w:tblPr>
        <w:tblLayout w:type="fixed"/>
        <w:tblInd w:w="274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British Columbia, Canada</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98-1253716</w:t>
            </w:r>
          </w:p>
        </w:tc>
        <w:tc>
          <w:tcPr>
            <w:tcW w:w="220" w:type="dxa"/>
            <w:vAlign w:val="bottom"/>
          </w:tcPr>
          <w:p>
            <w:pPr>
              <w:spacing w:after="0"/>
              <w:rPr>
                <w:sz w:val="17"/>
                <w:szCs w:val="17"/>
                <w:color w:val="auto"/>
              </w:rPr>
            </w:pPr>
          </w:p>
        </w:tc>
      </w:tr>
      <w:tr>
        <w:trPr>
          <w:trHeight w:val="222"/>
        </w:trPr>
        <w:tc>
          <w:tcPr>
            <w:tcW w:w="4140" w:type="dxa"/>
            <w:vAlign w:val="bottom"/>
            <w:gridSpan w:val="5"/>
          </w:tcPr>
          <w:p>
            <w:pPr>
              <w:jc w:val="center"/>
              <w:ind w:right="620"/>
              <w:spacing w:after="0"/>
              <w:rPr>
                <w:sz w:val="20"/>
                <w:szCs w:val="20"/>
                <w:color w:val="auto"/>
              </w:rPr>
            </w:pPr>
            <w:r>
              <w:rPr>
                <w:rFonts w:ascii="Arial" w:cs="Arial" w:eastAsia="Arial" w:hAnsi="Arial"/>
                <w:sz w:val="18"/>
                <w:szCs w:val="18"/>
                <w:color w:val="auto"/>
                <w:w w:val="92"/>
              </w:rPr>
              <w:t>(State or other jurisdiction of</w:t>
            </w:r>
          </w:p>
        </w:tc>
        <w:tc>
          <w:tcPr>
            <w:tcW w:w="1980" w:type="dxa"/>
            <w:vAlign w:val="bottom"/>
            <w:gridSpan w:val="5"/>
          </w:tcPr>
          <w:p>
            <w:pPr>
              <w:jc w:val="center"/>
              <w:ind w:left="570"/>
              <w:spacing w:after="0"/>
              <w:rPr>
                <w:sz w:val="20"/>
                <w:szCs w:val="20"/>
                <w:color w:val="auto"/>
              </w:rPr>
            </w:pPr>
            <w:r>
              <w:rPr>
                <w:rFonts w:ascii="Arial" w:cs="Arial" w:eastAsia="Arial" w:hAnsi="Arial"/>
                <w:sz w:val="18"/>
                <w:szCs w:val="18"/>
                <w:color w:val="auto"/>
                <w:w w:val="93"/>
              </w:rPr>
              <w:t>(I.R.S. Employer</w:t>
            </w:r>
          </w:p>
        </w:tc>
      </w:tr>
      <w:tr>
        <w:trPr>
          <w:trHeight w:val="230"/>
        </w:trPr>
        <w:tc>
          <w:tcPr>
            <w:tcW w:w="4140" w:type="dxa"/>
            <w:vAlign w:val="bottom"/>
            <w:gridSpan w:val="5"/>
          </w:tcPr>
          <w:p>
            <w:pPr>
              <w:jc w:val="center"/>
              <w:ind w:right="620"/>
              <w:spacing w:after="0"/>
              <w:rPr>
                <w:sz w:val="20"/>
                <w:szCs w:val="20"/>
                <w:color w:val="auto"/>
              </w:rPr>
            </w:pPr>
            <w:r>
              <w:rPr>
                <w:rFonts w:ascii="Arial" w:cs="Arial" w:eastAsia="Arial" w:hAnsi="Arial"/>
                <w:sz w:val="18"/>
                <w:szCs w:val="18"/>
                <w:color w:val="auto"/>
                <w:w w:val="92"/>
              </w:rPr>
              <w:t>incorporation or organization)</w:t>
            </w:r>
          </w:p>
        </w:tc>
        <w:tc>
          <w:tcPr>
            <w:tcW w:w="1980" w:type="dxa"/>
            <w:vAlign w:val="bottom"/>
            <w:gridSpan w:val="5"/>
          </w:tcPr>
          <w:p>
            <w:pPr>
              <w:jc w:val="center"/>
              <w:ind w:left="550"/>
              <w:spacing w:after="0"/>
              <w:rPr>
                <w:sz w:val="20"/>
                <w:szCs w:val="20"/>
                <w:color w:val="auto"/>
              </w:rPr>
            </w:pPr>
            <w:r>
              <w:rPr>
                <w:rFonts w:ascii="Arial" w:cs="Arial" w:eastAsia="Arial" w:hAnsi="Arial"/>
                <w:sz w:val="18"/>
                <w:szCs w:val="18"/>
                <w:color w:val="auto"/>
                <w:w w:val="95"/>
              </w:rPr>
              <w:t>Identification No.)</w:t>
            </w:r>
          </w:p>
        </w:tc>
      </w:tr>
      <w:tr>
        <w:trPr>
          <w:trHeight w:val="392"/>
        </w:trPr>
        <w:tc>
          <w:tcPr>
            <w:tcW w:w="414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Allen Center, 333 Clay Street, Suite 4980,</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77002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8"/>
              </w:rPr>
              <w:t>Houston, Texas</w:t>
            </w:r>
          </w:p>
        </w:tc>
        <w:tc>
          <w:tcPr>
            <w:tcW w:w="18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gridSpan w:val="4"/>
          </w:tcPr>
          <w:p>
            <w:pPr>
              <w:jc w:val="center"/>
              <w:ind w:right="220"/>
              <w:spacing w:after="0" w:line="196" w:lineRule="exact"/>
              <w:rPr>
                <w:sz w:val="20"/>
                <w:szCs w:val="20"/>
                <w:color w:val="auto"/>
              </w:rPr>
            </w:pPr>
            <w:r>
              <w:rPr>
                <w:rFonts w:ascii="Arial" w:cs="Arial" w:eastAsia="Arial" w:hAnsi="Arial"/>
                <w:sz w:val="18"/>
                <w:szCs w:val="18"/>
                <w:color w:val="auto"/>
                <w:w w:val="94"/>
              </w:rPr>
              <w:t>(Zip Code)</w:t>
            </w:r>
          </w:p>
        </w:tc>
      </w:tr>
      <w:tr>
        <w:trPr>
          <w:trHeight w:val="237"/>
        </w:trPr>
        <w:tc>
          <w:tcPr>
            <w:tcW w:w="4140" w:type="dxa"/>
            <w:vAlign w:val="bottom"/>
            <w:gridSpan w:val="5"/>
          </w:tcPr>
          <w:p>
            <w:pPr>
              <w:jc w:val="center"/>
              <w:ind w:right="640"/>
              <w:spacing w:after="0"/>
              <w:rPr>
                <w:sz w:val="20"/>
                <w:szCs w:val="20"/>
                <w:color w:val="auto"/>
              </w:rPr>
            </w:pPr>
            <w:r>
              <w:rPr>
                <w:rFonts w:ascii="Arial" w:cs="Arial" w:eastAsia="Arial" w:hAnsi="Arial"/>
                <w:sz w:val="18"/>
                <w:szCs w:val="18"/>
                <w:color w:val="auto"/>
                <w:w w:val="92"/>
              </w:rPr>
              <w:t>(Address of principal executive offices)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(713) 510-2400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ind w:right="1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6780" w:type="dxa"/>
            <w:vAlign w:val="bottom"/>
            <w:gridSpan w:val="2"/>
          </w:tcPr>
          <w:p>
            <w:pPr>
              <w:ind w:left="3420"/>
              <w:spacing w:after="0"/>
              <w:rPr>
                <w:sz w:val="20"/>
                <w:szCs w:val="20"/>
                <w:color w:val="auto"/>
              </w:rPr>
            </w:pPr>
            <w:r>
              <w:rPr>
                <w:rFonts w:ascii="Arial" w:cs="Arial" w:eastAsia="Arial" w:hAnsi="Arial"/>
                <w:sz w:val="18"/>
                <w:szCs w:val="18"/>
                <w:color w:val="auto"/>
              </w:rPr>
              <w:t>(Check one):</w:t>
            </w:r>
          </w:p>
        </w:tc>
        <w:tc>
          <w:tcPr>
            <w:tcW w:w="2580" w:type="dxa"/>
            <w:vAlign w:val="bottom"/>
            <w:vMerge w:val="restart"/>
          </w:tcPr>
          <w:p>
            <w:pPr>
              <w:ind w:left="540"/>
              <w:spacing w:after="0"/>
              <w:rPr>
                <w:sz w:val="20"/>
                <w:szCs w:val="20"/>
                <w:color w:val="auto"/>
              </w:rPr>
            </w:pPr>
            <w:r>
              <w:rPr>
                <w:rFonts w:ascii="Arial" w:cs="Arial" w:eastAsia="Arial" w:hAnsi="Arial"/>
                <w:sz w:val="18"/>
                <w:szCs w:val="18"/>
                <w:color w:val="auto"/>
                <w:w w:val="90"/>
              </w:rPr>
              <w:t>Emerging Growth Company</w:t>
            </w:r>
          </w:p>
        </w:tc>
        <w:tc>
          <w:tcPr>
            <w:tcW w:w="0" w:type="dxa"/>
            <w:vAlign w:val="bottom"/>
          </w:tcPr>
          <w:p>
            <w:pPr>
              <w:spacing w:after="0"/>
              <w:rPr>
                <w:sz w:val="1"/>
                <w:szCs w:val="1"/>
                <w:color w:val="auto"/>
              </w:rPr>
            </w:pPr>
          </w:p>
        </w:tc>
      </w:tr>
      <w:tr>
        <w:trPr>
          <w:trHeight w:val="187"/>
        </w:trPr>
        <w:tc>
          <w:tcPr>
            <w:tcW w:w="1820" w:type="dxa"/>
            <w:vAlign w:val="bottom"/>
            <w:vMerge w:val="restart"/>
          </w:tcPr>
          <w:p>
            <w:pPr>
              <w:spacing w:after="0"/>
              <w:rPr>
                <w:sz w:val="20"/>
                <w:szCs w:val="20"/>
                <w:color w:val="auto"/>
              </w:rPr>
            </w:pPr>
            <w:r>
              <w:rPr>
                <w:rFonts w:ascii="Arial" w:cs="Arial" w:eastAsia="Arial" w:hAnsi="Arial"/>
                <w:sz w:val="18"/>
                <w:szCs w:val="18"/>
                <w:color w:val="auto"/>
                <w:w w:val="91"/>
              </w:rPr>
              <w:t>Large Accelerated Filer [</w:t>
            </w:r>
          </w:p>
        </w:tc>
        <w:tc>
          <w:tcPr>
            <w:tcW w:w="3680" w:type="dxa"/>
            <w:vAlign w:val="bottom"/>
            <w:vMerge w:val="restart"/>
          </w:tcPr>
          <w:p>
            <w:pPr>
              <w:jc w:val="right"/>
              <w:ind w:right="3450"/>
              <w:spacing w:after="0"/>
              <w:rPr>
                <w:sz w:val="20"/>
                <w:szCs w:val="20"/>
                <w:color w:val="auto"/>
              </w:rPr>
            </w:pPr>
            <w:r>
              <w:rPr>
                <w:rFonts w:ascii="Arial" w:cs="Arial" w:eastAsia="Arial" w:hAnsi="Arial"/>
                <w:sz w:val="18"/>
                <w:szCs w:val="18"/>
                <w:color w:val="auto"/>
              </w:rPr>
              <w:t>]</w:t>
            </w:r>
          </w:p>
        </w:tc>
        <w:tc>
          <w:tcPr>
            <w:tcW w:w="3100" w:type="dxa"/>
            <w:vAlign w:val="bottom"/>
            <w:vMerge w:val="restart"/>
          </w:tcPr>
          <w:p>
            <w:pPr>
              <w:ind w:left="220"/>
              <w:spacing w:after="0"/>
              <w:rPr>
                <w:sz w:val="20"/>
                <w:szCs w:val="20"/>
                <w:color w:val="auto"/>
              </w:rPr>
            </w:pPr>
            <w:r>
              <w:rPr>
                <w:rFonts w:ascii="Arial" w:cs="Arial" w:eastAsia="Arial" w:hAnsi="Arial"/>
                <w:sz w:val="18"/>
                <w:szCs w:val="18"/>
                <w:color w:val="auto"/>
              </w:rPr>
              <w:t>Accelerated Filer [X]</w:t>
            </w:r>
          </w:p>
        </w:tc>
        <w:tc>
          <w:tcPr>
            <w:tcW w:w="2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820" w:type="dxa"/>
            <w:vAlign w:val="bottom"/>
            <w:vMerge w:val="continue"/>
          </w:tcPr>
          <w:p>
            <w:pPr>
              <w:spacing w:after="0"/>
              <w:rPr>
                <w:sz w:val="10"/>
                <w:szCs w:val="10"/>
                <w:color w:val="auto"/>
              </w:rPr>
            </w:pPr>
          </w:p>
        </w:tc>
        <w:tc>
          <w:tcPr>
            <w:tcW w:w="368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2580" w:type="dxa"/>
            <w:vAlign w:val="bottom"/>
            <w:vMerge w:val="restart"/>
          </w:tcPr>
          <w:p>
            <w:pPr>
              <w:ind w:left="5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w w:val="97"/>
              </w:rPr>
              <w:t>Non-Accelerated Filer [</w:t>
            </w:r>
          </w:p>
        </w:tc>
        <w:tc>
          <w:tcPr>
            <w:tcW w:w="3680" w:type="dxa"/>
            <w:vAlign w:val="bottom"/>
          </w:tcPr>
          <w:p>
            <w:pPr>
              <w:jc w:val="right"/>
              <w:ind w:right="150"/>
              <w:spacing w:after="0"/>
              <w:rPr>
                <w:sz w:val="20"/>
                <w:szCs w:val="20"/>
                <w:color w:val="auto"/>
              </w:rPr>
            </w:pPr>
            <w:r>
              <w:rPr>
                <w:rFonts w:ascii="Arial" w:cs="Arial" w:eastAsia="Arial" w:hAnsi="Arial"/>
                <w:sz w:val="18"/>
                <w:szCs w:val="18"/>
                <w:color w:val="auto"/>
                <w:w w:val="91"/>
              </w:rPr>
              <w:t>] (Do not check if a smaller reporting company)</w:t>
            </w:r>
          </w:p>
        </w:tc>
        <w:tc>
          <w:tcPr>
            <w:tcW w:w="3100" w:type="dxa"/>
            <w:vAlign w:val="bottom"/>
          </w:tcPr>
          <w:p>
            <w:pPr>
              <w:ind w:left="220"/>
              <w:spacing w:after="0"/>
              <w:rPr>
                <w:sz w:val="20"/>
                <w:szCs w:val="20"/>
                <w:color w:val="auto"/>
              </w:rPr>
            </w:pPr>
            <w:r>
              <w:rPr>
                <w:rFonts w:ascii="Arial" w:cs="Arial" w:eastAsia="Arial" w:hAnsi="Arial"/>
                <w:sz w:val="18"/>
                <w:szCs w:val="18"/>
                <w:color w:val="auto"/>
              </w:rPr>
              <w:t>Smaller Reporting Company [ ]</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jc w:val="right"/>
              <w:ind w:right="830"/>
              <w:spacing w:after="0"/>
              <w:rPr>
                <w:sz w:val="20"/>
                <w:szCs w:val="20"/>
                <w:color w:val="auto"/>
              </w:rPr>
            </w:pPr>
            <w:r>
              <w:rPr>
                <w:rFonts w:ascii="Arial" w:cs="Arial" w:eastAsia="Arial" w:hAnsi="Arial"/>
                <w:sz w:val="18"/>
                <w:szCs w:val="18"/>
                <w:color w:val="auto"/>
              </w:rPr>
              <w:t>YES [ ]</w:t>
            </w:r>
          </w:p>
        </w:tc>
        <w:tc>
          <w:tcPr>
            <w:tcW w:w="5360" w:type="dxa"/>
            <w:vAlign w:val="bottom"/>
          </w:tcPr>
          <w:p>
            <w:pPr>
              <w:ind w:left="220"/>
              <w:spacing w:after="0"/>
              <w:rPr>
                <w:sz w:val="20"/>
                <w:szCs w:val="20"/>
                <w:color w:val="auto"/>
              </w:rPr>
            </w:pPr>
            <w:r>
              <w:rPr>
                <w:rFonts w:ascii="Arial" w:cs="Arial" w:eastAsia="Arial" w:hAnsi="Arial"/>
                <w:sz w:val="18"/>
                <w:szCs w:val="18"/>
                <w:color w:val="auto"/>
              </w:rPr>
              <w:t>NO [X ]</w:t>
            </w:r>
          </w:p>
        </w:tc>
      </w:tr>
      <w:tr>
        <w:trPr>
          <w:trHeight w:val="418"/>
        </w:trPr>
        <w:tc>
          <w:tcPr>
            <w:tcW w:w="6060" w:type="dxa"/>
            <w:vAlign w:val="bottom"/>
          </w:tcPr>
          <w:p>
            <w:pPr>
              <w:jc w:val="right"/>
              <w:ind w:right="130"/>
              <w:spacing w:after="0"/>
              <w:rPr>
                <w:sz w:val="20"/>
                <w:szCs w:val="20"/>
                <w:color w:val="auto"/>
              </w:rPr>
            </w:pPr>
            <w:r>
              <w:rPr>
                <w:rFonts w:ascii="Arial" w:cs="Arial" w:eastAsia="Arial" w:hAnsi="Arial"/>
                <w:sz w:val="18"/>
                <w:szCs w:val="18"/>
                <w:color w:val="auto"/>
                <w:w w:val="89"/>
              </w:rPr>
              <w:t>The Registrant had 167,958,214 common shares outstanding as of July 23, 2018.</w:t>
            </w:r>
          </w:p>
        </w:tc>
        <w:tc>
          <w:tcPr>
            <w:tcW w:w="5360" w:type="dxa"/>
            <w:vAlign w:val="bottom"/>
          </w:tcPr>
          <w:p>
            <w:pPr>
              <w:spacing w:after="0"/>
              <w:rPr>
                <w:sz w:val="24"/>
                <w:szCs w:val="24"/>
                <w:color w:val="auto"/>
              </w:rPr>
            </w:pPr>
          </w:p>
        </w:tc>
      </w:tr>
      <w:tr>
        <w:trPr>
          <w:trHeight w:val="432"/>
        </w:trPr>
        <w:tc>
          <w:tcPr>
            <w:tcW w:w="606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5360" w:type="dxa"/>
            <w:vAlign w:val="bottom"/>
          </w:tcPr>
          <w:p>
            <w:pPr>
              <w:spacing w:after="0"/>
              <w:rPr>
                <w:sz w:val="24"/>
                <w:szCs w:val="24"/>
                <w:color w:val="auto"/>
              </w:rPr>
            </w:pPr>
          </w:p>
        </w:tc>
      </w:tr>
      <w:tr>
        <w:trPr>
          <w:trHeight w:val="115"/>
        </w:trPr>
        <w:tc>
          <w:tcPr>
            <w:tcW w:w="6060" w:type="dxa"/>
            <w:vAlign w:val="bottom"/>
            <w:tcBorders>
              <w:bottom w:val="single" w:sz="8" w:color="auto"/>
            </w:tcBorders>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47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21" w:lineRule="exact"/>
        <w:rPr>
          <w:sz w:val="20"/>
          <w:szCs w:val="20"/>
          <w:color w:val="auto"/>
        </w:rPr>
      </w:pPr>
    </w:p>
    <w:p>
      <w:pPr>
        <w:ind w:left="10680"/>
        <w:spacing w:after="0"/>
        <w:rPr>
          <w:sz w:val="20"/>
          <w:szCs w:val="20"/>
          <w:color w:val="auto"/>
        </w:rPr>
      </w:pPr>
      <w:r>
        <w:rPr>
          <w:rFonts w:ascii="Arial" w:cs="Arial" w:eastAsia="Arial" w:hAnsi="Arial"/>
          <w:sz w:val="17"/>
          <w:szCs w:val="17"/>
          <w:b w:val="1"/>
          <w:bCs w:val="1"/>
          <w:u w:val="single" w:color="auto"/>
          <w:color w:val="auto"/>
        </w:rPr>
        <w:t>Page No.</w:t>
      </w:r>
    </w:p>
    <w:p>
      <w:pPr>
        <w:spacing w:after="0" w:line="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Financial Statements</w:t>
            </w: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980" w:type="dxa"/>
            <w:vAlign w:val="bottom"/>
          </w:tcPr>
          <w:p>
            <w:pPr>
              <w:ind w:left="240"/>
              <w:spacing w:after="0"/>
              <w:rPr>
                <w:sz w:val="20"/>
                <w:szCs w:val="20"/>
                <w:color w:val="auto"/>
              </w:rPr>
            </w:pPr>
            <w:r>
              <w:rPr>
                <w:rFonts w:ascii="Arial" w:cs="Arial" w:eastAsia="Arial" w:hAnsi="Arial"/>
                <w:sz w:val="18"/>
                <w:szCs w:val="18"/>
                <w:color w:val="auto"/>
              </w:rPr>
              <w:t>Unaudited Consolidated Statements of Operations for the Three and Six Month Periods Ended June 30, 2018 and 2017</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9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Unaudited Consolidated Statements of Comprehensive Loss for the Three and Six Month Periods Ended June 30, 2018 and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980" w:type="dxa"/>
            <w:vAlign w:val="bottom"/>
          </w:tcPr>
          <w:p>
            <w:pPr>
              <w:ind w:left="240"/>
              <w:spacing w:after="0"/>
              <w:rPr>
                <w:sz w:val="20"/>
                <w:szCs w:val="20"/>
                <w:color w:val="auto"/>
              </w:rPr>
            </w:pPr>
            <w:r>
              <w:rPr>
                <w:rFonts w:ascii="Arial" w:cs="Arial" w:eastAsia="Arial" w:hAnsi="Arial"/>
                <w:sz w:val="18"/>
                <w:szCs w:val="18"/>
                <w:color w:val="auto"/>
              </w:rPr>
              <w:t>Consolidated Balance Sheets – June 30, 2018 (unaudited) and December 31, 2017</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9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Unaudited Consolidated Statements of Changes in Shareholders’ Equity for the Six Months Ended June 30, 2018 and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980" w:type="dxa"/>
            <w:vAlign w:val="bottom"/>
          </w:tcPr>
          <w:p>
            <w:pPr>
              <w:ind w:left="240"/>
              <w:spacing w:after="0"/>
              <w:rPr>
                <w:sz w:val="20"/>
                <w:szCs w:val="20"/>
                <w:color w:val="auto"/>
              </w:rPr>
            </w:pPr>
            <w:r>
              <w:rPr>
                <w:rFonts w:ascii="Arial" w:cs="Arial" w:eastAsia="Arial" w:hAnsi="Arial"/>
                <w:sz w:val="18"/>
                <w:szCs w:val="18"/>
                <w:color w:val="auto"/>
              </w:rPr>
              <w:t>Unaudited Consolidated Statements of Cash Flows for the Six Months Ended June 30, 2018 and 2017</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Notes to Unaudited Consolidated Financial Statements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4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4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4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Item 4.</w:t>
            </w: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Controls and Procedures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980" w:type="dxa"/>
            <w:vAlign w:val="bottom"/>
          </w:tcPr>
          <w:p>
            <w:pPr>
              <w:ind w:left="600"/>
              <w:spacing w:after="0"/>
              <w:rPr>
                <w:sz w:val="20"/>
                <w:szCs w:val="20"/>
                <w:color w:val="auto"/>
              </w:rPr>
            </w:pPr>
            <w:r>
              <w:rPr>
                <w:rFonts w:ascii="Arial" w:cs="Arial" w:eastAsia="Arial" w:hAnsi="Arial"/>
                <w:sz w:val="18"/>
                <w:szCs w:val="18"/>
                <w:color w:val="auto"/>
              </w:rPr>
              <w:t>Part II -- OTHER INFORMATION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1.</w:t>
            </w:r>
          </w:p>
        </w:tc>
        <w:tc>
          <w:tcPr>
            <w:tcW w:w="9980" w:type="dxa"/>
            <w:vAlign w:val="bottom"/>
          </w:tcPr>
          <w:p>
            <w:pPr>
              <w:ind w:left="160"/>
              <w:spacing w:after="0"/>
              <w:rPr>
                <w:sz w:val="20"/>
                <w:szCs w:val="20"/>
                <w:color w:val="auto"/>
              </w:rPr>
            </w:pPr>
            <w:r>
              <w:rPr>
                <w:rFonts w:ascii="Arial" w:cs="Arial" w:eastAsia="Arial" w:hAnsi="Arial"/>
                <w:sz w:val="18"/>
                <w:szCs w:val="18"/>
                <w:color w:val="auto"/>
              </w:rPr>
              <w:t>Legal Proceedings</w:t>
            </w: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4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40" w:type="dxa"/>
            <w:vAlign w:val="bottom"/>
            <w:gridSpan w:val="2"/>
          </w:tcPr>
          <w:p>
            <w:pPr>
              <w:spacing w:after="0"/>
              <w:rPr>
                <w:sz w:val="20"/>
                <w:szCs w:val="20"/>
                <w:color w:val="auto"/>
              </w:rPr>
            </w:pPr>
            <w:r>
              <w:rPr>
                <w:rFonts w:ascii="Arial" w:cs="Arial" w:eastAsia="Arial" w:hAnsi="Arial"/>
                <w:sz w:val="18"/>
                <w:szCs w:val="18"/>
                <w:color w:val="auto"/>
              </w:rPr>
              <w:t>Item 1A. Risk Factors</w:t>
            </w: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2.</w:t>
            </w:r>
          </w:p>
        </w:tc>
        <w:tc>
          <w:tcPr>
            <w:tcW w:w="9980" w:type="dxa"/>
            <w:vAlign w:val="bottom"/>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6.</w:t>
            </w:r>
          </w:p>
        </w:tc>
        <w:tc>
          <w:tcPr>
            <w:tcW w:w="9980" w:type="dxa"/>
            <w:vAlign w:val="bottom"/>
          </w:tcPr>
          <w:p>
            <w:pPr>
              <w:ind w:left="160"/>
              <w:spacing w:after="0"/>
              <w:rPr>
                <w:sz w:val="20"/>
                <w:szCs w:val="20"/>
                <w:color w:val="auto"/>
              </w:rPr>
            </w:pPr>
            <w:r>
              <w:rPr>
                <w:rFonts w:ascii="Arial" w:cs="Arial" w:eastAsia="Arial" w:hAnsi="Arial"/>
                <w:sz w:val="18"/>
                <w:szCs w:val="18"/>
                <w:color w:val="auto"/>
              </w:rPr>
              <w:t>Exhibits</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980" w:type="dxa"/>
            <w:vAlign w:val="bottom"/>
          </w:tcPr>
          <w:p>
            <w:pPr>
              <w:ind w:left="140"/>
              <w:spacing w:after="0"/>
              <w:rPr>
                <w:sz w:val="20"/>
                <w:szCs w:val="20"/>
                <w:color w:val="auto"/>
              </w:rPr>
            </w:pPr>
            <w:r>
              <w:rPr>
                <w:rFonts w:ascii="Arial" w:cs="Arial" w:eastAsia="Arial" w:hAnsi="Arial"/>
                <w:sz w:val="18"/>
                <w:szCs w:val="18"/>
                <w:color w:val="auto"/>
              </w:rPr>
              <w:t>(a) Index of Exhibits</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4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540" w:type="dxa"/>
            <w:vAlign w:val="bottom"/>
            <w:gridSpan w:val="2"/>
          </w:tcPr>
          <w:p>
            <w:pPr>
              <w:spacing w:after="0"/>
              <w:rPr>
                <w:sz w:val="20"/>
                <w:szCs w:val="20"/>
                <w:color w:val="auto"/>
              </w:rPr>
            </w:pPr>
            <w:r>
              <w:rPr>
                <w:rFonts w:ascii="Arial" w:cs="Arial" w:eastAsia="Arial" w:hAnsi="Arial"/>
                <w:sz w:val="18"/>
                <w:szCs w:val="18"/>
                <w:color w:val="auto"/>
              </w:rPr>
              <w:t>Signature Page</w:t>
            </w: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980" w:type="dxa"/>
            <w:vAlign w:val="bottom"/>
          </w:tcPr>
          <w:p>
            <w:pPr>
              <w:ind w:left="508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9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Service and other</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126,486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89,013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222,890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178,874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92,010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231,681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183,439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Service and other costs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86,294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56,844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159,249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costs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22,539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14,060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39,426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31,554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Impairment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28,661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145,678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105,377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299,697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214,538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(13,367)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(17,633)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24,056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(14,717)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Less: Net income attributable to noncontrolling 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Civeo Corporation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(14,816)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Less: Dividends attributable to Class A preferred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48,488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48,488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 common shareholders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(48,321)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(103,778)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Per Share Data (see Note 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net loss per share attributable to Civeo Corporation common shareholders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1"/>
              </w:rPr>
              <w:t>Diluted net loss per share attributable to Civeo Corporation common shareholders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165,373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130,692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148,595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165,373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130,692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148,595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(55,046)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 net of taxes of zero</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(16,434)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6,313</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(24,255)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24,348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(79,301)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Comprehensive income attributable to noncontrolling interest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Civeo Corporation</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(16,265)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(79,543)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24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rPr>
              <w:t>CIVEO CORPORATION</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24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9"/>
              </w:rPr>
              <w:t>CONSOLIDATED BALANCE SHEETS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24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1"/>
              </w:rPr>
              <w:t>(In Thousands)</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JUNE 30, 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jc w:val="right"/>
              <w:ind w:right="3840"/>
              <w:spacing w:after="0"/>
              <w:rPr>
                <w:sz w:val="20"/>
                <w:szCs w:val="20"/>
                <w:color w:val="auto"/>
              </w:rPr>
            </w:pPr>
            <w:r>
              <w:rPr>
                <w:rFonts w:ascii="Arial" w:cs="Arial" w:eastAsia="Arial" w:hAnsi="Arial"/>
                <w:sz w:val="18"/>
                <w:szCs w:val="18"/>
                <w:color w:val="auto"/>
              </w:rPr>
              <w:t>ASSETS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5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4,786</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16,383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held for sale</w:t>
            </w: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current assets</w:t>
            </w:r>
          </w:p>
        </w:tc>
        <w:tc>
          <w:tcPr>
            <w:tcW w:w="50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130,195</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132,212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823" w:right="239" w:bottom="1440" w:gutter="0" w:footer="0" w:header="0"/>
        </w:sectPr>
      </w:pPr>
    </w:p>
    <w:p>
      <w:pPr>
        <w:spacing w:after="0"/>
        <w:rPr>
          <w:sz w:val="20"/>
          <w:szCs w:val="20"/>
          <w:color w:val="auto"/>
        </w:rPr>
      </w:pPr>
      <w:r>
        <w:rPr>
          <w:rFonts w:ascii="Arial" w:cs="Arial" w:eastAsia="Arial" w:hAnsi="Arial"/>
          <w:sz w:val="16"/>
          <w:szCs w:val="16"/>
          <w:color w:val="auto"/>
        </w:rPr>
        <w:t>Property, plant and equipment,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734,242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693,833</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117,307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133,964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22,753</w:t>
            </w: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5,114</w:t>
            </w:r>
          </w:p>
        </w:tc>
      </w:tr>
      <w:tr>
        <w:trPr>
          <w:trHeight w:val="210"/>
        </w:trPr>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1,117,948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853,912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-582295</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-307975</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180" w:space="720"/>
            <w:col w:w="3520"/>
          </w:cols>
          <w:pgMar w:left="240" w:top="823"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20"/>
              <w:spacing w:after="0"/>
              <w:rPr>
                <w:sz w:val="20"/>
                <w:szCs w:val="20"/>
                <w:color w:val="auto"/>
              </w:rPr>
            </w:pPr>
            <w:r>
              <w:rPr>
                <w:rFonts w:ascii="Arial" w:cs="Arial" w:eastAsia="Arial" w:hAnsi="Arial"/>
                <w:sz w:val="18"/>
                <w:szCs w:val="18"/>
                <w:color w:val="auto"/>
              </w:rPr>
              <w:t>LIABILITIES AND SHAREHOLDERS’ EQUITY</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29,797</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4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17,265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4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27,643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83,916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29,003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30,044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542,483</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377,545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Shareholders’ Equity:</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Preferred shares (Class A Series 1, no par value; 50,000,000 shares authorized, 9,679 shares and zero</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shares issued and outstanding, respectively; aggregate liquidation preference of $97,268,530 as of June</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30, 2018)</w:t>
            </w:r>
          </w:p>
        </w:tc>
        <w:tc>
          <w:tcPr>
            <w:tcW w:w="4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55,305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ind w:left="160"/>
              <w:spacing w:after="0" w:line="201" w:lineRule="exact"/>
              <w:rPr>
                <w:sz w:val="20"/>
                <w:szCs w:val="20"/>
                <w:color w:val="auto"/>
              </w:rPr>
            </w:pPr>
            <w:r>
              <w:rPr>
                <w:rFonts w:ascii="Arial" w:cs="Arial" w:eastAsia="Arial" w:hAnsi="Arial"/>
                <w:sz w:val="18"/>
                <w:szCs w:val="18"/>
                <w:color w:val="auto"/>
                <w:w w:val="95"/>
              </w:rPr>
              <w:t>Common shares (no par value; 550,000,000 shares authorized, 168,315,440 shares and 132,427,885</w:t>
            </w: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w w:val="92"/>
              </w:rPr>
              <w:t>shares issued, respectively, and 167,958,214 shares and 132,262,434 shares outstanding, respectively)</w:t>
            </w: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1,555,994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(682,497)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(579,113)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 held in treasury at cost, 357,226 and 165,451 shares, respectively</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(352,466)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(328,213)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Civeo Corporation shareholders’ equity</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575,346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4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575,465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1,117,948</w:t>
            </w:r>
          </w:p>
        </w:tc>
        <w:tc>
          <w:tcPr>
            <w:tcW w:w="14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853,912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b w:val="1"/>
                <w:bCs w:val="1"/>
                <w:color w:val="auto"/>
                <w:w w:val="91"/>
              </w:rPr>
              <w:t>Attributable to Civeo</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60" w:type="dxa"/>
            <w:vAlign w:val="bottom"/>
            <w:gridSpan w:val="4"/>
          </w:tcPr>
          <w:p>
            <w:pPr>
              <w:jc w:val="center"/>
              <w:ind w:right="180"/>
              <w:spacing w:after="0" w:line="191" w:lineRule="exact"/>
              <w:rPr>
                <w:sz w:val="20"/>
                <w:szCs w:val="20"/>
                <w:color w:val="auto"/>
              </w:rPr>
            </w:pPr>
            <w:r>
              <w:rPr>
                <w:rFonts w:ascii="Arial" w:cs="Arial" w:eastAsia="Arial" w:hAnsi="Arial"/>
                <w:sz w:val="18"/>
                <w:szCs w:val="18"/>
                <w:b w:val="1"/>
                <w:bCs w:val="1"/>
                <w:color w:val="auto"/>
                <w:w w:val="94"/>
              </w:rPr>
              <w:t>Preferred</w:t>
            </w:r>
          </w:p>
        </w:tc>
        <w:tc>
          <w:tcPr>
            <w:tcW w:w="86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0"/>
                <w:szCs w:val="20"/>
                <w:color w:val="auto"/>
              </w:rPr>
            </w:pPr>
          </w:p>
        </w:tc>
        <w:tc>
          <w:tcPr>
            <w:tcW w:w="7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vMerge w:val="restart"/>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4"/>
          </w:tcPr>
          <w:p>
            <w:pPr>
              <w:ind w:left="100"/>
              <w:spacing w:after="0"/>
              <w:rPr>
                <w:sz w:val="20"/>
                <w:szCs w:val="20"/>
                <w:color w:val="auto"/>
              </w:rPr>
            </w:pPr>
            <w:r>
              <w:rPr>
                <w:rFonts w:ascii="Arial" w:cs="Arial" w:eastAsia="Arial" w:hAnsi="Arial"/>
                <w:sz w:val="18"/>
                <w:szCs w:val="18"/>
                <w:b w:val="1"/>
                <w:bCs w:val="1"/>
                <w:color w:val="auto"/>
              </w:rPr>
              <w:t>Accumulated</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Treasury</w:t>
            </w: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Comprehensive</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8"/>
              </w:rPr>
              <w:t>Noncontrolling</w:t>
            </w:r>
          </w:p>
        </w:tc>
        <w:tc>
          <w:tcPr>
            <w:tcW w:w="8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6"/>
              </w:rPr>
              <w:t>Shareholders’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Amount</w:t>
            </w:r>
          </w:p>
        </w:tc>
        <w:tc>
          <w:tcPr>
            <w:tcW w:w="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Par Value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Shares</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December 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b w:val="1"/>
                <w:bCs w:val="1"/>
                <w:color w:val="auto"/>
                <w:w w:val="70"/>
              </w:rPr>
              <w:t>--</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1,311,226</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(472,764)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(362,930)</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523</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600"/>
              <w:spacing w:after="0"/>
              <w:rPr>
                <w:sz w:val="20"/>
                <w:szCs w:val="20"/>
                <w:color w:val="auto"/>
              </w:rPr>
            </w:pPr>
            <w:r>
              <w:rPr>
                <w:rFonts w:ascii="Arial" w:cs="Arial" w:eastAsia="Arial" w:hAnsi="Arial"/>
                <w:sz w:val="17"/>
                <w:szCs w:val="17"/>
                <w:color w:val="auto"/>
                <w:w w:val="70"/>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(35,803)</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(35,583)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translation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w w:val="70"/>
              </w:rPr>
              <w:t>--</w:t>
            </w:r>
          </w:p>
        </w:tc>
        <w:tc>
          <w:tcPr>
            <w:tcW w:w="18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24,027</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600"/>
              <w:spacing w:after="0"/>
              <w:rPr>
                <w:sz w:val="20"/>
                <w:szCs w:val="20"/>
                <w:color w:val="auto"/>
              </w:rPr>
            </w:pPr>
            <w:r>
              <w:rPr>
                <w:rFonts w:ascii="Arial" w:cs="Arial" w:eastAsia="Arial" w:hAnsi="Arial"/>
                <w:sz w:val="17"/>
                <w:szCs w:val="17"/>
                <w:color w:val="auto"/>
                <w:w w:val="70"/>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implementation of ASU</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2016-09</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w w:val="70"/>
              </w:rPr>
              <w:t>--</w:t>
            </w:r>
          </w:p>
        </w:tc>
        <w:tc>
          <w:tcPr>
            <w:tcW w:w="18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Equity offering</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600"/>
              <w:spacing w:after="0"/>
              <w:rPr>
                <w:sz w:val="20"/>
                <w:szCs w:val="20"/>
                <w:color w:val="auto"/>
              </w:rPr>
            </w:pPr>
            <w:r>
              <w:rPr>
                <w:rFonts w:ascii="Arial" w:cs="Arial" w:eastAsia="Arial" w:hAnsi="Arial"/>
                <w:sz w:val="17"/>
                <w:szCs w:val="17"/>
                <w:color w:val="auto"/>
                <w:w w:val="70"/>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64,817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90"/>
              </w:rPr>
              <w:t>Share-based compensation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w w:val="70"/>
              </w:rPr>
              <w:t>--</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Balance, June 30, 2017</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ind w:left="600"/>
              <w:spacing w:after="0"/>
              <w:rPr>
                <w:sz w:val="20"/>
                <w:szCs w:val="20"/>
                <w:color w:val="auto"/>
              </w:rPr>
            </w:pPr>
            <w:r>
              <w:rPr>
                <w:rFonts w:ascii="Arial" w:cs="Arial" w:eastAsia="Arial" w:hAnsi="Arial"/>
                <w:sz w:val="17"/>
                <w:szCs w:val="17"/>
                <w:b w:val="1"/>
                <w:bCs w:val="1"/>
                <w:color w:val="auto"/>
                <w:w w:val="70"/>
              </w:rPr>
              <w:t>--</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89"/>
              </w:rPr>
              <w:t>1,380,429</w:t>
            </w:r>
          </w:p>
        </w:tc>
        <w:tc>
          <w:tcPr>
            <w:tcW w:w="2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(509,203)</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(358)</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(338,903)</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532,067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December 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b w:val="1"/>
                <w:bCs w:val="1"/>
                <w:color w:val="auto"/>
                <w:w w:val="70"/>
              </w:rPr>
              <w:t>--</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1,383,934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(579,113)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(358)</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(328,213)</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476,367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600"/>
              <w:spacing w:after="0"/>
              <w:rPr>
                <w:sz w:val="20"/>
                <w:szCs w:val="20"/>
                <w:color w:val="auto"/>
              </w:rPr>
            </w:pPr>
            <w:r>
              <w:rPr>
                <w:rFonts w:ascii="Arial" w:cs="Arial" w:eastAsia="Arial" w:hAnsi="Arial"/>
                <w:sz w:val="17"/>
                <w:szCs w:val="17"/>
                <w:color w:val="auto"/>
                <w:w w:val="70"/>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(55,290)</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(55,046)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translation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w w:val="70"/>
              </w:rPr>
              <w:t>--</w:t>
            </w:r>
          </w:p>
        </w:tc>
        <w:tc>
          <w:tcPr>
            <w:tcW w:w="18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(24,253)</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600"/>
              <w:spacing w:after="0"/>
              <w:rPr>
                <w:sz w:val="20"/>
                <w:szCs w:val="20"/>
                <w:color w:val="auto"/>
              </w:rPr>
            </w:pPr>
            <w:r>
              <w:rPr>
                <w:rFonts w:ascii="Arial" w:cs="Arial" w:eastAsia="Arial" w:hAnsi="Arial"/>
                <w:sz w:val="17"/>
                <w:szCs w:val="17"/>
                <w:color w:val="auto"/>
                <w:w w:val="70"/>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implementation of ASU</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2014-09</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w w:val="70"/>
              </w:rPr>
              <w:t>--</w:t>
            </w:r>
          </w:p>
        </w:tc>
        <w:tc>
          <w:tcPr>
            <w:tcW w:w="18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Issuance of shares for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20"/>
                <w:szCs w:val="20"/>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6,972</w:t>
            </w:r>
          </w:p>
        </w:tc>
        <w:tc>
          <w:tcPr>
            <w:tcW w:w="140" w:type="dxa"/>
            <w:vAlign w:val="bottom"/>
          </w:tcPr>
          <w:p>
            <w:pPr>
              <w:spacing w:after="0"/>
              <w:rPr>
                <w:sz w:val="20"/>
                <w:szCs w:val="20"/>
                <w:color w:val="auto"/>
              </w:rPr>
            </w:pPr>
          </w:p>
        </w:tc>
        <w:tc>
          <w:tcPr>
            <w:tcW w:w="720" w:type="dxa"/>
            <w:vAlign w:val="bottom"/>
            <w:gridSpan w:val="2"/>
          </w:tcPr>
          <w:p>
            <w:pPr>
              <w:ind w:left="600"/>
              <w:spacing w:after="0"/>
              <w:rPr>
                <w:sz w:val="20"/>
                <w:szCs w:val="20"/>
                <w:color w:val="auto"/>
              </w:rPr>
            </w:pPr>
            <w:r>
              <w:rPr>
                <w:rFonts w:ascii="Arial" w:cs="Arial" w:eastAsia="Arial" w:hAnsi="Arial"/>
                <w:sz w:val="17"/>
                <w:szCs w:val="17"/>
                <w:color w:val="auto"/>
                <w:w w:val="70"/>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166,892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173,864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attributable to</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Class A preferred shares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12)</w:t>
            </w:r>
          </w:p>
        </w:tc>
        <w:tc>
          <w:tcPr>
            <w:tcW w:w="1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48,333</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w w:val="70"/>
              </w:rPr>
              <w:t>--</w:t>
            </w:r>
          </w:p>
        </w:tc>
        <w:tc>
          <w:tcPr>
            <w:tcW w:w="18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(48,488)</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0"/>
              </w:rPr>
              <w:t>Share-based compensation</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600"/>
              <w:spacing w:after="0"/>
              <w:rPr>
                <w:sz w:val="20"/>
                <w:szCs w:val="20"/>
                <w:color w:val="auto"/>
              </w:rPr>
            </w:pPr>
            <w:r>
              <w:rPr>
                <w:rFonts w:ascii="Arial" w:cs="Arial" w:eastAsia="Arial" w:hAnsi="Arial"/>
                <w:sz w:val="17"/>
                <w:szCs w:val="17"/>
                <w:color w:val="auto"/>
                <w:w w:val="70"/>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5,013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(632)</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55,305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b w:val="1"/>
                <w:bCs w:val="1"/>
                <w:color w:val="auto"/>
                <w:w w:val="70"/>
              </w:rPr>
              <w:t>--</w:t>
            </w:r>
          </w:p>
        </w:tc>
        <w:tc>
          <w:tcPr>
            <w:tcW w:w="18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1,555,994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(682,497)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(990)</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(352,466)</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575,465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Preferred</w:t>
            </w:r>
          </w:p>
        </w:tc>
        <w:tc>
          <w:tcPr>
            <w:tcW w:w="240" w:type="dxa"/>
            <w:vAlign w:val="bottom"/>
          </w:tcPr>
          <w:p>
            <w:pPr>
              <w:spacing w:after="0"/>
              <w:rPr>
                <w:sz w:val="24"/>
                <w:szCs w:val="24"/>
                <w:color w:val="auto"/>
              </w:rPr>
            </w:pPr>
          </w:p>
        </w:tc>
        <w:tc>
          <w:tcPr>
            <w:tcW w:w="8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2"/>
              </w:rPr>
              <w:t>Common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Shares (in</w:t>
            </w:r>
          </w:p>
        </w:tc>
        <w:tc>
          <w:tcPr>
            <w:tcW w:w="240" w:type="dxa"/>
            <w:vAlign w:val="bottom"/>
          </w:tcPr>
          <w:p>
            <w:pPr>
              <w:spacing w:after="0"/>
              <w:rPr>
                <w:sz w:val="18"/>
                <w:szCs w:val="18"/>
                <w:color w:val="auto"/>
              </w:rPr>
            </w:pPr>
          </w:p>
        </w:tc>
        <w:tc>
          <w:tcPr>
            <w:tcW w:w="1640" w:type="dxa"/>
            <w:vAlign w:val="bottom"/>
            <w:gridSpan w:val="7"/>
          </w:tcPr>
          <w:p>
            <w:pPr>
              <w:jc w:val="center"/>
              <w:ind w:right="700"/>
              <w:spacing w:after="0"/>
              <w:rPr>
                <w:sz w:val="20"/>
                <w:szCs w:val="20"/>
                <w:color w:val="auto"/>
              </w:rPr>
            </w:pPr>
            <w:r>
              <w:rPr>
                <w:rFonts w:ascii="Arial" w:cs="Arial" w:eastAsia="Arial" w:hAnsi="Arial"/>
                <w:sz w:val="18"/>
                <w:szCs w:val="18"/>
                <w:b w:val="1"/>
                <w:bCs w:val="1"/>
                <w:color w:val="auto"/>
                <w:w w:val="89"/>
              </w:rPr>
              <w:t>Shares (in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thousands)</w:t>
            </w:r>
          </w:p>
        </w:tc>
        <w:tc>
          <w:tcPr>
            <w:tcW w:w="240" w:type="dxa"/>
            <w:vAlign w:val="bottom"/>
          </w:tcPr>
          <w:p>
            <w:pPr>
              <w:spacing w:after="0"/>
              <w:rPr>
                <w:sz w:val="20"/>
                <w:szCs w:val="20"/>
                <w:color w:val="auto"/>
              </w:rPr>
            </w:pPr>
          </w:p>
        </w:tc>
        <w:tc>
          <w:tcPr>
            <w:tcW w:w="1640" w:type="dxa"/>
            <w:vAlign w:val="bottom"/>
            <w:gridSpan w:val="7"/>
          </w:tcPr>
          <w:p>
            <w:pPr>
              <w:jc w:val="center"/>
              <w:ind w:right="720"/>
              <w:spacing w:after="0"/>
              <w:rPr>
                <w:sz w:val="20"/>
                <w:szCs w:val="20"/>
                <w:color w:val="auto"/>
              </w:rPr>
            </w:pPr>
            <w:r>
              <w:rPr>
                <w:rFonts w:ascii="Arial" w:cs="Arial" w:eastAsia="Arial" w:hAnsi="Arial"/>
                <w:sz w:val="18"/>
                <w:szCs w:val="18"/>
                <w:b w:val="1"/>
                <w:bCs w:val="1"/>
                <w:color w:val="auto"/>
                <w:w w:val="86"/>
              </w:rPr>
              <w:t>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7"/>
              </w:rPr>
              <w:t>Balance, December 31, 2017</w:t>
            </w: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40" w:type="dxa"/>
            <w:vAlign w:val="bottom"/>
            <w:shd w:val="clear" w:color="auto" w:fill="CCEEFF"/>
          </w:tcPr>
          <w:p>
            <w:pPr>
              <w:spacing w:after="0"/>
              <w:rPr>
                <w:sz w:val="18"/>
                <w:szCs w:val="18"/>
                <w:color w:val="auto"/>
              </w:rPr>
            </w:pPr>
          </w:p>
        </w:tc>
        <w:tc>
          <w:tcPr>
            <w:tcW w:w="940" w:type="dxa"/>
            <w:vAlign w:val="bottom"/>
            <w:tcBorders>
              <w:top w:val="single" w:sz="8" w:color="auto"/>
            </w:tcBorders>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w w:val="89"/>
              </w:rPr>
              <w:t>132,262</w:t>
            </w:r>
          </w:p>
        </w:tc>
        <w:tc>
          <w:tcPr>
            <w:tcW w:w="12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2"/>
              </w:rPr>
              <w:t>Stock-based compensation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1,566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for</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spacing w:after="0"/>
              <w:rPr>
                <w:sz w:val="17"/>
                <w:szCs w:val="17"/>
                <w:color w:val="auto"/>
              </w:rPr>
            </w:pPr>
          </w:p>
        </w:tc>
        <w:tc>
          <w:tcPr>
            <w:tcW w:w="9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9,679</w:t>
            </w:r>
          </w:p>
        </w:tc>
        <w:tc>
          <w:tcPr>
            <w:tcW w:w="240" w:type="dxa"/>
            <w:vAlign w:val="bottom"/>
            <w:vMerge w:val="restart"/>
            <w:shd w:val="clear" w:color="auto" w:fill="CCEEFF"/>
          </w:tcPr>
          <w:p>
            <w:pPr>
              <w:spacing w:after="0"/>
              <w:rPr>
                <w:sz w:val="17"/>
                <w:szCs w:val="17"/>
                <w:color w:val="auto"/>
              </w:rPr>
            </w:pPr>
          </w:p>
        </w:tc>
        <w:tc>
          <w:tcPr>
            <w:tcW w:w="94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34,130</w:t>
            </w:r>
          </w:p>
        </w:tc>
        <w:tc>
          <w:tcPr>
            <w:tcW w:w="120" w:type="dxa"/>
            <w:vAlign w:val="bottom"/>
            <w:vMerge w:val="restart"/>
            <w:shd w:val="clear" w:color="auto" w:fill="CCEEFF"/>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vMerge w:val="continue"/>
            <w:shd w:val="clear" w:color="auto" w:fill="CCEEFF"/>
          </w:tcPr>
          <w:p>
            <w:pPr>
              <w:spacing w:after="0"/>
              <w:rPr>
                <w:sz w:val="18"/>
                <w:szCs w:val="18"/>
                <w:color w:val="auto"/>
              </w:rPr>
            </w:pPr>
          </w:p>
        </w:tc>
        <w:tc>
          <w:tcPr>
            <w:tcW w:w="940" w:type="dxa"/>
            <w:vAlign w:val="bottom"/>
            <w:tcBorders>
              <w:bottom w:val="single" w:sz="8" w:color="auto"/>
            </w:tcBorders>
            <w:gridSpan w:val="3"/>
            <w:vMerge w:val="continue"/>
            <w:shd w:val="clear" w:color="auto" w:fill="CCEEFF"/>
          </w:tcPr>
          <w:p>
            <w:pPr>
              <w:spacing w:after="0"/>
              <w:rPr>
                <w:sz w:val="18"/>
                <w:szCs w:val="18"/>
                <w:color w:val="auto"/>
              </w:rPr>
            </w:pPr>
          </w:p>
        </w:tc>
        <w:tc>
          <w:tcPr>
            <w:tcW w:w="240" w:type="dxa"/>
            <w:vAlign w:val="bottom"/>
            <w:tcBorders>
              <w:bottom w:val="single" w:sz="8" w:color="CCEEFF"/>
            </w:tcBorders>
            <w:vMerge w:val="continue"/>
            <w:shd w:val="clear" w:color="auto" w:fill="CCEEFF"/>
          </w:tcPr>
          <w:p>
            <w:pPr>
              <w:spacing w:after="0"/>
              <w:rPr>
                <w:sz w:val="18"/>
                <w:szCs w:val="18"/>
                <w:color w:val="auto"/>
              </w:rPr>
            </w:pPr>
          </w:p>
        </w:tc>
        <w:tc>
          <w:tcPr>
            <w:tcW w:w="940" w:type="dxa"/>
            <w:vAlign w:val="bottom"/>
            <w:tcBorders>
              <w:bottom w:val="single" w:sz="8" w:color="auto"/>
            </w:tcBorders>
            <w:gridSpan w:val="4"/>
            <w:vMerge w:val="continue"/>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Balance, June 30, 2018</w:t>
            </w:r>
          </w:p>
        </w:tc>
        <w:tc>
          <w:tcPr>
            <w:tcW w:w="1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b w:val="1"/>
                <w:bCs w:val="1"/>
                <w:color w:val="auto"/>
              </w:rPr>
              <w:t>9,679</w:t>
            </w:r>
          </w:p>
        </w:tc>
        <w:tc>
          <w:tcPr>
            <w:tcW w:w="1300" w:type="dxa"/>
            <w:vAlign w:val="bottom"/>
            <w:gridSpan w:val="6"/>
          </w:tcPr>
          <w:p>
            <w:pPr>
              <w:ind w:left="580"/>
              <w:spacing w:after="0"/>
              <w:rPr>
                <w:sz w:val="20"/>
                <w:szCs w:val="20"/>
                <w:color w:val="auto"/>
              </w:rPr>
            </w:pPr>
            <w:r>
              <w:rPr>
                <w:rFonts w:ascii="Arial" w:cs="Arial" w:eastAsia="Arial" w:hAnsi="Arial"/>
                <w:sz w:val="18"/>
                <w:szCs w:val="18"/>
                <w:b w:val="1"/>
                <w:bCs w:val="1"/>
                <w:color w:val="auto"/>
              </w:rPr>
              <w:t>167,958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(55,046)</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65,034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charges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benefit</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Non-cash compensation charge</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5,013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Gains on disposals of assets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Provision for loss on receivables, net of recoveries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3,111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(16,668)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Taxes payable</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 and liabilities, net</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cash flows provided by operating activities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13,977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14,401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Payments related to acquisitions, net of cash acquired</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(185,200)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used in investing activities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(187,595)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Proceeds from issuance of common shares, net</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64,817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Revolving credit borrowings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232,123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Revolving credit repayments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(70,067)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(84,462)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repayments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(11,068)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(2,742)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Net cash flows provided by financing activities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147,614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14,792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(1,857)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32,647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4,786</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of common shares issued as consideration for acquisitions</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119,297</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Value of preferred shares issued as consideration for acquisition</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54,821</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dividends paid-in-kind</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one of the largest integrated providers of workforce accommodations, logistics and facility management services to the natural resource industry. Our scalable modular facilities provide long-term and temporary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our customers’ employees and contractors in the Canadian oil sands and in a variety of oil and natural gas drilling, mining and related natural resource applications as well as disaster relief efforts, primarily in Canada, Australia and the United States. We operate in three principal reportable business segments – Canada, Australia and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78" w:lineRule="exact"/>
        <w:rPr>
          <w:sz w:val="20"/>
          <w:szCs w:val="20"/>
          <w:color w:val="auto"/>
        </w:rPr>
      </w:pPr>
    </w:p>
    <w:p>
      <w:pPr>
        <w:ind w:right="480" w:firstLine="324"/>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2017.</w:t>
      </w:r>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6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January 2017, the FASB issued Accounting Standards Update (ASU) 2017-01, “Business Combinations (Topic 805): Clarifying the Definition of a Business” which changes the definition of a business to assist entities with evaluating when a set of transferred assets and activities is a business. ASU 2017-01 requires an entity to evaluate if substantially all of the fair value of the gross assets acquired is concentrated in a single identifiable asset or a group of similar identifiable assets; if so, the set of transferred assets and activities is not a business. The standard is effective for interim and annual reporting periods beginning after December 15, 2017. Effective with our quarterly report on Form 10-Q for the quarter ended March 31, 2018, we have adopted this standard effective January 1, 2018.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June 2016, the FASB issued ASU 2016-13, “Financial Instruments – Credit Losses” (ASU 2016-13). This new standard changes how companies will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are currently evaluating the impact of this new standard on our consolidated financial statements.</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February 2016, the FASB issued ASU 2016-02, “Leases” (Topic 842), which replaces the existing guidance for lease accounting, Leases (Topic 840). ASU 2016-02 requires lessees to recognize a lease liability and a right-of-use asset for all leases with terms longer than 12 months. The guidance is effective for financial statements issued for reporting periods beginning after December 15, 2018 and interim periods within the reporting periods. An entity will be required to recognize and measure leases at the beginning of the earliest period presented using a modified retrospective approach. We are currently evaluating the impact of this new standard on our consolidated financial statements. We have finalized our implementation plan and are in the process of analyzing our lease portfolio.</w:t>
      </w:r>
    </w:p>
    <w:p>
      <w:pPr>
        <w:spacing w:after="0" w:line="193"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In May 2014, the FASB issued ASU 2014-09 establishing Accounting Standards Codification (ASC) Topic 606, “Revenue from Contracts with Customers” (ASC 606). ASC 606 establishes a comprehensive new revenue recognition model designed to depict the transfer of goods or services to a customer in an amount that reflects the consideration the entity expects to be entitled to receive in exchange for those goods or services and requires significantly enhanced revenue disclosures. The standard is effective for annual and interim reporting periods beginning after December 15, 2017. Effective with our quarterly report on Form 10-Q for the quarter ended March 31, 2018, we have adopted this standard effective January 1, 2018 using the modified retrospective method as applied to customer contracts that were not completed as of January 1, 2018. As a result, financial information for reporting periods beginning after January 1, 2018 is presented under ASC 606, while comparative financial information has not been adjusted and continues to be reported in accordance with the Company’s historical accounting policy for revenue recognition prior to the adoption of ASC 606. Upon adoption of this standard, we recognized a cumulative effect adjustment of $0.4 million to accumulated deficit in the accompanying unaudited consolidated balance sheet as of June 30, 2018. We expect the impact of the adoption of the new standard to be immaterial to our consolidated financial statements on an ongoing basis.</w:t>
      </w:r>
    </w:p>
    <w:p>
      <w:pPr>
        <w:spacing w:after="0" w:line="200" w:lineRule="exact"/>
        <w:rPr>
          <w:sz w:val="20"/>
          <w:szCs w:val="20"/>
          <w:color w:val="auto"/>
        </w:rPr>
      </w:pPr>
    </w:p>
    <w:p>
      <w:pPr>
        <w:spacing w:after="0" w:line="20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generally recognize accommodation, mobile facility rental and catering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 A limited portion of our revenue is recognized at a point in time when control transfers to the customer related to small modular construction and manufacturing contracts, minor catering arrangements and optional purchases our customers make for incidental services offered at our accommodation and mobile facilities.</w:t>
      </w:r>
    </w:p>
    <w:p>
      <w:pPr>
        <w:spacing w:after="0" w:line="17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For significant projects, manufacturing revenues are recognized over time with progress towards completion measured using the cost based input method as the basis to recognize revenue and an estimated profit. Billings on such contracts in excess of costs incurred and estimated profits are classified as deferred revenue. Costs incurred and estimated profits in excess of billings on these contracts are recognized as unbilled receivables. Management believes this input method is the most appropriate measure of progress to the satisfaction of a performance obligation on larger modular construction and manufacturing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to estimates are identified and the amounts can be reasonably estimated.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 w:name="page10"/>
    <w:bookmarkEnd w:id="9"/>
    <w:p>
      <w:pPr>
        <w:jc w:val="center"/>
        <w:ind w:right="-1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following table disaggregates our revenue by our three reportable segments: Canada, Australia and U.S., and major categories for the periods indicated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44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Canada</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Accommodation revenues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80,620</w:t>
            </w:r>
          </w:p>
        </w:tc>
        <w:tc>
          <w:tcPr>
            <w:tcW w:w="2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53,637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131,267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109,867</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Mobile facility rental revenues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Catering and other services revenues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6,089</w:t>
            </w:r>
          </w:p>
        </w:tc>
      </w:tr>
      <w:tr>
        <w:trPr>
          <w:trHeight w:val="21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 revenues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320" w:type="dxa"/>
            <w:vAlign w:val="bottom"/>
          </w:tcPr>
          <w:p>
            <w:pPr>
              <w:ind w:left="160"/>
              <w:spacing w:after="0"/>
              <w:rPr>
                <w:sz w:val="20"/>
                <w:szCs w:val="20"/>
                <w:color w:val="auto"/>
              </w:rPr>
            </w:pPr>
            <w:r>
              <w:rPr>
                <w:rFonts w:ascii="Arial" w:cs="Arial" w:eastAsia="Arial" w:hAnsi="Arial"/>
                <w:sz w:val="18"/>
                <w:szCs w:val="18"/>
                <w:color w:val="auto"/>
              </w:rPr>
              <w:t>Total Canada revenues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86,518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57,668</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149,908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118,174</w:t>
            </w:r>
          </w:p>
        </w:tc>
      </w:tr>
      <w:tr>
        <w:trPr>
          <w:trHeight w:val="216"/>
        </w:trPr>
        <w:tc>
          <w:tcPr>
            <w:tcW w:w="5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Australia</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Accommodation 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28,607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57,664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55,623</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Catering and other services revenues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Australia revenues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28,607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55,623</w:t>
            </w:r>
          </w:p>
        </w:tc>
      </w:tr>
      <w:tr>
        <w:trPr>
          <w:trHeight w:val="216"/>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Accommodation revenues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5,177</w:t>
            </w:r>
          </w:p>
        </w:tc>
        <w:tc>
          <w:tcPr>
            <w:tcW w:w="2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2,446</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8,343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4,544</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Mobile facility rental revenues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Manufacturing revenues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1,907</w:t>
            </w:r>
          </w:p>
        </w:tc>
      </w:tr>
      <w:tr>
        <w:trPr>
          <w:trHeight w:val="21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Catering and other services revenues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320" w:type="dxa"/>
            <w:vAlign w:val="bottom"/>
          </w:tcPr>
          <w:p>
            <w:pPr>
              <w:ind w:left="160"/>
              <w:spacing w:after="0"/>
              <w:rPr>
                <w:sz w:val="20"/>
                <w:szCs w:val="20"/>
                <w:color w:val="auto"/>
              </w:rPr>
            </w:pPr>
            <w:r>
              <w:rPr>
                <w:rFonts w:ascii="Arial" w:cs="Arial" w:eastAsia="Arial" w:hAnsi="Arial"/>
                <w:sz w:val="18"/>
                <w:szCs w:val="18"/>
                <w:color w:val="auto"/>
              </w:rPr>
              <w:t>Total United States revenues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5,735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23,321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9,642</w:t>
            </w:r>
          </w:p>
        </w:tc>
      </w:tr>
      <w:tr>
        <w:trPr>
          <w:trHeight w:val="216"/>
        </w:trPr>
        <w:tc>
          <w:tcPr>
            <w:tcW w:w="5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130,177</w:t>
            </w:r>
          </w:p>
        </w:tc>
        <w:tc>
          <w:tcPr>
            <w:tcW w:w="2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92,010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231,681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183,439</w:t>
            </w:r>
          </w:p>
        </w:tc>
      </w:tr>
      <w:tr>
        <w:trPr>
          <w:trHeight w:val="20"/>
        </w:trPr>
        <w:tc>
          <w:tcPr>
            <w:tcW w:w="5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accommodation services under take-or-pay contracts with terms that most often range from several months to three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spacing w:after="0" w:line="16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payment terms vary by the type and location of our customer and the products or services offered. The term between invoicing and when our performance obligations are satisfied is not significant. Payment terms are generally within 30 days. We do not have significant financing components or significant payment terms.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exclude taxes assessed based on revenues such as sales or value added taxes.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of June 30, 2018, for contracts that are greater than one year, the table below discloses the estimated revenues related to performance obligations that are unsatisfied (or partially unsatisfied) and when we expect to recognize the revenue (in thousands):</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9"/>
          </w:tcPr>
          <w:p>
            <w:pPr>
              <w:jc w:val="center"/>
              <w:ind w:right="460"/>
              <w:spacing w:after="0"/>
              <w:rPr>
                <w:sz w:val="20"/>
                <w:szCs w:val="20"/>
                <w:color w:val="auto"/>
              </w:rPr>
            </w:pPr>
            <w:r>
              <w:rPr>
                <w:rFonts w:ascii="Arial" w:cs="Arial" w:eastAsia="Arial" w:hAnsi="Arial"/>
                <w:sz w:val="18"/>
                <w:szCs w:val="18"/>
                <w:b w:val="1"/>
                <w:bCs w:val="1"/>
                <w:color w:val="auto"/>
                <w:w w:val="88"/>
              </w:rPr>
              <w:t>For the years ending December 31,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Thereafter</w:t>
            </w:r>
          </w:p>
        </w:tc>
        <w:tc>
          <w:tcPr>
            <w:tcW w:w="240" w:type="dxa"/>
            <w:vAlign w:val="bottom"/>
          </w:tcPr>
          <w:p>
            <w:pPr>
              <w:spacing w:after="0"/>
              <w:rPr>
                <w:sz w:val="18"/>
                <w:szCs w:val="18"/>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Revenue expected to be recognized as of June 30,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71,680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81,789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200,427</w:t>
            </w: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of June 30, 2018 and December 31, 2017,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During the first quarter of 2018, we wrote down certain long-lived assets to fair value.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oil, coal and natural gas prices, anticipated spending by our customers, the cost of capital, and industry and/or local market conditions. Please see Note 6 – Impairment Charges for further information.</w:t>
      </w:r>
    </w:p>
    <w:p>
      <w:pPr>
        <w:spacing w:after="0" w:line="18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During the first and second quarter of 2018, we acquired certain assets and businesses and recorded them at fair value. Determining the fair value of assets acquired and liabilities assumed requires the exercise of significant judgment, including the amount and timing of expected future cash flows, long-term growth rates and discount rates. The cash flows employed in the valuation are based on our best estimates of future sales, earnings and cash flows after considering factors such as general market conditions, expected future customer orders, contracts with suppliers, labor costs, changes in working capital, long term business plans and recent operating performance. Please see Note 7 – Acquisitions for further information.</w:t>
      </w:r>
    </w:p>
    <w:p>
      <w:pPr>
        <w:spacing w:after="0" w:line="200" w:lineRule="exact"/>
        <w:rPr>
          <w:sz w:val="20"/>
          <w:szCs w:val="20"/>
          <w:color w:val="auto"/>
        </w:rPr>
      </w:pPr>
    </w:p>
    <w:p>
      <w:pPr>
        <w:spacing w:after="0" w:line="21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Additional information regarding selected balance sheet accounts at June 30, 2018 and December 31, 2017 is presented below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June 30, 2018</w:t>
            </w:r>
          </w:p>
        </w:tc>
        <w:tc>
          <w:tcPr>
            <w:tcW w:w="60" w:type="dxa"/>
            <w:vAlign w:val="bottom"/>
          </w:tcPr>
          <w:p>
            <w:pPr>
              <w:spacing w:after="0"/>
              <w:rPr>
                <w:sz w:val="20"/>
                <w:szCs w:val="20"/>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December 31, 2017</w:t>
            </w:r>
          </w:p>
        </w:tc>
        <w:tc>
          <w:tcPr>
            <w:tcW w:w="74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28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Trade</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54,190</w:t>
            </w:r>
          </w:p>
        </w:tc>
        <w:tc>
          <w:tcPr>
            <w:tcW w:w="6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46,692</w:t>
            </w:r>
          </w:p>
        </w:tc>
        <w:tc>
          <w:tcPr>
            <w:tcW w:w="7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22,741</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20,555</w:t>
            </w:r>
          </w:p>
        </w:tc>
        <w:tc>
          <w:tcPr>
            <w:tcW w:w="7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914</w:t>
            </w:r>
          </w:p>
        </w:tc>
        <w:tc>
          <w:tcPr>
            <w:tcW w:w="74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accounts receivable</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68,161</w:t>
            </w:r>
          </w:p>
        </w:tc>
        <w:tc>
          <w:tcPr>
            <w:tcW w:w="7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(1,338)</w:t>
            </w:r>
          </w:p>
        </w:tc>
        <w:tc>
          <w:tcPr>
            <w:tcW w:w="74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28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75,789</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66,823</w:t>
            </w:r>
          </w:p>
        </w:tc>
        <w:tc>
          <w:tcPr>
            <w:tcW w:w="740" w:type="dxa"/>
            <w:vAlign w:val="bottom"/>
          </w:tcPr>
          <w:p>
            <w:pPr>
              <w:spacing w:after="0"/>
              <w:rPr>
                <w:sz w:val="21"/>
                <w:szCs w:val="21"/>
                <w:color w:val="auto"/>
              </w:rPr>
            </w:pPr>
          </w:p>
        </w:tc>
      </w:tr>
      <w:tr>
        <w:trPr>
          <w:trHeight w:val="413"/>
        </w:trPr>
        <w:tc>
          <w:tcPr>
            <w:tcW w:w="980" w:type="dxa"/>
            <w:vAlign w:val="bottom"/>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820" w:type="dxa"/>
            <w:vAlign w:val="bottom"/>
            <w:tcBorders>
              <w:top w:val="single" w:sz="8" w:color="CCEEFF"/>
            </w:tcBorders>
          </w:tcPr>
          <w:p>
            <w:pPr>
              <w:jc w:val="right"/>
              <w:ind w:right="1410"/>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3620" w:type="dxa"/>
            <w:vAlign w:val="bottom"/>
            <w:gridSpan w:val="4"/>
          </w:tcPr>
          <w:p>
            <w:pPr>
              <w:jc w:val="center"/>
              <w:spacing w:after="0"/>
              <w:rPr>
                <w:sz w:val="20"/>
                <w:szCs w:val="20"/>
                <w:color w:val="auto"/>
              </w:rPr>
            </w:pPr>
            <w:r>
              <w:rPr>
                <w:rFonts w:ascii="Arial" w:cs="Arial" w:eastAsia="Arial" w:hAnsi="Arial"/>
                <w:sz w:val="18"/>
                <w:szCs w:val="18"/>
                <w:b w:val="1"/>
                <w:bCs w:val="1"/>
                <w:color w:val="auto"/>
              </w:rPr>
              <w:t>CIVEO CORPORATION</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920" w:type="dxa"/>
            <w:vAlign w:val="bottom"/>
          </w:tcPr>
          <w:p>
            <w:pPr>
              <w:spacing w:after="0"/>
              <w:rPr>
                <w:sz w:val="24"/>
                <w:szCs w:val="24"/>
                <w:color w:val="auto"/>
              </w:rPr>
            </w:pPr>
          </w:p>
        </w:tc>
        <w:tc>
          <w:tcPr>
            <w:tcW w:w="3620" w:type="dxa"/>
            <w:vAlign w:val="bottom"/>
            <w:gridSpan w:val="4"/>
          </w:tcPr>
          <w:p>
            <w:pPr>
              <w:jc w:val="center"/>
              <w:spacing w:after="0"/>
              <w:rPr>
                <w:sz w:val="20"/>
                <w:szCs w:val="20"/>
                <w:color w:val="auto"/>
              </w:rPr>
            </w:pPr>
            <w:r>
              <w:rPr>
                <w:rFonts w:ascii="Arial" w:cs="Arial" w:eastAsia="Arial" w:hAnsi="Arial"/>
                <w:sz w:val="18"/>
                <w:szCs w:val="18"/>
                <w:b w:val="1"/>
                <w:bCs w:val="1"/>
                <w:color w:val="auto"/>
              </w:rPr>
              <w:t>NOTES TO UNAUDITED CONSOLIDATED</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3620" w:type="dxa"/>
            <w:vAlign w:val="bottom"/>
            <w:gridSpan w:val="4"/>
          </w:tcPr>
          <w:p>
            <w:pPr>
              <w:jc w:val="center"/>
              <w:spacing w:after="0"/>
              <w:rPr>
                <w:sz w:val="20"/>
                <w:szCs w:val="20"/>
                <w:color w:val="auto"/>
              </w:rPr>
            </w:pPr>
            <w:r>
              <w:rPr>
                <w:rFonts w:ascii="Arial" w:cs="Arial" w:eastAsia="Arial" w:hAnsi="Arial"/>
                <w:sz w:val="18"/>
                <w:szCs w:val="18"/>
                <w:b w:val="1"/>
                <w:bCs w:val="1"/>
                <w:color w:val="auto"/>
              </w:rPr>
              <w:t>FINANCIAL STATEMENTS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20" w:type="dxa"/>
            <w:vAlign w:val="bottom"/>
          </w:tcPr>
          <w:p>
            <w:pPr>
              <w:spacing w:after="0"/>
              <w:rPr>
                <w:sz w:val="20"/>
                <w:szCs w:val="20"/>
                <w:color w:val="auto"/>
              </w:rPr>
            </w:pPr>
          </w:p>
        </w:tc>
        <w:tc>
          <w:tcPr>
            <w:tcW w:w="36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(Continued)</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June 30, 2018</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December 31, 2017</w:t>
            </w: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w w:val="90"/>
              </w:rPr>
              <w:t>Finished goods and purchased products</w:t>
            </w:r>
          </w:p>
        </w:tc>
        <w:tc>
          <w:tcPr>
            <w:tcW w:w="3620" w:type="dxa"/>
            <w:vAlign w:val="bottom"/>
            <w:gridSpan w:val="4"/>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2,581</w:t>
            </w:r>
          </w:p>
        </w:tc>
        <w:tc>
          <w:tcPr>
            <w:tcW w:w="1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Raw materials</w:t>
            </w:r>
          </w:p>
        </w:tc>
        <w:tc>
          <w:tcPr>
            <w:tcW w:w="2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1,099</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r>
      <w:tr>
        <w:trPr>
          <w:trHeight w:val="250"/>
        </w:trPr>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3420" w:type="dxa"/>
            <w:vAlign w:val="bottom"/>
            <w:tcBorders>
              <w:bottom w:val="single" w:sz="8" w:color="CCEEFF"/>
              <w:right w:val="single" w:sz="8" w:color="CCEEFF"/>
            </w:tcBorders>
            <w:gridSpan w:val="3"/>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10"/>
        </w:trPr>
        <w:tc>
          <w:tcPr>
            <w:tcW w:w="2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60" w:type="dxa"/>
            <w:vAlign w:val="bottom"/>
            <w:gridSpan w:val="3"/>
          </w:tcPr>
          <w:p>
            <w:pPr>
              <w:jc w:val="center"/>
              <w:ind w:right="345"/>
              <w:spacing w:after="0"/>
              <w:rPr>
                <w:sz w:val="20"/>
                <w:szCs w:val="20"/>
                <w:color w:val="auto"/>
              </w:rPr>
            </w:pPr>
            <w:r>
              <w:rPr>
                <w:rFonts w:ascii="Arial" w:cs="Arial" w:eastAsia="Arial" w:hAnsi="Arial"/>
                <w:sz w:val="18"/>
                <w:szCs w:val="18"/>
                <w:b w:val="1"/>
                <w:bCs w:val="1"/>
                <w:color w:val="auto"/>
                <w:w w:val="90"/>
              </w:rPr>
              <w:t>Estimated</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60" w:type="dxa"/>
            <w:vAlign w:val="bottom"/>
            <w:gridSpan w:val="3"/>
          </w:tcPr>
          <w:p>
            <w:pPr>
              <w:jc w:val="center"/>
              <w:ind w:right="325"/>
              <w:spacing w:after="0"/>
              <w:rPr>
                <w:sz w:val="20"/>
                <w:szCs w:val="20"/>
                <w:color w:val="auto"/>
              </w:rPr>
            </w:pPr>
            <w:r>
              <w:rPr>
                <w:rFonts w:ascii="Arial" w:cs="Arial" w:eastAsia="Arial" w:hAnsi="Arial"/>
                <w:sz w:val="18"/>
                <w:szCs w:val="18"/>
                <w:b w:val="1"/>
                <w:bCs w:val="1"/>
                <w:color w:val="auto"/>
                <w:w w:val="91"/>
              </w:rPr>
              <w:t>Useful Life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60" w:type="dxa"/>
            <w:vAlign w:val="bottom"/>
            <w:gridSpan w:val="3"/>
          </w:tcPr>
          <w:p>
            <w:pPr>
              <w:jc w:val="center"/>
              <w:ind w:right="325"/>
              <w:spacing w:after="0"/>
              <w:rPr>
                <w:sz w:val="20"/>
                <w:szCs w:val="20"/>
                <w:color w:val="auto"/>
              </w:rPr>
            </w:pPr>
            <w:r>
              <w:rPr>
                <w:rFonts w:ascii="Arial" w:cs="Arial" w:eastAsia="Arial" w:hAnsi="Arial"/>
                <w:sz w:val="18"/>
                <w:szCs w:val="18"/>
                <w:b w:val="1"/>
                <w:bCs w:val="1"/>
                <w:color w:val="auto"/>
                <w:w w:val="89"/>
              </w:rPr>
              <w:t>(in years)</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June 30, 2018</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December 31, 2017</w:t>
            </w: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Property, plant and equipment, net:</w:t>
            </w:r>
          </w:p>
        </w:tc>
        <w:tc>
          <w:tcPr>
            <w:tcW w:w="20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Land</w:t>
            </w:r>
          </w:p>
        </w:tc>
        <w:tc>
          <w:tcPr>
            <w:tcW w:w="3620" w:type="dxa"/>
            <w:vAlign w:val="bottom"/>
            <w:gridSpan w:val="4"/>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47,929</w:t>
            </w:r>
          </w:p>
        </w:tc>
        <w:tc>
          <w:tcPr>
            <w:tcW w:w="1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40,567</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assets</w:t>
            </w:r>
          </w:p>
        </w:tc>
        <w:tc>
          <w:tcPr>
            <w:tcW w:w="322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3 - 15</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1,719,298</w:t>
            </w: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1,658,867</w:t>
            </w:r>
          </w:p>
        </w:tc>
        <w:tc>
          <w:tcPr>
            <w:tcW w:w="1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w w:val="94"/>
              </w:rPr>
              <w:t>Buildings and leasehold improvements</w:t>
            </w:r>
          </w:p>
        </w:tc>
        <w:tc>
          <w:tcPr>
            <w:tcW w:w="3220" w:type="dxa"/>
            <w:vAlign w:val="bottom"/>
            <w:gridSpan w:val="2"/>
          </w:tcPr>
          <w:p>
            <w:pPr>
              <w:ind w:left="2560"/>
              <w:spacing w:after="0"/>
              <w:rPr>
                <w:sz w:val="20"/>
                <w:szCs w:val="20"/>
                <w:color w:val="auto"/>
              </w:rPr>
            </w:pPr>
            <w:r>
              <w:rPr>
                <w:rFonts w:ascii="Arial" w:cs="Arial" w:eastAsia="Arial" w:hAnsi="Arial"/>
                <w:sz w:val="18"/>
                <w:szCs w:val="18"/>
                <w:color w:val="auto"/>
              </w:rPr>
              <w:t>5 - 20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24,229</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24,181</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22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4 - 15</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10,243</w:t>
            </w: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1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3220" w:type="dxa"/>
            <w:vAlign w:val="bottom"/>
            <w:gridSpan w:val="2"/>
          </w:tcPr>
          <w:p>
            <w:pPr>
              <w:ind w:left="2560"/>
              <w:spacing w:after="0"/>
              <w:rPr>
                <w:sz w:val="20"/>
                <w:szCs w:val="20"/>
                <w:color w:val="auto"/>
              </w:rPr>
            </w:pPr>
            <w:r>
              <w:rPr>
                <w:rFonts w:ascii="Arial" w:cs="Arial" w:eastAsia="Arial" w:hAnsi="Arial"/>
                <w:sz w:val="18"/>
                <w:szCs w:val="18"/>
                <w:color w:val="auto"/>
              </w:rPr>
              <w:t>3 - 7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53,889</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53,688</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322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3 - 5</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14,390</w:t>
            </w: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13,869</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8"/>
                <w:szCs w:val="18"/>
                <w:color w:val="auto"/>
              </w:rPr>
            </w:pPr>
          </w:p>
        </w:tc>
      </w:tr>
      <w:tr>
        <w:trPr>
          <w:trHeight w:val="210"/>
        </w:trPr>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Total property, plant and equipment</w:t>
            </w:r>
          </w:p>
        </w:tc>
        <w:tc>
          <w:tcPr>
            <w:tcW w:w="2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1,874,458</w:t>
            </w: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1,802,790</w:t>
            </w:r>
          </w:p>
        </w:tc>
        <w:tc>
          <w:tcPr>
            <w:tcW w:w="1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(1,140,216)</w:t>
            </w:r>
          </w:p>
        </w:tc>
        <w:tc>
          <w:tcPr>
            <w:tcW w:w="4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(1,108,957)</w:t>
            </w:r>
          </w:p>
        </w:tc>
      </w:tr>
      <w:tr>
        <w:trPr>
          <w:trHeight w:val="20"/>
        </w:trPr>
        <w:tc>
          <w:tcPr>
            <w:tcW w:w="2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0"/>
              </w:rPr>
              <w:t>Total property, plant and equipment, net</w:t>
            </w:r>
          </w:p>
        </w:tc>
        <w:tc>
          <w:tcPr>
            <w:tcW w:w="362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734,242</w:t>
            </w:r>
          </w:p>
        </w:tc>
        <w:tc>
          <w:tcPr>
            <w:tcW w:w="18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693,833</w:t>
            </w:r>
          </w:p>
        </w:tc>
        <w:tc>
          <w:tcPr>
            <w:tcW w:w="100" w:type="dxa"/>
            <w:vAlign w:val="bottom"/>
            <w:shd w:val="clear" w:color="auto" w:fill="CCEEFF"/>
          </w:tcPr>
          <w:p>
            <w:pPr>
              <w:spacing w:after="0"/>
              <w:rPr>
                <w:sz w:val="21"/>
                <w:szCs w:val="21"/>
                <w:color w:val="auto"/>
              </w:rPr>
            </w:pPr>
          </w:p>
        </w:tc>
      </w:tr>
      <w:tr>
        <w:trPr>
          <w:trHeight w:val="629"/>
        </w:trPr>
        <w:tc>
          <w:tcPr>
            <w:tcW w:w="292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June 30, 2018</w:t>
            </w:r>
          </w:p>
        </w:tc>
        <w:tc>
          <w:tcPr>
            <w:tcW w:w="180" w:type="dxa"/>
            <w:vAlign w:val="bottom"/>
            <w:tcBorders>
              <w:top w:val="single" w:sz="8" w:color="CCEEFF"/>
            </w:tcBorders>
          </w:tcPr>
          <w:p>
            <w:pPr>
              <w:spacing w:after="0"/>
              <w:rPr>
                <w:sz w:val="24"/>
                <w:szCs w:val="24"/>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2017</w:t>
            </w:r>
          </w:p>
        </w:tc>
        <w:tc>
          <w:tcPr>
            <w:tcW w:w="100" w:type="dxa"/>
            <w:vAlign w:val="bottom"/>
            <w:tcBorders>
              <w:top w:val="single" w:sz="8" w:color="CCEEFF"/>
            </w:tcBorders>
          </w:tcPr>
          <w:p>
            <w:pPr>
              <w:spacing w:after="0"/>
              <w:rPr>
                <w:sz w:val="24"/>
                <w:szCs w:val="24"/>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2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Accrued compensation</w:t>
            </w:r>
          </w:p>
        </w:tc>
        <w:tc>
          <w:tcPr>
            <w:tcW w:w="3620" w:type="dxa"/>
            <w:vAlign w:val="bottom"/>
            <w:gridSpan w:val="4"/>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15,459</w:t>
            </w:r>
          </w:p>
        </w:tc>
        <w:tc>
          <w:tcPr>
            <w:tcW w:w="1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20,424</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1"/>
              </w:rPr>
              <w:t>Accrued taxes, other than income taxes</w:t>
            </w:r>
          </w:p>
        </w:tc>
        <w:tc>
          <w:tcPr>
            <w:tcW w:w="2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Accrued interest</w:t>
            </w:r>
          </w:p>
        </w:tc>
        <w:tc>
          <w:tcPr>
            <w:tcW w:w="2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r>
      <w:tr>
        <w:trPr>
          <w:trHeight w:val="20"/>
        </w:trPr>
        <w:tc>
          <w:tcPr>
            <w:tcW w:w="292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3420" w:type="dxa"/>
            <w:vAlign w:val="bottom"/>
            <w:gridSpan w:val="3"/>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17,265</w:t>
            </w:r>
          </w:p>
        </w:tc>
        <w:tc>
          <w:tcPr>
            <w:tcW w:w="1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22,208</w:t>
            </w:r>
          </w:p>
        </w:tc>
      </w:tr>
      <w:tr>
        <w:trPr>
          <w:trHeight w:val="20"/>
        </w:trPr>
        <w:tc>
          <w:tcPr>
            <w:tcW w:w="2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b w:val="1"/>
          <w:bCs w:val="1"/>
          <w:i w:val="1"/>
          <w:iCs w:val="1"/>
          <w:color w:val="auto"/>
        </w:rPr>
        <w:t xml:space="preserve">Quarter ended </w:t>
      </w:r>
      <w:r>
        <w:rPr>
          <w:rFonts w:ascii="Arial" w:cs="Arial" w:eastAsia="Arial" w:hAnsi="Arial"/>
          <w:sz w:val="17"/>
          <w:szCs w:val="17"/>
          <w:b w:val="1"/>
          <w:bCs w:val="1"/>
          <w:color w:val="auto"/>
        </w:rPr>
        <w:t>March 31,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first quarter of 2018, we identified an indicator that certain assets used in the Canadian oil sands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impaired due to market developments, including expected customer commitments, occurring in the first quarter of 2018. For purposes of our impairment assessment, we separated two lodges that were previously treated as a single asset group due to the lodges no longer being used together to generate joint cash flows. We assessed the carrying value of the asset group to determine if it continued to be recoverable based on estimated future cash flows. Based on the assessment, the carrying value was determined to not be fully recoverable, and we proceeded to compare the estimated fair value of the asset group to its respective carrying value. Accordingly, the value of a Canadian lodge was written down to its estimated fair value of zero. As a result of the analysis described above, we recorded an impairment expense of $28.7 million.</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Noralta</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i w:val="1"/>
          <w:iCs w:val="1"/>
          <w:color w:val="auto"/>
        </w:rPr>
        <w:t>Description of Transaction</w:t>
      </w:r>
      <w:r>
        <w:rPr>
          <w:rFonts w:ascii="Arial" w:cs="Arial" w:eastAsia="Arial" w:hAnsi="Arial"/>
          <w:sz w:val="16"/>
          <w:szCs w:val="16"/>
          <w:color w:val="auto"/>
        </w:rPr>
        <w:t>. On April 2, 2018, we acquired the equity of Noralta Lodge Ltd. (Noralta), located in Alberta, Canada (the Noralta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The total consideration, which is subject to adjustment in accordance with the terms of the definitive agreement, included (i) C$207.7 million (or approximately US$161.1 million) in cash, of which C$43.5 million is held in escrow by Alliance Trust Company (the Escrow Agent) to support the sellers’ indemnification obligations under the definitive agreement and certain obligations of the sellers to compensate us for certain increased employee compensation costs that are expected to be incurred as a result of the recent union certification of certain classes of Noralta employees, (ii) 32.8 million of our common shares, of which (a) 13.5 million shares are held in escrow by the Escrow Agent and will be released based on certain conditions related to Noralta customer contracts remaining in place and (b) 2.4 million shares are held in escrow by the Escrow Agent and will be released based on the employee compensation cost increases described above, and (iii) 9,679 Class A Series 1 Preferred Shares (the Preferred Shares) with an initial liquidation preference of $96.8 million, of which 692 shares are held in escrow by the Escrow Agent and will be released based on the employee compensation cost increases described above. As a result of the Noralta Acquisition, we expanded our existing accommodations business in the Canadian oil sands market. We funded the cash consideration with cash on hand and borrowings under the Amended Credit Agreement (as defined in Note 11).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734"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Noralta Acquisition was accounted for in accordance with the acquisition method of accounting for business combinations and, accordingly, the results of operations of Noralta were reported in our financial statements as part of our Canadian reportable business segment beginning on April 2, 2018, the date of acquisition. During the three and six months ended June 30, 2018, we recorded approximately $32.0 million of revenue and $13.1 million of gross margin in the accompanying unaudited consolidated statements of operations related to the Noralta Acquisition.</w:t>
      </w:r>
    </w:p>
    <w:p>
      <w:pPr>
        <w:spacing w:after="0" w:line="171"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b w:val="1"/>
          <w:bCs w:val="1"/>
          <w:i w:val="1"/>
          <w:iCs w:val="1"/>
          <w:color w:val="auto"/>
        </w:rPr>
        <w:t>Calculation of Purchase Consideration</w:t>
      </w:r>
      <w:r>
        <w:rPr>
          <w:rFonts w:ascii="Arial" w:cs="Arial" w:eastAsia="Arial" w:hAnsi="Arial"/>
          <w:sz w:val="16"/>
          <w:szCs w:val="16"/>
          <w:color w:val="auto"/>
        </w:rPr>
        <w:t>. The total purchase consideration received by the Noralta shareholders was based on the cash consideration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fair value of our common shares and Preferred Shares issued on April 2, 2018. The purchase consideration below reflects the fair value of common shares issued, which is based on the closing price on March 29, 2018 (the last business day prior to April 2, 2018) of our common shares of $3.77 per share and the estimated fair value of Preferred Shares issued, which are valued at 61% of the initial liquidation preference of the Preferred Shares of $96.79 million.</w:t>
      </w:r>
    </w:p>
    <w:p>
      <w:pPr>
        <w:spacing w:after="0" w:line="15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portion of the consideration paid, $11.6 million cash, 2.4 million common shares and 692 Preferred Shares, is currently being held in escrow to support certain obligations of the sellers to compensate us for certain increased employee compensation costs that are expected to be incurred as a result of the recent union certification of certain classes of Noralta employees. As of April 2, 2018, we expected the escrowed amounts to be released to us within 12 months, and therefore, a receivable of $11.6 million related to the cash expected to be released has been established. Additionally, no fair value has been allocated to such common share or Preferred Shares portion of the consideration.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purchase consideration and estimated fair value of Noralta’s net assets acquired as of April 2, 2018 is presented as follows:</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32,791</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Common share price as of March 29, 2018</w:t>
            </w:r>
          </w:p>
        </w:tc>
        <w:tc>
          <w:tcPr>
            <w:tcW w:w="52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 consideration</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40"/>
              <w:spacing w:after="0"/>
              <w:rPr>
                <w:sz w:val="20"/>
                <w:szCs w:val="20"/>
                <w:color w:val="auto"/>
              </w:rPr>
            </w:pPr>
            <w:r>
              <w:rPr>
                <w:rFonts w:ascii="Arial" w:cs="Arial" w:eastAsia="Arial" w:hAnsi="Arial"/>
                <w:sz w:val="18"/>
                <w:szCs w:val="18"/>
                <w:color w:val="auto"/>
              </w:rPr>
              <w:t>Cash consideration</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Share consideration</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purchase consideration</w:t>
            </w:r>
          </w:p>
        </w:tc>
        <w:tc>
          <w:tcPr>
            <w:tcW w:w="5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343,826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Less: Common shares held in escrow, expected to be released to Civeo</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40"/>
              <w:spacing w:after="0"/>
              <w:rPr>
                <w:sz w:val="20"/>
                <w:szCs w:val="20"/>
                <w:color w:val="auto"/>
              </w:rPr>
            </w:pPr>
            <w:r>
              <w:rPr>
                <w:rFonts w:ascii="Arial" w:cs="Arial" w:eastAsia="Arial" w:hAnsi="Arial"/>
                <w:sz w:val="18"/>
                <w:szCs w:val="18"/>
                <w:color w:val="auto"/>
              </w:rPr>
              <w:t>Less: Cash held in escrow, expected to be released to Civeo</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Less: Preferred Shares held in escrow, expected to be released to Civeo</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tcPr>
          <w:p>
            <w:pPr>
              <w:spacing w:after="0"/>
              <w:rPr>
                <w:sz w:val="20"/>
                <w:szCs w:val="20"/>
                <w:color w:val="auto"/>
              </w:rPr>
            </w:pPr>
            <w:r>
              <w:rPr>
                <w:rFonts w:ascii="Arial" w:cs="Arial" w:eastAsia="Arial" w:hAnsi="Arial"/>
                <w:sz w:val="18"/>
                <w:szCs w:val="18"/>
                <w:color w:val="auto"/>
              </w:rPr>
              <w:t>Total purchase consideration</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315,017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At the time the Preferred Shares were issued, we determined that a beneficial conversion feature existed because the fair value of the securities into which the Preferred Shares were convertible was greater than the effective conversion price on the issuance date. Accordingly, we recorded a beneficial conversion feature of $47.8 million. The beneficial conversion feature was recorded as an increase to additional paid-in capital with the offset recorded as a discount on the Preferred Shares. For further discussion of the Preferred Shares, including dividends on the Preferred Shares, please see Note 12 – Preferred Shares.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Purchase Price Allocation. </w:t>
      </w:r>
      <w:r>
        <w:rPr>
          <w:rFonts w:ascii="Arial" w:cs="Arial" w:eastAsia="Arial" w:hAnsi="Arial"/>
          <w:sz w:val="17"/>
          <w:szCs w:val="17"/>
          <w:color w:val="auto"/>
        </w:rPr>
        <w:t>The application of purchase accounting under ASC 805 requires that the total purchase price be allocated to the fair value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acquired and liabilities assumed based on their fair values at April 2, 2018, with amounts exceeding the fair values being recorded as goodwill. The allocation process requires an analysis of acquired fixed assets, contracts, and contingencies to identify and record the fair value of all assets acquired and liabilities assumed. Our allocation of the purchase price to specific assets and liabilities is based, in part, upon outside appraisals using customary valuation procedures and techniques. The purchase price allocation is preliminary, as we are finalizing our valuation of tangible and intangible assets acquired. We expect to complete our purchase price allocation by the end of 2018. However, the differences between the final and preliminary purchase price allocations, if any, are not expected to have a material effect on our financial position or results of operations. The following table summarizes the estimated fair values of the assets acquired and liabilities assumed at April 2, 2018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Accounts receivable (1)</w:t>
            </w:r>
          </w:p>
        </w:tc>
        <w:tc>
          <w:tcPr>
            <w:tcW w:w="2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current assets</w:t>
            </w:r>
          </w:p>
        </w:tc>
        <w:tc>
          <w:tcPr>
            <w:tcW w:w="2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132,888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Goodwill</w:t>
            </w:r>
          </w:p>
        </w:tc>
        <w:tc>
          <w:tcPr>
            <w:tcW w:w="2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119,858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114,136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Total assets acquired</w:t>
            </w:r>
          </w:p>
        </w:tc>
        <w:tc>
          <w:tcPr>
            <w:tcW w:w="26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393,751</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380"/>
          </w:cols>
          <w:pgMar w:left="240" w:top="580" w:right="279" w:bottom="1440" w:gutter="0" w:footer="0" w:header="0"/>
        </w:sectPr>
      </w:pPr>
    </w:p>
    <w:p>
      <w:pPr>
        <w:ind w:left="1140"/>
        <w:spacing w:after="0"/>
        <w:rPr>
          <w:sz w:val="20"/>
          <w:szCs w:val="20"/>
          <w:color w:val="auto"/>
        </w:rPr>
      </w:pPr>
      <w:r>
        <w:rPr>
          <w:rFonts w:ascii="Arial" w:cs="Arial" w:eastAsia="Arial" w:hAnsi="Arial"/>
          <w:sz w:val="16"/>
          <w:szCs w:val="16"/>
          <w:color w:val="auto"/>
        </w:rPr>
        <w:t>Accounts payable and accrued liabilities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Other current liabilities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Other noncurrent liabilities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jc w:val="right"/>
        <w:ind w:right="1180"/>
        <w:spacing w:after="0"/>
        <w:rPr>
          <w:sz w:val="20"/>
          <w:szCs w:val="20"/>
          <w:color w:val="auto"/>
        </w:rPr>
      </w:pPr>
      <w:r>
        <w:rPr>
          <w:rFonts w:ascii="Arial" w:cs="Arial" w:eastAsia="Arial" w:hAnsi="Arial"/>
          <w:sz w:val="18"/>
          <w:szCs w:val="18"/>
          <w:color w:val="auto"/>
        </w:rPr>
        <w:t>15,305</w:t>
      </w:r>
    </w:p>
    <w:p>
      <w:pPr>
        <w:spacing w:after="0" w:line="9"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1,226</w:t>
      </w:r>
    </w:p>
    <w:p>
      <w:pPr>
        <w:spacing w:after="0" w:line="9"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2,079</w:t>
      </w:r>
    </w:p>
    <w:p>
      <w:pPr>
        <w:spacing w:after="0" w:line="9"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53,066</w:t>
      </w:r>
    </w:p>
    <w:p>
      <w:pPr>
        <w:spacing w:after="0" w:line="9"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7,058</w:t>
      </w:r>
    </w:p>
    <w:p>
      <w:pPr>
        <w:spacing w:after="0" w:line="9"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78,734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986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 w:lineRule="exact"/>
        <w:rPr>
          <w:sz w:val="20"/>
          <w:szCs w:val="20"/>
          <w:color w:val="auto"/>
        </w:rPr>
      </w:pPr>
    </w:p>
    <w:p>
      <w:pPr>
        <w:ind w:left="980" w:hanging="975"/>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315,017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9861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986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7920" w:space="720"/>
            <w:col w:w="2740"/>
          </w:cols>
          <w:pgMar w:left="240" w:top="580" w:right="27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The aggregate fair value of the acquired accounts receivable approximated the aggregate gross contractual amount.</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Goodwill has been recorded based on the amount by which the purchase price exceeded the fair value of the net assets acquired. The goodwill is primarily attributable to synergies expected to arise from the Noralta Acquisition. The goodwill is not expected to be deductible for tax purposes. The fair value of the assets acquired and liabilities assumed were determined using income, market and cost valuation methodologies. The fair value measurements were estimated using significant inputs that are not observable in the market and thus represent a Level 3 measurement. Fair values of property, plant and equipment, excluding land, were determined using the cost approach. The cost approach estimates value by determining the current cost of replacing an asset with another of equivalent economic utility. The cost to replace a given asset reflects the estimated reproduction or replacement cost for the asset, less an allowance for loss in value due to depreciation. Fair values of land were determined using the market approach. The market approach is a valuation technique that uses prices and other relevant information generated by market transactions involving identical or comparable assets. The income approach was used to value the intangible assets, consisting primarily of customer contracts, trade name and favorable/unfavorable lease contracts. The income approach indicates value for an asset or liability based on present value of cash flows projected to be generated over the remaining economic life of the asset or liability being measured. Projected cash flows are discounted at a required market rate of return that reflects the relative risk of achieving the cash flows and the time value of money.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type w:val="continuous"/>
        </w:sectPr>
      </w:pPr>
    </w:p>
    <w:bookmarkStart w:id="14" w:name="page15"/>
    <w:bookmarkEnd w:id="14"/>
    <w:tbl>
      <w:tblPr>
        <w:tblLayout w:type="fixed"/>
        <w:tblInd w:w="3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200" w:type="dxa"/>
            <w:vAlign w:val="bottom"/>
          </w:tcPr>
          <w:p>
            <w:pPr>
              <w:jc w:val="center"/>
              <w:ind w:left="1830"/>
              <w:spacing w:after="0"/>
              <w:rPr>
                <w:sz w:val="20"/>
                <w:szCs w:val="20"/>
                <w:color w:val="auto"/>
              </w:rPr>
            </w:pPr>
            <w:r>
              <w:rPr>
                <w:rFonts w:ascii="Arial" w:cs="Arial" w:eastAsia="Arial" w:hAnsi="Arial"/>
                <w:sz w:val="18"/>
                <w:szCs w:val="18"/>
                <w:b w:val="1"/>
                <w:bCs w:val="1"/>
                <w:color w:val="auto"/>
              </w:rPr>
              <w:t>CIVEO CORPORATION</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7200" w:type="dxa"/>
            <w:vAlign w:val="bottom"/>
          </w:tcPr>
          <w:p>
            <w:pPr>
              <w:jc w:val="center"/>
              <w:ind w:left="1810"/>
              <w:spacing w:after="0"/>
              <w:rPr>
                <w:sz w:val="20"/>
                <w:szCs w:val="20"/>
                <w:color w:val="auto"/>
              </w:rPr>
            </w:pPr>
            <w:r>
              <w:rPr>
                <w:rFonts w:ascii="Arial" w:cs="Arial" w:eastAsia="Arial" w:hAnsi="Arial"/>
                <w:sz w:val="18"/>
                <w:szCs w:val="18"/>
                <w:b w:val="1"/>
                <w:bCs w:val="1"/>
                <w:color w:val="auto"/>
              </w:rPr>
              <w:t>NOTES TO UNAUDITED CONSOLIDATED</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200" w:type="dxa"/>
            <w:vAlign w:val="bottom"/>
          </w:tcPr>
          <w:p>
            <w:pPr>
              <w:jc w:val="center"/>
              <w:ind w:left="181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7200" w:type="dxa"/>
            <w:vAlign w:val="bottom"/>
          </w:tcPr>
          <w:p>
            <w:pPr>
              <w:jc w:val="center"/>
              <w:ind w:left="1810"/>
              <w:spacing w:after="0"/>
              <w:rPr>
                <w:sz w:val="20"/>
                <w:szCs w:val="20"/>
                <w:color w:val="auto"/>
              </w:rPr>
            </w:pPr>
            <w:r>
              <w:rPr>
                <w:rFonts w:ascii="Arial" w:cs="Arial" w:eastAsia="Arial" w:hAnsi="Arial"/>
                <w:sz w:val="18"/>
                <w:szCs w:val="18"/>
                <w:b w:val="1"/>
                <w:bCs w:val="1"/>
                <w:color w:val="auto"/>
                <w:w w:val="93"/>
              </w:rPr>
              <w:t>(Continued)</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20" w:type="dxa"/>
            <w:vAlign w:val="bottom"/>
            <w:gridSpan w:val="2"/>
          </w:tcPr>
          <w:p>
            <w:pPr>
              <w:spacing w:after="0"/>
              <w:rPr>
                <w:sz w:val="20"/>
                <w:szCs w:val="20"/>
                <w:color w:val="auto"/>
              </w:rPr>
            </w:pPr>
            <w:r>
              <w:rPr>
                <w:rFonts w:ascii="Arial" w:cs="Arial" w:eastAsia="Arial" w:hAnsi="Arial"/>
                <w:sz w:val="18"/>
                <w:szCs w:val="18"/>
                <w:color w:val="auto"/>
                <w:w w:val="94"/>
              </w:rPr>
              <w:t>The purchase price allocation to the identifiable intangible assets and liabilities is as follows (in thousands):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 at</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 2018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Amortizable Intangible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Trade name</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Contracts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Favorable lease contract</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amortizable intangible assets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Amortizable Intangible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Unfavorable lease contracts</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7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amortizable intangible liabilities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7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intangible assets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contracts acquired consist of accommodations contracts with two major investment grade oil sands producers which are subject to amortization over an estimated useful life of 20 years at the time of acquisition. The trade name was assigned to Noralta’s name recognition with an estimated useful life of 9 months at the time of acquisition. The favorable/unfavorable intangible contracts are related to leases that will be amortized over the remaining lease terms, which range from 3.8 years to 9.3 years at the time of acquisition. The unfavorable contracts are included in other noncurrent liabilities in the accompanying unaudited consolidated balance sheet.</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Supplemental Pro Forma Financial Information. </w:t>
      </w:r>
      <w:r>
        <w:rPr>
          <w:rFonts w:ascii="Arial" w:cs="Arial" w:eastAsia="Arial" w:hAnsi="Arial"/>
          <w:sz w:val="17"/>
          <w:szCs w:val="17"/>
          <w:color w:val="auto"/>
        </w:rPr>
        <w:t>The following unaudited pro forma supplemental financial information presents the consolidated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results of operations of the Company and Noralta as if the Noralta Acquisition had occurred on January 1, 2017. We have adjusted historical financial information to give effect to pro forma items that are directly attributable to the Noralta Acquisition and are expected to have a continuing impact on the consolidated results. These items include adjustments to record the incremental amortization and depreciation expense related to the increase in fair values of the acquired assets, interest expense related to borrowings under the Amended Credit Agreement to fund the Noralta Acquisition and to reclassify certain items to conform to our financial reporting presentation. However, pro forma results do not include any anticipated cost savings or other effects of the planned integration of Noralta. The unaudited pro forma results do not purport to be indicative of the results of operations had the transaction occurred on the date indicated or of future results for the combined entities (in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5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8"/>
                <w:szCs w:val="18"/>
                <w:color w:val="auto"/>
              </w:rPr>
            </w:pPr>
          </w:p>
        </w:tc>
        <w:tc>
          <w:tcPr>
            <w:tcW w:w="25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4"/>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25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(Actual)</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(Pro forma)</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2"/>
              </w:rPr>
              <w:t>(Pro forma)</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(Pro forma)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266,264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loss attributable to Civeo Corporation common shareholders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(48,321)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(101,846)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(27,208)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92"/>
              </w:rPr>
              <w:t>Basic net loss per share attributable to Civeo Corporation common shareholders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(0.29)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(0.69)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91"/>
              </w:rPr>
              <w:t>Diluted net loss per share attributable to Civeo Corporation common shareholders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(0.29)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(0.69)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Included in the pro forma results above are certain adjustments due to the following: (i) increases in depreciation and amortization expense due to acquired intangibles and the increased recorded value of property, plant and equipment, and (ii) increases in interest expense due to additional credit facility borrowings to fund the Noralta Acquisition, and (iii) decreases due to the exclusion of transaction costs.</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Transaction Costs. </w:t>
      </w:r>
      <w:r>
        <w:rPr>
          <w:rFonts w:ascii="Arial" w:cs="Arial" w:eastAsia="Arial" w:hAnsi="Arial"/>
          <w:sz w:val="18"/>
          <w:szCs w:val="18"/>
          <w:color w:val="auto"/>
        </w:rPr>
        <w:t>During the three months ended June 30, 2018, we recognized $5.6 million of costs in connection with the Noralta Acquisition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Service and other costs ($0.2 million) and Selling, general and administrative (SG&amp;A) expenses ($5.4 million), respectively. During the six months ended June 30, 2018, we recognized $6.6 million of costs in connection with the Noralta Acquisition that are included in Service and other costs ($0.2 million) and SG&amp;A expenses ($6.4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Acadian Acres</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On February 28, 2018, we acquired the assets of Lakeland, L.L.C. (Lakeland), located near Lake Charles, Louisiana, for total consideration of $28.0 million, composed of $23.5 million in cash and $4.5 million of our common shares. The asset purchase agreement also includes potential future earn-out payments through December 2020 of up to 1.2 million Civeo common shares, based upon satisfaction of certain future revenue targets. The acquisition included a 400 room accommodations facility, 40 acres of land and related assets. We funded the cash consideration with cash on hand. Lakeland’s operations are reported as a new open camp location, Acadian Acres, in our U.S. reportable business segment.</w:t>
      </w:r>
    </w:p>
    <w:p>
      <w:pPr>
        <w:spacing w:after="0" w:line="17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Intangible assets acquired in the Acadian Acres acquisition totaled $8.2 million and consisted of a customer contract. The customer contract intangible is being amortized over the remaining contract term, which was 16 months at the time of acquisition.</w:t>
      </w:r>
    </w:p>
    <w:p>
      <w:pPr>
        <w:spacing w:after="0" w:line="170"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This acquisition was accounted for as an asset acquisition based on the principles described in ASC 805, which provides a screen to determine when a set of transferred assets is not a business. The screen requires that when substantially all of the fair value of the gross assets acquired is concentrated in a single identifiable asset or a group of similarly identifiable assets, the set of transferred assets is not a business. Accordingly, we allocated the excess consideration over the fair value of the assets acquired to the acquired assets, pro rata, on the basis of relative fair values to increase the related assets acquired.</w:t>
      </w:r>
    </w:p>
    <w:p>
      <w:pPr>
        <w:spacing w:after="0" w:line="39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During the fourth quarter of 2017, we made the decision to dispose of our modular construction and manufacturing plant near Edmonton, Alberta, Canada due to changing geographic and market needs. Accordingly, the facility met the criteria of held for sale. Its estimated fair value less the cost to sell exceeded its carrying value. Additionally, we have discontinued depreciation of the facility. Depreciation expense related to the facility totaled approximately $0.1 million and $0.3 million during the three and six months ended June 30, 2017, respectively. The facility is part of our Canadian reportable business segment.</w:t>
      </w:r>
    </w:p>
    <w:p>
      <w:pPr>
        <w:spacing w:after="0" w:line="18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Certain undeveloped land positions in the British Columbia LNG market in our Canadian segment previously met the criteria of held for sale. These assets were recorded at the estimated fair value less costs to sell of approximately $4.2 million.</w:t>
      </w:r>
    </w:p>
    <w:p>
      <w:pPr>
        <w:spacing w:after="0" w:line="170"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In addition, as a result of the Noralta Acquisition, Noralta’s corporate offices located in Nisku, Alberta, Canada were closed and are being held for sale. The related assets are recorded at the estimated fair value less costs to sell of approximately $3.2 million and was the same value used in the purchase price allocation.</w:t>
      </w:r>
    </w:p>
    <w:p>
      <w:pPr>
        <w:spacing w:after="0" w:line="181"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The following table summarizes the carrying amount as of June 30, 2018 and December 31, 2017 of the major classes of assets from the modular construction and manufacturing plant, undeveloped land positions and Noralta’s corporate offices we classified as held for sale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2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2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12,519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9,418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6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ind w:left="980"/>
              <w:spacing w:after="0"/>
              <w:rPr>
                <w:sz w:val="20"/>
                <w:szCs w:val="20"/>
                <w:color w:val="auto"/>
              </w:rPr>
            </w:pPr>
            <w:r>
              <w:rPr>
                <w:rFonts w:ascii="Arial" w:cs="Arial" w:eastAsia="Arial" w:hAnsi="Arial"/>
                <w:sz w:val="18"/>
                <w:szCs w:val="18"/>
                <w:color w:val="auto"/>
              </w:rPr>
              <w:t>Total assets held for sale</w:t>
            </w:r>
          </w:p>
        </w:tc>
        <w:tc>
          <w:tcPr>
            <w:tcW w:w="2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12,519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9,462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80" w:type="dxa"/>
            <w:vAlign w:val="bottom"/>
            <w:vMerge w:val="restart"/>
          </w:tcPr>
          <w:p>
            <w:pPr>
              <w:jc w:val="right"/>
              <w:ind w:right="1410"/>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Changes in the carrying amount of goodwill from December 31, 2017 to June 30, 2018 are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Canadian</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Australian</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U.S.</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Noralta Acquisition (1)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119,858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119,858</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(2,551)</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(2,551)</w:t>
            </w:r>
          </w:p>
        </w:tc>
      </w:tr>
      <w:tr>
        <w:trPr>
          <w:trHeight w:val="210"/>
        </w:trPr>
        <w:tc>
          <w:tcPr>
            <w:tcW w:w="5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as of June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117,307</w:t>
            </w: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8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117,307</w:t>
            </w:r>
          </w:p>
        </w:tc>
        <w:tc>
          <w:tcPr>
            <w:tcW w:w="100" w:type="dxa"/>
            <w:vAlign w:val="bottom"/>
            <w:tcBorders>
              <w:top w:val="single" w:sz="8" w:color="CCEEFF"/>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Please see Note 7 – Acquisitions for further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total amount of other intangible assets and the related accumulated amortization for major intangible asset classes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December 31, 2017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June 30, 2018</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Accumulated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Accumulated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6"/>
              </w:rPr>
              <w:t>Amortization</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Amortizable Intangible Assets</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43,331</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(34,327)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45,209</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Contracts / agreements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152,373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(30,704)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38,362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Favorable lease contract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amortizable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200,175</w:t>
            </w: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84,246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Indefinite-Lived Intangible Assets Not Subject to Amortization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Licenses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indefinite-lived intangible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960"/>
              <w:spacing w:after="0"/>
              <w:rPr>
                <w:sz w:val="20"/>
                <w:szCs w:val="20"/>
                <w:color w:val="auto"/>
              </w:rPr>
            </w:pPr>
            <w:r>
              <w:rPr>
                <w:rFonts w:ascii="Arial" w:cs="Arial" w:eastAsia="Arial" w:hAnsi="Arial"/>
                <w:sz w:val="18"/>
                <w:szCs w:val="18"/>
                <w:color w:val="auto"/>
              </w:rPr>
              <w:t>Total intangible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200,205</w:t>
            </w:r>
          </w:p>
        </w:tc>
        <w:tc>
          <w:tcPr>
            <w:tcW w:w="120" w:type="dxa"/>
            <w:vAlign w:val="bottom"/>
          </w:tcPr>
          <w:p>
            <w:pPr>
              <w:spacing w:after="0"/>
              <w:rPr>
                <w:sz w:val="18"/>
                <w:szCs w:val="18"/>
                <w:color w:val="auto"/>
              </w:rPr>
            </w:pP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(66,241)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84,278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(61,525)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weighted average remaining amortization period for all intangible assets, other than indefinite-lived intangibles, was 16.3 years as of June 30, 2018 and 3.1 years as of December 31, 2017. Please see Note 7 – Acquisitions for further information.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2018, the estimated remaining amortization of our amortizable intangible assets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Year Ending</w:t>
            </w:r>
          </w:p>
        </w:tc>
        <w:tc>
          <w:tcPr>
            <w:tcW w:w="11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2018 (remainder of the year)</w:t>
            </w:r>
          </w:p>
        </w:tc>
        <w:tc>
          <w:tcPr>
            <w:tcW w:w="4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2019</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15,736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2021</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5,810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Thereafter</w:t>
            </w:r>
          </w:p>
        </w:tc>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83,441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3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133,934</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413"/>
        </w:trPr>
        <w:tc>
          <w:tcPr>
            <w:tcW w:w="1160" w:type="dxa"/>
            <w:vAlign w:val="bottom"/>
          </w:tcPr>
          <w:p>
            <w:pPr>
              <w:spacing w:after="0"/>
              <w:rPr>
                <w:sz w:val="24"/>
                <w:szCs w:val="24"/>
                <w:color w:val="auto"/>
              </w:rPr>
            </w:pPr>
          </w:p>
        </w:tc>
        <w:tc>
          <w:tcPr>
            <w:tcW w:w="3260" w:type="dxa"/>
            <w:vAlign w:val="bottom"/>
            <w:tcBorders>
              <w:top w:val="single" w:sz="8" w:color="CCEEFF"/>
            </w:tcBorders>
          </w:tcPr>
          <w:p>
            <w:pPr>
              <w:spacing w:after="0"/>
              <w:rPr>
                <w:sz w:val="24"/>
                <w:szCs w:val="24"/>
                <w:color w:val="auto"/>
              </w:rPr>
            </w:pPr>
          </w:p>
        </w:tc>
        <w:tc>
          <w:tcPr>
            <w:tcW w:w="4240" w:type="dxa"/>
            <w:vAlign w:val="bottom"/>
            <w:tcBorders>
              <w:top w:val="single" w:sz="8" w:color="CCEEFF"/>
            </w:tcBorders>
          </w:tcPr>
          <w:p>
            <w:pPr>
              <w:jc w:val="right"/>
              <w:ind w:right="2770"/>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calculation of earnings per share attributable to Civeo is presented below for the periods indicated (in thousands,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per Share</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loss attributable to Civeo common shareholders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(48,321)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(14,816)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(103,778)</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2"/>
          </w:tcPr>
          <w:p>
            <w:pPr>
              <w:spacing w:after="0"/>
              <w:rPr>
                <w:sz w:val="20"/>
                <w:szCs w:val="20"/>
                <w:color w:val="auto"/>
              </w:rPr>
            </w:pPr>
            <w:r>
              <w:rPr>
                <w:rFonts w:ascii="Arial" w:cs="Arial" w:eastAsia="Arial" w:hAnsi="Arial"/>
                <w:sz w:val="18"/>
                <w:szCs w:val="18"/>
                <w:color w:val="auto"/>
              </w:rPr>
              <w:t>Net loss attributable to Civeo common shareholders - basic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(48,321)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(14,816)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(103,778)</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165,373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130,692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148,595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125,796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Basic loss per share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(0.29)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(0.70)</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Diluted Loss per Share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 common shareholders - basic</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(48,321)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(103,778)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 common shareholders - diluted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(48,321)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(103,778)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165,373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130,692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148,595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tcPr>
          <w:p>
            <w:pPr>
              <w:spacing w:after="0" w:line="243" w:lineRule="exact"/>
              <w:rPr>
                <w:sz w:val="20"/>
                <w:szCs w:val="20"/>
                <w:color w:val="auto"/>
              </w:rPr>
            </w:pPr>
            <w:r>
              <w:rPr>
                <w:rFonts w:ascii="Arial" w:cs="Arial" w:eastAsia="Arial" w:hAnsi="Arial"/>
                <w:sz w:val="17"/>
                <w:szCs w:val="17"/>
                <w:color w:val="auto"/>
              </w:rPr>
              <w:t xml:space="preserve">Effect of dilutive securities </w:t>
            </w:r>
            <w:r>
              <w:rPr>
                <w:rFonts w:ascii="Arial" w:cs="Arial" w:eastAsia="Arial" w:hAnsi="Arial"/>
                <w:sz w:val="28"/>
                <w:szCs w:val="28"/>
                <w:color w:val="auto"/>
                <w:vertAlign w:val="superscript"/>
              </w:rPr>
              <w:t>(1)</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148,595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30"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When an entity has a net loss from continuing operations, it is prohibited from including potential common shares in the computation of diluted per share amounts. Accordingly, we have utilized the basic shares outstanding amount to calculate both basic and diluted loss per share for the three and six months ended June 30, 2018 and 2017. In the three months ended June 30, 2018 and 2017, we excluded from the calculation 4.1 million and 2.3 million share based awards, respectively, since the effect would have been anti-dilutive. In the six months ended June 30, 2018 and 2017, we excluded from the calculation 3.5 million and 2.1 million share based awards, respectively, since the effect would have been anti-dilutive. In the three and six months ended June 30, 2018, we excluded from the calculation the impact of converting the Preferred Shares into 29.3 million common shares, since the effect would have been anti-dilutive.</w:t>
      </w:r>
    </w:p>
    <w:p>
      <w:pPr>
        <w:spacing w:after="0" w:line="200" w:lineRule="exact"/>
        <w:rPr>
          <w:sz w:val="20"/>
          <w:szCs w:val="20"/>
          <w:color w:val="auto"/>
        </w:rPr>
      </w:pPr>
    </w:p>
    <w:p>
      <w:pPr>
        <w:spacing w:after="0" w:line="24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of June 30, 2018 and December 31, 2017, long-term debt consisted of the following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2018</w:t>
            </w: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December 31, 2017</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Canadian term loan, which matures on November 30, 2020; 2.50% of aggregate principal repayable</w:t>
            </w:r>
          </w:p>
        </w:tc>
        <w:tc>
          <w:tcPr>
            <w:tcW w:w="1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w w:val="96"/>
              </w:rPr>
              <w:t>per quarter; weighted average interest rate of 5.5% for the six-month period ended June 30, 2018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272,564</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297,623</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U.S. revolving credit facility, which matures on November 30, 2020, weighted average interest rate of</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7.2% for the six-month period ended June 30, 2018</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Canadian revolving credit facility, which matures on November 30, 2020, weighted average interest</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rate of 6.1% for the six-month period ended June 30, 2018</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132,516</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Australian revolving credit facility, which matures on November 30, 2020, weighted average interest</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25,129</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rate of 5.5% for the six-month period ended June 30, 2018</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430,209</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297,623</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16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427,163</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294,586</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 of long-term debt, including unamortized debt issuance costs, net</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27,643</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16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399,520</w:t>
            </w:r>
          </w:p>
        </w:tc>
        <w:tc>
          <w:tcPr>
            <w:tcW w:w="2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277,990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We did not have any capitalized interest to net against interest expense for either of the three-month periods ended June 30, 2018 or 2017.</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694"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2017, our Credit Agreement, as then amended to date, provided for: (i) a $275.0 million revolving credit facility scheduled to mature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May 28, 2019, allocated as follows: (A) a $40.0 million senior secured revolving credit facility in favor of certain of our U.S. subsidiaries, as borrowers;</w:t>
      </w:r>
    </w:p>
    <w:p>
      <w:pPr>
        <w:spacing w:after="0" w:line="32" w:lineRule="exact"/>
        <w:rPr>
          <w:sz w:val="20"/>
          <w:szCs w:val="20"/>
          <w:color w:val="auto"/>
        </w:rPr>
      </w:pPr>
    </w:p>
    <w:p>
      <w:pPr>
        <w:ind w:right="20" w:firstLine="8"/>
        <w:spacing w:after="0" w:line="277" w:lineRule="auto"/>
        <w:tabs>
          <w:tab w:leader="none" w:pos="28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$90.0 million senior secured revolving credit facility in favor of Civeo and certain of our Canadian subsidiaries, as borrowers; (C) a $60.0 million senior secured revolving credit facility in favor of Civeo, as borrower; and (D) a $85.0 million senior secured revolving credit facility in favor of one of our Australian subsidiaries, as borrower; and (ii) a $350.0 million term loan facility scheduled to mature on May 28, 2019 in favor of Civeo.</w:t>
      </w:r>
    </w:p>
    <w:p>
      <w:pPr>
        <w:spacing w:after="0" w:line="17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On April 2, 2018, the Amended and Restated Syndicated Facility Agreement (the Amended Credit Agreement) became effective, which, among other things:</w:t>
      </w:r>
    </w:p>
    <w:p>
      <w:pPr>
        <w:spacing w:after="0" w:line="170" w:lineRule="exact"/>
        <w:rPr>
          <w:sz w:val="20"/>
          <w:szCs w:val="20"/>
          <w:color w:val="auto"/>
        </w:rPr>
      </w:pPr>
    </w:p>
    <w:p>
      <w:pPr>
        <w:ind w:left="660" w:right="80" w:hanging="328"/>
        <w:spacing w:after="0" w:line="28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provided for the reduction by $35.5 million of the aggregate revolving loan commitments under the Amended Credit Agreement, to a maximum principal amount of $239.5 million, allocated as follows: (1) a $20.0 million senior secured revolving credit facility in favor of certain of our U.S. subsidiaries, as borrowers; (2) a $159.5 million senior secured revolving credit facility, after combining the commitments of the previously existing two tranches of the Canadian revolving credit facility into one tranche, in favor of Civeo and certain of our Canadian subsidiaries, as borrowers; and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(3) a $60.0 million senior secured revolving credit facility in favor of one of our Australian subsidiaries, as borrower;</w:t>
      </w:r>
    </w:p>
    <w:p>
      <w:pPr>
        <w:spacing w:after="0" w:line="210"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extended the maturity date by 18 months, from May 30, 2019 to November 30,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500" w:type="dxa"/>
            <w:vAlign w:val="bottom"/>
            <w:gridSpan w:val="3"/>
          </w:tcPr>
          <w:p>
            <w:pPr>
              <w:ind w:left="2940"/>
              <w:spacing w:after="0"/>
              <w:rPr>
                <w:sz w:val="20"/>
                <w:szCs w:val="20"/>
                <w:color w:val="auto"/>
              </w:rPr>
            </w:pPr>
            <w:r>
              <w:rPr>
                <w:rFonts w:ascii="Arial" w:cs="Arial" w:eastAsia="Arial" w:hAnsi="Arial"/>
                <w:sz w:val="18"/>
                <w:szCs w:val="18"/>
                <w:b w:val="1"/>
                <w:bCs w:val="1"/>
                <w:color w:val="auto"/>
              </w:rPr>
              <w:t>Period Ended</w:t>
            </w:r>
          </w:p>
        </w:tc>
        <w:tc>
          <w:tcPr>
            <w:tcW w:w="3620" w:type="dxa"/>
            <w:vAlign w:val="bottom"/>
            <w:gridSpan w:val="3"/>
          </w:tcPr>
          <w:p>
            <w:pPr>
              <w:jc w:val="center"/>
              <w:ind w:left="1350"/>
              <w:spacing w:after="0"/>
              <w:rPr>
                <w:sz w:val="20"/>
                <w:szCs w:val="20"/>
                <w:color w:val="auto"/>
              </w:rPr>
            </w:pPr>
            <w:r>
              <w:rPr>
                <w:rFonts w:ascii="Arial" w:cs="Arial" w:eastAsia="Arial" w:hAnsi="Arial"/>
                <w:sz w:val="18"/>
                <w:szCs w:val="18"/>
                <w:b w:val="1"/>
                <w:bCs w:val="1"/>
                <w:color w:val="auto"/>
                <w:w w:val="93"/>
              </w:rPr>
              <w:t>Maximum Leverage Ratio</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June 30, 2018</w:t>
            </w:r>
          </w:p>
        </w:tc>
        <w:tc>
          <w:tcPr>
            <w:tcW w:w="3540" w:type="dxa"/>
            <w:vAlign w:val="bottom"/>
            <w:gridSpan w:val="2"/>
            <w:shd w:val="clear" w:color="auto" w:fill="CCEEFF"/>
          </w:tcPr>
          <w:p>
            <w:pPr>
              <w:jc w:val="center"/>
              <w:ind w:left="1430"/>
              <w:spacing w:after="0" w:line="196" w:lineRule="exact"/>
              <w:rPr>
                <w:sz w:val="20"/>
                <w:szCs w:val="20"/>
                <w:color w:val="auto"/>
              </w:rPr>
            </w:pPr>
            <w:r>
              <w:rPr>
                <w:rFonts w:ascii="Arial" w:cs="Arial" w:eastAsia="Arial" w:hAnsi="Arial"/>
                <w:sz w:val="18"/>
                <w:szCs w:val="18"/>
                <w:color w:val="auto"/>
                <w:w w:val="98"/>
              </w:rPr>
              <w:t>4.50:1.00</w:t>
            </w: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September 30, 2018</w:t>
            </w:r>
          </w:p>
        </w:tc>
        <w:tc>
          <w:tcPr>
            <w:tcW w:w="3540" w:type="dxa"/>
            <w:vAlign w:val="bottom"/>
            <w:gridSpan w:val="2"/>
          </w:tcPr>
          <w:p>
            <w:pPr>
              <w:jc w:val="center"/>
              <w:ind w:left="1430"/>
              <w:spacing w:after="0"/>
              <w:rPr>
                <w:sz w:val="20"/>
                <w:szCs w:val="20"/>
                <w:color w:val="auto"/>
              </w:rPr>
            </w:pPr>
            <w:r>
              <w:rPr>
                <w:rFonts w:ascii="Arial" w:cs="Arial" w:eastAsia="Arial" w:hAnsi="Arial"/>
                <w:sz w:val="18"/>
                <w:szCs w:val="18"/>
                <w:color w:val="auto"/>
                <w:w w:val="98"/>
              </w:rPr>
              <w:t>4.25:1.00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354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98"/>
              </w:rPr>
              <w:t>3.75:1.00</w:t>
            </w:r>
          </w:p>
        </w:tc>
        <w:tc>
          <w:tcPr>
            <w:tcW w:w="8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March 31, 2019 &amp; thereafter</w:t>
            </w:r>
          </w:p>
        </w:tc>
        <w:tc>
          <w:tcPr>
            <w:tcW w:w="3540" w:type="dxa"/>
            <w:vAlign w:val="bottom"/>
            <w:gridSpan w:val="2"/>
          </w:tcPr>
          <w:p>
            <w:pPr>
              <w:jc w:val="center"/>
              <w:ind w:left="1430"/>
              <w:spacing w:after="0"/>
              <w:rPr>
                <w:sz w:val="20"/>
                <w:szCs w:val="20"/>
                <w:color w:val="auto"/>
              </w:rPr>
            </w:pPr>
            <w:r>
              <w:rPr>
                <w:rFonts w:ascii="Arial" w:cs="Arial" w:eastAsia="Arial" w:hAnsi="Arial"/>
                <w:sz w:val="18"/>
                <w:szCs w:val="18"/>
                <w:color w:val="auto"/>
                <w:w w:val="98"/>
              </w:rPr>
              <w:t>3.50:1.00</w:t>
            </w:r>
          </w:p>
        </w:tc>
        <w:tc>
          <w:tcPr>
            <w:tcW w:w="80" w:type="dxa"/>
            <w:vAlign w:val="bottom"/>
          </w:tcPr>
          <w:p>
            <w:pPr>
              <w:spacing w:after="0"/>
              <w:rPr>
                <w:sz w:val="18"/>
                <w:szCs w:val="18"/>
                <w:color w:val="auto"/>
              </w:rPr>
            </w:pPr>
          </w:p>
        </w:tc>
      </w:tr>
    </w:tbl>
    <w:p>
      <w:pPr>
        <w:ind w:left="660"/>
        <w:spacing w:after="0"/>
        <w:rPr>
          <w:sz w:val="20"/>
          <w:szCs w:val="20"/>
          <w:color w:val="auto"/>
        </w:rPr>
      </w:pPr>
      <w:r>
        <w:rPr>
          <w:rFonts w:ascii="Arial" w:cs="Arial" w:eastAsia="Arial" w:hAnsi="Arial"/>
          <w:sz w:val="18"/>
          <w:szCs w:val="18"/>
          <w:color w:val="auto"/>
        </w:rPr>
        <w:t>; and</w:t>
      </w:r>
    </w:p>
    <w:p>
      <w:pPr>
        <w:spacing w:after="0" w:line="20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provided for other technical changes and amendments to the Credit Agreement.</w:t>
      </w:r>
    </w:p>
    <w:p>
      <w:pPr>
        <w:spacing w:after="0" w:line="225" w:lineRule="exact"/>
        <w:rPr>
          <w:sz w:val="20"/>
          <w:szCs w:val="20"/>
          <w:color w:val="auto"/>
        </w:rPr>
      </w:pPr>
    </w:p>
    <w:p>
      <w:pPr>
        <w:ind w:right="780" w:firstLine="324"/>
        <w:spacing w:after="0" w:line="342" w:lineRule="auto"/>
        <w:rPr>
          <w:sz w:val="20"/>
          <w:szCs w:val="20"/>
          <w:color w:val="auto"/>
        </w:rPr>
      </w:pPr>
      <w:r>
        <w:rPr>
          <w:rFonts w:ascii="Arial" w:cs="Arial" w:eastAsia="Arial" w:hAnsi="Arial"/>
          <w:sz w:val="16"/>
          <w:szCs w:val="16"/>
          <w:color w:val="auto"/>
        </w:rPr>
        <w:t>As a result of the Amended Credit Agreement, we recognized a loss during the second quarter of 2018 of approximately $0.7 million related to unamortized debt issuance costs, which is included in Loss on extinguishment of debt on the unaudited consolidated statements of operations.</w:t>
      </w:r>
    </w:p>
    <w:p>
      <w:pPr>
        <w:spacing w:after="0" w:line="1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U.S. dollar amounts outstanding under the facilities provided by the Amended Credit Agreement bear interest at a variable rate equal to LIBOR plus a margin of 2.25% to 4.00%, or a base rate plus 1.25% to 3.00%, in each case based on a ratio of our total leverage to EBITDA (as defined in the Amended Credit Agreement). Canadian dollar amounts outstanding bear interest at a variable rate equal to the Canadian Dollar Offered Rate plus a margin of 2.25% to 4.00%, or a base rate plus a margin of 1.25% to 3.00%, in each case based on a ratio of our consolidated total leverage to EBITDA. Australian dollar amounts outstanding under the Amended Credit Agreement bear interest at a variable rate equal to the Bank Bill Swap Bid Rate plus a margin of 2.25% to 4.00%, based on a ratio of our consolidated total leverage to EBITDA.</w:t>
      </w:r>
    </w:p>
    <w:p>
      <w:pPr>
        <w:spacing w:after="0" w:line="193"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Amended Credit Agreement contains customary affirmative and negative covenants that, among other things, limit or restrict: (i) subsidiary indebtedness, liens and fundamental changes; (ii) asset sales; (iii) acquisitions of margin stock; (iv) specified acquisitions; (v) certain restrictive agreements;</w:t>
      </w:r>
    </w:p>
    <w:p>
      <w:pPr>
        <w:ind w:firstLine="8"/>
        <w:spacing w:after="0" w:line="252" w:lineRule="auto"/>
        <w:tabs>
          <w:tab w:leader="none" w:pos="3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4.50 to 1.0 (as of June 30, 2018). As noted above, the permitted maximum leverage ratio changes over time.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June 30, 2018.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June 30, 2018, we have 9 lenders that are parties to the Credit Agreement, with commitments ranging from $24.9 million to $110.6 million.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PREFERRED SHARES</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As further discussed in Note 7 – Acquisitions, on April 2, 2018, we issued 9,679 Preferred Shares as part of the Noralta Acquisition. The Preferred Shares have an initial liquidation preference of $10,000 per share. Holders of the Preferred Shares will be entitled to receive a 2% annual dividend on the liquidation preference, subject to increase to up to 3% in certain circumstances, paid quarterly in cash or, at our option, by increasing the Preferred Shares’ liquidation preference or any combination thereof.</w:t>
      </w:r>
    </w:p>
    <w:p>
      <w:pPr>
        <w:spacing w:after="0" w:line="18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Preferred Shares are convertible into our common shares at a conversion price of US$3.30 per Preferred Share, subject to certain anti-dilution adjustments (the Conversion Price). We have the right to elect to convert the Preferred Shares into our common shares if the 15-day volume weighted average price of our common shares is equal to or exceeds the Conversion Price. Holders of the Preferred Shares will have the right to convert the Preferred Shares into our common shares at any time after two years from the date of issuance, and the Preferred Shares mandatorily convert after five years from the date of issuance. The Preferred Shares also convert automatically into our common shares upon a change of control of Civeo. We may, at any time and from time to time, redeem any or all of the Preferred Shares for cash at the liquidation preference, plus accrued and unpaid dividends.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Preferred Shares do not have voting rights, except as statutorily required.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and six-month periods ended June 30, 2018, we recognized preferred dividends on the Preferred Shares as follows (in thousands):</w:t>
      </w:r>
    </w:p>
    <w:p>
      <w:pPr>
        <w:spacing w:after="0" w:line="244"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Three and Six</w:t>
      </w:r>
    </w:p>
    <w:p>
      <w:pPr>
        <w:spacing w:after="0" w:line="27"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Months Ended</w:t>
      </w:r>
    </w:p>
    <w:p>
      <w:pPr>
        <w:spacing w:after="0" w:line="9"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ind w:left="9240"/>
        <w:spacing w:after="0"/>
        <w:rPr>
          <w:sz w:val="20"/>
          <w:szCs w:val="20"/>
          <w:color w:val="auto"/>
        </w:rPr>
      </w:pP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-130810</wp:posOffset>
            </wp:positionV>
            <wp:extent cx="9861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14605</wp:posOffset>
            </wp:positionV>
            <wp:extent cx="9861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on beneficial conversion feature at April 2, 2018</w:t>
            </w:r>
          </w:p>
        </w:tc>
        <w:tc>
          <w:tcPr>
            <w:tcW w:w="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In-kind dividend on June 30, 2018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Deemed dividend on beneficial conversion feature related to in-kind dividend</w:t>
            </w:r>
          </w:p>
        </w:tc>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Total preferred dividends</w:t>
            </w:r>
          </w:p>
        </w:tc>
        <w:tc>
          <w:tcPr>
            <w:tcW w:w="5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As noted in Note 7 - Acquisitions, at the time the Preferred Shares were issued, we determined that a beneficial conversion feature existed as the fair value of the securities into which the Preferred Shares were convertible was greater than the effective conversion price on the issuance date. Accordingly, we recorded a beneficial conversion feature of $47.8 million. The beneficial conversion feature was recorded as an increase to additional paid-in capital with the offset recorded as a discount on the Preferred Shares. The increase to additional paid-in capital of the beneficial conversion feature is included in the $166.9 million increase due to issuance of shares for acquisitions on the unaudited consolidated statements of changes in shareholders’ equity. Similarly, the discount to Preferred Shares of the beneficial conversion feature is netted in the $7.0 million increase due to issuance of shares for acquisitions on the unaudited consolidated statements of changes in shareholders’ equity.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the Preferred Shares do not have a stated redemption date, the discount is required to be recognized as a dividend over the minimum period from the date of issuance through the date of earliest conversion. Because the 15-day volume weighted average price of our common shares was greater than $3.30 on April 2, 2018, the earliest conversion date was determined to be April 2, 2018. Accordingly, we recorded a deemed dividend on April 2, 2018 totaling the discount of $47.8 million.</w:t>
      </w:r>
    </w:p>
    <w:p>
      <w:pPr>
        <w:spacing w:after="0" w:line="18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Board of Directors elected to pay the dividend due on June 30, 2018, which totaled $49.44 per Preferred Share, through an increase in the liquidation preference rather than in cash. The paid-in-kind dividend of $0.5 million is included in Preferred dividends on the unaudited consolidated statement of operations for the three and six month periods ended June 30, 2018.</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at the time the dividend was deemed to be paid-in-kind, the fair value of the securities into which the Preferred Shares were convertible was greater than the effective conversion price on the deemed payment date. Accordingly, we recorded a beneficial conversion feature of $0.2 million. The beneficial conversion feature was recorded as an increase to additional paid-in capital with the offset recorded as a discount on the Preferred Shares. As the Preferred Shares do not have a stated redemption date, the discount is required to be recognized as a dividend over the minimum period from the date of issuance through the date of earliest conversion. Because the 15-day volume weighted average price of our common shares was greater than $3.30 on June 30, 2018, the earliest conversion date was determined to be June 30, 2018. Accordingly, we recorded a deemed dividend on June 30, 2018 totaling the discount of $0.2 million.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operate primarily in three jurisdictions, Canada, Australia and the U.S., where statutory tax rates range from 21% to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will vary from period to period based on changes in earnings mix between these different jurisdictions.</w:t>
      </w:r>
    </w:p>
    <w:p>
      <w:pPr>
        <w:spacing w:after="0" w:line="21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compute our quarterly taxes under the effective tax rate method by applying an anticipated annual effective rate to our year-to-date income, except for significant unusual or extraordinary transactions. As of June 30, 2018, Australia and the U.S. are loss jurisdictions for tax accounting purposes, therefore Australia and the U.S. have been removed from the annual effective tax rate computation for purposes of computing the interim tax provision. Income taxes for any significant and unusual or extraordinary transactions are computed and recorded in the period in which the specific transaction occurs.</w:t>
      </w:r>
    </w:p>
    <w:p>
      <w:pPr>
        <w:spacing w:after="0" w:line="15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part of the acquisition of Noralta as described in Note 7 – Acquisitions, the purchase price allocation included $53 million of deferred tax liabilities in Canada. As of June 30, 2018, the addition of these deferred tax liabilities resulted in Canada no longer being considered a loss jurisdiction. Accordingly, a benefit of $4.9 million was recorded to reverse a valuation allowance against the Canadian net deferred tax asset and Canadian pre-tax results were included in the annual effective tax rate.</w:t>
      </w:r>
    </w:p>
    <w:p>
      <w:pPr>
        <w:spacing w:after="0" w:line="18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income tax benefit for the six months ended June 30, 2018 totaled $24.1 million, or 30.4% of pretax loss, compared to a benefit of $5.9 million, or 14.1% of pretax loss, for the six months ended June 30, 2017. Our effective tax rate for the six months ended June 30, 2018 and 2017 was reduced approximately 5% and 13%, respectively, by the exclusion of Australia and the U.S. for purposes of computing the interim tax provision since they are considered loss jurisdictions for tax accounting purposes.</w:t>
      </w:r>
    </w:p>
    <w:p>
      <w:pPr>
        <w:spacing w:after="0" w:line="187"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Our income tax benefit for the three months ended June 30, 2018 totaled $23.4 million, or 101.3% of pretax loss, compared to a benefit of $2.9 million, or 16.5% of pretax loss, for the three months ended June 30, 2017. The effective tax rate for the three months ended June 30, 2018 was impacted by an increase in the 2018 effective tax rate due to Canada no longer being considered a loss jurisdiction. Under ASC 740-270, Accounting for Income Taxes, the quarterly tax provision is based on our current estimate of the annual effective tax rate less the prior quarter’s year-to-date provision.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ind w:right="460" w:firstLine="324"/>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2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accumulated other comprehensive loss increased $24.3 million from $328.2 million at December 31, 2017 to $352.5 million at June 30, 2018, as a result of foreign currency exchange rate fluctuations. Changes in other comprehensive loss during the first half of 2018 were primarily driven by the Australian dollar and Canadian dollar decreasing in value compared to the U.S. dollar. Excluding intercompany balances, our Canadian dollar and Australian dollar functional currency net assets totaled approximately C$0.3 billion and A$0.4 billion, respectively, at June 30, 2018.</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 BASED COMPENSATION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and dividend equivalents, awards of deferred shares, and share payments to our employees and non-employee directors. No more than 18.7 million Civeo common shares may be awarded under the Civeo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Options. </w:t>
      </w:r>
      <w:r>
        <w:rPr>
          <w:rFonts w:ascii="Arial" w:cs="Arial" w:eastAsia="Arial" w:hAnsi="Arial"/>
          <w:sz w:val="17"/>
          <w:szCs w:val="17"/>
          <w:color w:val="auto"/>
        </w:rPr>
        <w:t>Compensation expense associated with options recognized in the three month periods ended June 30, 2018 and 2017 totaled zero and less than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$0.1 million, respectively. Compensation expense associated with options recognized in the six month periods ended June 30, 2018 and 2017 totaled less than $0.1 million during both periods. At June 30, 2018, unrecognized compensation cost related to options was zero.</w:t>
      </w:r>
    </w:p>
    <w:p>
      <w:pPr>
        <w:spacing w:after="0" w:line="166"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b w:val="1"/>
          <w:bCs w:val="1"/>
          <w:i w:val="1"/>
          <w:iCs w:val="1"/>
          <w:color w:val="auto"/>
        </w:rPr>
        <w:t xml:space="preserve">Restricted Share / Deferred Share Awards. </w:t>
      </w:r>
      <w:r>
        <w:rPr>
          <w:rFonts w:ascii="Arial" w:cs="Arial" w:eastAsia="Arial" w:hAnsi="Arial"/>
          <w:sz w:val="18"/>
          <w:szCs w:val="18"/>
          <w:color w:val="auto"/>
        </w:rPr>
        <w:t>On February 20, 2018, we granted 2,018,990 restricted share awards and deferred share awards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Civeo Plan, which vest in three equal annual installments beginning on February 20, 2019. On May 10, 2018, we granted 265,153 restricted share awards to our outside directors, which vest in their entirety on May 10, 2019.</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Compensation expense associated with restricted share awards and deferred share awards recognized in the three month periods ended June 30, 2018 and 2017 totaled $1.6 million and $1.0 million, respectively. Compensation expense associated with restricted share awards and deferred share awards recognized in the six month periods ended June 30, 2018 and 2017 totaled $2.9 million and $2.3 million, respectively. The total fair value of restricted share awards and deferred share awards that vested during the three months ended June 30, 2018 and 2017 was $1.0 million and $1.1 million, respectively. The total fair value of restricted share awards and deferred share awards that vested during the six months ended June 30, 2018 and 2017 was $3.4 million and $2.4 million, respectively.</w:t>
      </w:r>
    </w:p>
    <w:p>
      <w:pPr>
        <w:spacing w:after="0" w:line="19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At June 30, 2018, unrecognized compensation cost related to restricted share awards and deferred share awards was $11.4 million, which is expected to be recognized over a weighted average period of 2.1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b w:val="1"/>
          <w:bCs w:val="1"/>
          <w:i w:val="1"/>
          <w:iCs w:val="1"/>
          <w:color w:val="auto"/>
        </w:rPr>
        <w:t xml:space="preserve">Phantom Share Awards. </w:t>
      </w:r>
      <w:r>
        <w:rPr>
          <w:rFonts w:ascii="Arial" w:cs="Arial" w:eastAsia="Arial" w:hAnsi="Arial"/>
          <w:sz w:val="16"/>
          <w:szCs w:val="16"/>
          <w:color w:val="auto"/>
        </w:rPr>
        <w:t>During the three month periods ended June 30, 2018 and 2017, we recognized compensation expense associated with phantom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totaling $2.6 million and $1.1 million, respectively. During the six month periods ended June 30, 2018 and 2017, we recognized compensation expense associated with phantom shares totaling $6.0 million and $4.1 million, respectively. At June 30, 2018, unrecognized compensation cost related to phantom shares was $6.8 million, as remeasured at June 30, 2018, which is expected to be recognized over a weighted average period of 0.9 years.</w:t>
      </w:r>
    </w:p>
    <w:p>
      <w:pPr>
        <w:spacing w:after="0" w:line="15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On February 20, 2018, we granted 848,830 performance awards under the Civeo Plan, which cliff vest in three years on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 2021. These awards will be earned in amounts between 0% and 200% of the participant’s target performance share award, based on the payout percentage associated with Civeo’s relative total shareholder return rank among a peer group that includes 17 other companies.</w:t>
      </w:r>
    </w:p>
    <w:p>
      <w:pPr>
        <w:spacing w:after="0" w:line="166"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During the three month periods ended June 30, 2018 and 2017, we recognized compensation expense associated with performance awards totaling $1.2 million and $0.8 million, respectively. During the six month periods ended June 30, 2018 and 2017, we recognized compensation expense associated with performance awards totaling $2.2 million and $1.5 million, respectively. At June 30, 2018, unrecognized compensation cost related to performance shares was $7.4 million, which is expected to be recognized over a weighted average period of 2.0 years.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AND RELATED INFORMATION</w:t>
      </w:r>
    </w:p>
    <w:p>
      <w:pPr>
        <w:spacing w:after="0" w:line="229"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Canada, Australia and U.S., which represent our strategic focus on workforce accommodations.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3" w:name="page24"/>
    <w:bookmarkEnd w:id="23"/>
    <w:p>
      <w:pPr>
        <w:jc w:val="center"/>
        <w:ind w:right="-2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Financial information by business segment for each of the three and six months ended June 30, 2018 and 2017 is summarized in the following table (in thousands):</w:t>
      </w:r>
    </w:p>
    <w:p>
      <w:pPr>
        <w:spacing w:after="0" w:line="16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Depreciation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Operating</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Revenues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amortization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(loss)</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5"/>
              </w:rPr>
              <w:t>expenditures</w:t>
            </w:r>
          </w:p>
        </w:tc>
        <w:tc>
          <w:tcPr>
            <w:tcW w:w="1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Total assets</w:t>
            </w: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Three months ended June 30, 2018</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Canada</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86,518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19,245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(6,718)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860,149</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314,446</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61,243</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(117,890)</w:t>
            </w:r>
          </w:p>
        </w:tc>
      </w:tr>
      <w:tr>
        <w:trPr>
          <w:trHeight w:val="20"/>
        </w:trPr>
        <w:tc>
          <w:tcPr>
            <w:tcW w:w="29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940" w:type="dxa"/>
            <w:vAlign w:val="bottom"/>
          </w:tcPr>
          <w:p>
            <w:pPr>
              <w:ind w:left="160"/>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130,177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34,270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(15,501)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3,247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1,117,948</w:t>
            </w:r>
          </w:p>
        </w:tc>
      </w:tr>
      <w:tr>
        <w:trPr>
          <w:trHeight w:val="20"/>
        </w:trPr>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b w:val="1"/>
                <w:bCs w:val="1"/>
                <w:color w:val="auto"/>
                <w:w w:val="97"/>
              </w:rPr>
              <w:t>Three months ended June 30, 2017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552,076</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28,607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(3,416)</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383,715</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30,978</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3,239</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(50,181)</w:t>
            </w:r>
          </w:p>
        </w:tc>
      </w:tr>
      <w:tr>
        <w:trPr>
          <w:trHeight w:val="20"/>
        </w:trPr>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31,554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916,588</w:t>
            </w:r>
          </w:p>
        </w:tc>
      </w:tr>
      <w:tr>
        <w:trPr>
          <w:trHeight w:val="197"/>
        </w:trPr>
        <w:tc>
          <w:tcPr>
            <w:tcW w:w="29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Canada</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149,908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35,756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(46,648)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2,481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860,149</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314,446</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23,321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(5,096)</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61,243</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(117,890)</w:t>
            </w:r>
          </w:p>
        </w:tc>
      </w:tr>
      <w:tr>
        <w:trPr>
          <w:trHeight w:val="20"/>
        </w:trPr>
        <w:tc>
          <w:tcPr>
            <w:tcW w:w="29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940" w:type="dxa"/>
            <w:vAlign w:val="bottom"/>
          </w:tcPr>
          <w:p>
            <w:pPr>
              <w:ind w:left="160"/>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231,681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65,034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(68,016)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5,943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1,117,948</w:t>
            </w:r>
          </w:p>
        </w:tc>
      </w:tr>
      <w:tr>
        <w:trPr>
          <w:trHeight w:val="20"/>
        </w:trPr>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b w:val="1"/>
                <w:bCs w:val="1"/>
                <w:color w:val="auto"/>
              </w:rPr>
              <w:t>Six months ended June 30, 2017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118,174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552,076</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55,623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23,053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(4,617)</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383,715</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30,978</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(5,484)</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(50,181)</w:t>
            </w:r>
          </w:p>
        </w:tc>
      </w:tr>
      <w:tr>
        <w:trPr>
          <w:trHeight w:val="20"/>
        </w:trPr>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183,439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64,383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916,588</w:t>
            </w: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580" w:right="459" w:bottom="1440" w:gutter="0" w:footer="0" w:header="0"/>
        </w:sectPr>
      </w:pPr>
    </w:p>
    <w:bookmarkStart w:id="24" w:name="page25"/>
    <w:bookmarkEnd w:id="24"/>
    <w:p>
      <w:pPr>
        <w:ind w:left="30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factors expected to impact supply and demand, as well as our expectations about capital expenditures in 2018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our Annual Report on Form 10-K for the year ended December 31, 2017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Noralta Acquisition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2, 2018, we completed our previously announced acquisition of Noralta Lodge Ltd. (Noralta). The consideration for the acquisition totaled (i) C$207.7 million (or approximately US$161.1 million) in cash, subject to customary post-closing adjustments for working capital, indebtedness and transaction expenses; (ii) 32.8 million of our common shares, and (iii) 9,679 shares of our Class A Series 1 Preferred Shares with an initial liquidation preference of US$96.79 million and initially convertible into 29.3 million of our common shares. We funded the cash consideration with cash on hand and borrowings under the Amended Credit Agreement. Please see Note 7 – Acquisitions to the notes to the unaudited consolidated financial statements included in Item 1 of this quarterly report for further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Credit Agreement</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April 2, 2018, we amended our Amended Credit Agreement. Please see Note 11 – Debt to the notes to the unaudited consolidated financial statements included in Item 1 of this quarterly report for further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provide workforce accommodations to the natural resource industry in Canada, Australia and the U.S. Demand for our services can be attributed to two phases of our customers’ projects: (1) the development or construction phase; and (2) the operations or production phase. Historically, initial demand for our services has been driven by our customers’ capital spending programs related to the construction and development of oil sands and coal mines and associated infrastructure as well as the exploration for oil and natural gas. Long-term demand for our services has been driven by continued development and expansion of natural resource production and operation of oil sands and mining facilities. In general, industry capital spending programs are based on the outlook for commodity prices, economic growth, global commodity supply/demand dynamics and estimates of resource production. As a result, demand for our products and services is largely sensitive to expected commodity prices, principally related to crude oil and metallurgical (met) coal.</w:t>
      </w:r>
    </w:p>
    <w:p>
      <w:pPr>
        <w:spacing w:after="0" w:line="16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In Canada, Western Canadian Select (WCS) crude is the benchmark price for our oil sands accommodations customers. Pricing for WCS is driven by several factors, including the underlying price for West Texas Intermediate (WTI) crude and the availability of transportation infrastructure. Historically, WCS has traded at a discount to WTI, creating a “WCS Differential,” due to transportation costs and limited capacity to move Canadian heavy oil production to refineries, primarily along the U.S. Gulf Coast. The WCS Differential has varied depending on the extent of transportation capacity availability.</w:t>
      </w:r>
    </w:p>
    <w:p>
      <w:pPr>
        <w:spacing w:after="0" w:line="15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After beginning to drop in the second half of 2014, global oil prices dropped during the first quarter of 2016 to their lowest levels in over ten years due to concerns over global oil demand, global crude inventory levels, worldwide economic growth and price cutting by major oil producing countries, such as Saudi Arabia. Increasing global supply, including increased U.S. shale oil production, also negatively impacted pricing. With falling WTI oil prices, WCS also fell. Prices began to increase in March 2016, and after falling slightly in the second quarter of 2017, prices continued to increase through the first half of 2018. WCS prices in the second quarter of 2018 averaged $49.93 per barrel compared to a low of $20.26 in the first quarter of 2016 and a high of $83.78 in the second quarter of 2014. The WCS Differential decreased from $26.00 per barrel at the end of the fourth quarter of 2017 to $21.00 per barrel at the end of the second quarter of 2018. As of July 23, 2018, the WTI price was $69.54 and the WCS price was $41.39, resulting in a WCS Differential of $28.15. The current level of the WCS Differential is resulting from continued pipeline access limitations.</w:t>
      </w:r>
    </w:p>
    <w:p>
      <w:pPr>
        <w:spacing w:after="0" w:line="17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There remains a risk that prices for Canadian oil sands crude oil related products could deteriorate for an extended period of time, and the discount between WCS crude prices and WTI crude prices could widen. The depressed price levels through the first quarter of 2016 negatively impacted exploration, development, maintenance and production spending and activity by Canadian operators and, therefore, demand for our services in late 2014 and throughout 2015 and 2016. Although we have seen an increase in oil prices since late 2016 and through the first half of 2018, we are not expecting significant improvement in customer activity in the near-term. The current outlook for expansionary projects in Canada is primarily related to proposed pipeline and in-situ oil sands projects. However, continued uncertainty and commodity price volatility and regulatory complications could cause our Canadian oil sands and pipeline customers to delay expansionary and maintenance spending and defer additional investments in their oil sands assets.</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U.S. business is also primarily tied to oil prices, specifically oil shale drilling and completion activity, and therefore WTI oil prices, in the Bakken, Rockies and Permian Basins. With the recovery in oil prices since late 2016 and through the first half of 2018, coupled with ample capital availability for U.S. E&amp;P companies, oil drilling and completion activity in the U.S. has significantly increased over the past year. The U.S. oil rig count has increased from its low of 316 rigs in May 2016 to over 800 rigs active in the second quarter of 2018. As of July 20, 2018, there were 858 active oil rigs in the U.S. (as measured by Bakerhughes.com). U.S. oil drilling and completion activity will continue to be dependent on sustained higher WTI oil prices and sufficient capital to support E&amp;P drilling and completion plans.</w:t>
      </w:r>
    </w:p>
    <w:p>
      <w:pPr>
        <w:spacing w:after="0" w:line="19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Australia, approximately 80% of our rooms are located in the Bowen Basin and primarily serve met coal mines in that region. Met coal pricing and production growth in the Bowen Basin region is predominantly influenced by the levels of global steel production, which increased by 4.6% during the first half of 2018 compared to the first half of 2017. As of July 23, 2018, met coal spot prices were $176.15 per metric tonne. Current met coal pricing levels have not led our customers to approve any significant new projects. We expect that customers will look for a period of sustained higher prices before new projects are approved. Long-term demand for steel is expected to be driven by increased steel consumption per capita in developing economies, such as China and India, whose current consumption per capita is a fraction of developed countries. Our customers continue to actively implement cost, productivity and efficiency measures to further drive down their cost base.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Recent WTI crude, WCS crude and met coal pricing trends are as follows:</w:t>
      </w:r>
    </w:p>
    <w:p>
      <w:pPr>
        <w:spacing w:after="0" w:line="151" w:lineRule="exact"/>
        <w:rPr>
          <w:sz w:val="20"/>
          <w:szCs w:val="20"/>
          <w:color w:val="auto"/>
        </w:rPr>
      </w:pPr>
    </w:p>
    <w:tbl>
      <w:tblPr>
        <w:tblLayout w:type="fixed"/>
        <w:tblInd w:w="1160" w:type="dxa"/>
        <w:tblCellMar>
          <w:top w:w="0" w:type="dxa"/>
          <w:left w:w="0" w:type="dxa"/>
          <w:bottom w:w="0" w:type="dxa"/>
          <w:right w:w="0" w:type="dxa"/>
        </w:tblCellMar>
      </w:tblPr>
      <w:tr>
        <w:trPr>
          <w:trHeight w:val="345"/>
        </w:trPr>
        <w:tc>
          <w:tcPr>
            <w:tcW w:w="3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xml:space="preserve">Average Price </w:t>
            </w:r>
            <w:r>
              <w:rPr>
                <w:rFonts w:ascii="Arial" w:cs="Arial" w:eastAsia="Arial" w:hAnsi="Arial"/>
                <w:sz w:val="30"/>
                <w:szCs w:val="30"/>
                <w:b w:val="1"/>
                <w:bCs w:val="1"/>
                <w:color w:val="auto"/>
                <w:w w:val="89"/>
                <w:vertAlign w:val="superscript"/>
              </w:rPr>
              <w:t>(1)</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91"/>
        </w:trPr>
        <w:tc>
          <w:tcPr>
            <w:tcW w:w="3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ind w:left="330"/>
              <w:spacing w:after="0" w:line="191" w:lineRule="exact"/>
              <w:rPr>
                <w:sz w:val="20"/>
                <w:szCs w:val="20"/>
                <w:color w:val="auto"/>
              </w:rPr>
            </w:pPr>
            <w:r>
              <w:rPr>
                <w:rFonts w:ascii="Arial" w:cs="Arial" w:eastAsia="Arial" w:hAnsi="Arial"/>
                <w:sz w:val="18"/>
                <w:szCs w:val="18"/>
                <w:b w:val="1"/>
                <w:bCs w:val="1"/>
                <w:color w:val="auto"/>
              </w:rPr>
              <w:t>WTI</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WCS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rPr>
              <w:t>Hard</w:t>
            </w:r>
          </w:p>
        </w:tc>
      </w:tr>
      <w:tr>
        <w:trPr>
          <w:trHeight w:val="216"/>
        </w:trPr>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Coking Coal</w:t>
            </w:r>
          </w:p>
        </w:tc>
      </w:tr>
      <w:tr>
        <w:trPr>
          <w:trHeight w:val="216"/>
        </w:trPr>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80" w:type="dxa"/>
            <w:vAlign w:val="bottom"/>
          </w:tcPr>
          <w:p>
            <w:pPr>
              <w:spacing w:after="0"/>
              <w:rPr>
                <w:sz w:val="18"/>
                <w:szCs w:val="18"/>
                <w:color w:val="auto"/>
              </w:rPr>
            </w:pPr>
          </w:p>
        </w:tc>
        <w:tc>
          <w:tcPr>
            <w:tcW w:w="1140" w:type="dxa"/>
            <w:vAlign w:val="bottom"/>
          </w:tcPr>
          <w:p>
            <w:pPr>
              <w:jc w:val="center"/>
              <w:ind w:left="330"/>
              <w:spacing w:after="0"/>
              <w:rPr>
                <w:sz w:val="20"/>
                <w:szCs w:val="20"/>
                <w:color w:val="auto"/>
              </w:rPr>
            </w:pPr>
            <w:r>
              <w:rPr>
                <w:rFonts w:ascii="Arial" w:cs="Arial" w:eastAsia="Arial" w:hAnsi="Arial"/>
                <w:sz w:val="18"/>
                <w:szCs w:val="18"/>
                <w:b w:val="1"/>
                <w:bCs w:val="1"/>
                <w:color w:val="auto"/>
                <w:w w:val="92"/>
              </w:rPr>
              <w:t>Crude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Crude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(Met Coal)</w:t>
            </w:r>
          </w:p>
        </w:tc>
      </w:tr>
      <w:tr>
        <w:trPr>
          <w:trHeight w:val="234"/>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20"/>
                <w:szCs w:val="20"/>
                <w:color w:val="auto"/>
              </w:rPr>
            </w:pPr>
          </w:p>
        </w:tc>
        <w:tc>
          <w:tcPr>
            <w:tcW w:w="11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4"/>
              </w:rPr>
              <w:t>(per bbl)</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(per bbl)</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(per tonne)</w:t>
            </w:r>
          </w:p>
        </w:tc>
        <w:tc>
          <w:tcPr>
            <w:tcW w:w="180" w:type="dxa"/>
            <w:vAlign w:val="bottom"/>
          </w:tcPr>
          <w:p>
            <w:pPr>
              <w:spacing w:after="0"/>
              <w:rPr>
                <w:sz w:val="20"/>
                <w:szCs w:val="20"/>
                <w:color w:val="auto"/>
              </w:rPr>
            </w:pPr>
          </w:p>
        </w:tc>
      </w:tr>
      <w:tr>
        <w:trPr>
          <w:trHeight w:val="210"/>
        </w:trPr>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Third Quarter through 7/23/2018</w:t>
            </w:r>
          </w:p>
        </w:tc>
        <w:tc>
          <w:tcPr>
            <w:tcW w:w="122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71.26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w:t>
            </w:r>
          </w:p>
        </w:tc>
        <w:tc>
          <w:tcPr>
            <w:tcW w:w="180" w:type="dxa"/>
            <w:vAlign w:val="bottom"/>
            <w:shd w:val="clear" w:color="auto" w:fill="CCEEFF"/>
          </w:tcPr>
          <w:p>
            <w:pPr>
              <w:spacing w:after="0"/>
              <w:rPr>
                <w:sz w:val="18"/>
                <w:szCs w:val="18"/>
                <w:color w:val="auto"/>
              </w:rPr>
            </w:pPr>
          </w:p>
        </w:tc>
      </w:tr>
      <w:tr>
        <w:trPr>
          <w:trHeight w:val="216"/>
        </w:trPr>
        <w:tc>
          <w:tcPr>
            <w:tcW w:w="3880" w:type="dxa"/>
            <w:vAlign w:val="bottom"/>
          </w:tcPr>
          <w:p>
            <w:pPr>
              <w:jc w:val="center"/>
              <w:spacing w:after="0"/>
              <w:rPr>
                <w:sz w:val="20"/>
                <w:szCs w:val="20"/>
                <w:color w:val="auto"/>
              </w:rPr>
            </w:pPr>
            <w:r>
              <w:rPr>
                <w:rFonts w:ascii="Arial" w:cs="Arial" w:eastAsia="Arial" w:hAnsi="Arial"/>
                <w:sz w:val="18"/>
                <w:szCs w:val="18"/>
                <w:color w:val="auto"/>
                <w:w w:val="92"/>
              </w:rPr>
              <w:t>6/30/2018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67.97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196.00</w:t>
            </w:r>
          </w:p>
        </w:tc>
        <w:tc>
          <w:tcPr>
            <w:tcW w:w="180" w:type="dxa"/>
            <w:vAlign w:val="bottom"/>
          </w:tcPr>
          <w:p>
            <w:pPr>
              <w:spacing w:after="0"/>
              <w:rPr>
                <w:sz w:val="18"/>
                <w:szCs w:val="18"/>
                <w:color w:val="auto"/>
              </w:rPr>
            </w:pPr>
          </w:p>
        </w:tc>
      </w:tr>
      <w:tr>
        <w:trPr>
          <w:trHeight w:val="216"/>
        </w:trPr>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3/31/2018</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80" w:type="dxa"/>
            <w:vAlign w:val="bottom"/>
            <w:shd w:val="clear" w:color="auto" w:fill="CCEEFF"/>
          </w:tcPr>
          <w:p>
            <w:pPr>
              <w:spacing w:after="0"/>
              <w:rPr>
                <w:sz w:val="18"/>
                <w:szCs w:val="18"/>
                <w:color w:val="auto"/>
              </w:rPr>
            </w:pPr>
          </w:p>
        </w:tc>
      </w:tr>
      <w:tr>
        <w:trPr>
          <w:trHeight w:val="216"/>
        </w:trPr>
        <w:tc>
          <w:tcPr>
            <w:tcW w:w="3880" w:type="dxa"/>
            <w:vAlign w:val="bottom"/>
          </w:tcPr>
          <w:p>
            <w:pPr>
              <w:jc w:val="center"/>
              <w:spacing w:after="0"/>
              <w:rPr>
                <w:sz w:val="20"/>
                <w:szCs w:val="20"/>
                <w:color w:val="auto"/>
              </w:rPr>
            </w:pPr>
            <w:r>
              <w:rPr>
                <w:rFonts w:ascii="Arial" w:cs="Arial" w:eastAsia="Arial" w:hAnsi="Arial"/>
                <w:sz w:val="18"/>
                <w:szCs w:val="18"/>
                <w:color w:val="auto"/>
                <w:w w:val="90"/>
              </w:rPr>
              <w:t>12/31/2017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55.28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192.00</w:t>
            </w:r>
          </w:p>
        </w:tc>
        <w:tc>
          <w:tcPr>
            <w:tcW w:w="180" w:type="dxa"/>
            <w:vAlign w:val="bottom"/>
          </w:tcPr>
          <w:p>
            <w:pPr>
              <w:spacing w:after="0"/>
              <w:rPr>
                <w:sz w:val="18"/>
                <w:szCs w:val="18"/>
                <w:color w:val="auto"/>
              </w:rPr>
            </w:pPr>
          </w:p>
        </w:tc>
      </w:tr>
      <w:tr>
        <w:trPr>
          <w:trHeight w:val="216"/>
        </w:trPr>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9/30/2017</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80" w:type="dxa"/>
            <w:vAlign w:val="bottom"/>
            <w:shd w:val="clear" w:color="auto" w:fill="CCEEFF"/>
          </w:tcPr>
          <w:p>
            <w:pPr>
              <w:spacing w:after="0"/>
              <w:rPr>
                <w:sz w:val="18"/>
                <w:szCs w:val="18"/>
                <w:color w:val="auto"/>
              </w:rPr>
            </w:pPr>
          </w:p>
        </w:tc>
      </w:tr>
      <w:tr>
        <w:trPr>
          <w:trHeight w:val="216"/>
        </w:trPr>
        <w:tc>
          <w:tcPr>
            <w:tcW w:w="3880" w:type="dxa"/>
            <w:vAlign w:val="bottom"/>
          </w:tcPr>
          <w:p>
            <w:pPr>
              <w:jc w:val="center"/>
              <w:spacing w:after="0"/>
              <w:rPr>
                <w:sz w:val="20"/>
                <w:szCs w:val="20"/>
                <w:color w:val="auto"/>
              </w:rPr>
            </w:pPr>
            <w:r>
              <w:rPr>
                <w:rFonts w:ascii="Arial" w:cs="Arial" w:eastAsia="Arial" w:hAnsi="Arial"/>
                <w:sz w:val="18"/>
                <w:szCs w:val="18"/>
                <w:color w:val="auto"/>
                <w:w w:val="92"/>
              </w:rPr>
              <w:t>6/30/2017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48.11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193.50</w:t>
            </w:r>
          </w:p>
        </w:tc>
        <w:tc>
          <w:tcPr>
            <w:tcW w:w="180" w:type="dxa"/>
            <w:vAlign w:val="bottom"/>
          </w:tcPr>
          <w:p>
            <w:pPr>
              <w:spacing w:after="0"/>
              <w:rPr>
                <w:sz w:val="18"/>
                <w:szCs w:val="18"/>
                <w:color w:val="auto"/>
              </w:rPr>
            </w:pPr>
          </w:p>
        </w:tc>
      </w:tr>
      <w:tr>
        <w:trPr>
          <w:trHeight w:val="216"/>
        </w:trPr>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3/31/2017</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180" w:type="dxa"/>
            <w:vAlign w:val="bottom"/>
            <w:shd w:val="clear" w:color="auto" w:fill="CCEEFF"/>
          </w:tcPr>
          <w:p>
            <w:pPr>
              <w:spacing w:after="0"/>
              <w:rPr>
                <w:sz w:val="18"/>
                <w:szCs w:val="18"/>
                <w:color w:val="auto"/>
              </w:rPr>
            </w:pPr>
          </w:p>
        </w:tc>
      </w:tr>
      <w:tr>
        <w:trPr>
          <w:trHeight w:val="216"/>
        </w:trPr>
        <w:tc>
          <w:tcPr>
            <w:tcW w:w="3880" w:type="dxa"/>
            <w:vAlign w:val="bottom"/>
          </w:tcPr>
          <w:p>
            <w:pPr>
              <w:jc w:val="center"/>
              <w:spacing w:after="0"/>
              <w:rPr>
                <w:sz w:val="20"/>
                <w:szCs w:val="20"/>
                <w:color w:val="auto"/>
              </w:rPr>
            </w:pPr>
            <w:r>
              <w:rPr>
                <w:rFonts w:ascii="Arial" w:cs="Arial" w:eastAsia="Arial" w:hAnsi="Arial"/>
                <w:sz w:val="18"/>
                <w:szCs w:val="18"/>
                <w:color w:val="auto"/>
                <w:w w:val="90"/>
              </w:rPr>
              <w:t>12/31/2016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r>
      <w:tr>
        <w:trPr>
          <w:trHeight w:val="216"/>
        </w:trPr>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9/30/2016</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80" w:type="dxa"/>
            <w:vAlign w:val="bottom"/>
            <w:shd w:val="clear" w:color="auto" w:fill="CCEEFF"/>
          </w:tcPr>
          <w:p>
            <w:pPr>
              <w:spacing w:after="0"/>
              <w:rPr>
                <w:sz w:val="18"/>
                <w:szCs w:val="18"/>
                <w:color w:val="auto"/>
              </w:rPr>
            </w:pPr>
          </w:p>
        </w:tc>
      </w:tr>
      <w:tr>
        <w:trPr>
          <w:trHeight w:val="216"/>
        </w:trPr>
        <w:tc>
          <w:tcPr>
            <w:tcW w:w="3880" w:type="dxa"/>
            <w:vAlign w:val="bottom"/>
          </w:tcPr>
          <w:p>
            <w:pPr>
              <w:jc w:val="center"/>
              <w:spacing w:after="0"/>
              <w:rPr>
                <w:sz w:val="20"/>
                <w:szCs w:val="20"/>
                <w:color w:val="auto"/>
              </w:rPr>
            </w:pPr>
            <w:r>
              <w:rPr>
                <w:rFonts w:ascii="Arial" w:cs="Arial" w:eastAsia="Arial" w:hAnsi="Arial"/>
                <w:sz w:val="18"/>
                <w:szCs w:val="18"/>
                <w:color w:val="auto"/>
                <w:w w:val="92"/>
              </w:rPr>
              <w:t>6/30/2016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45.53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84.00</w:t>
            </w:r>
          </w:p>
        </w:tc>
        <w:tc>
          <w:tcPr>
            <w:tcW w:w="180" w:type="dxa"/>
            <w:vAlign w:val="bottom"/>
          </w:tcPr>
          <w:p>
            <w:pPr>
              <w:spacing w:after="0"/>
              <w:rPr>
                <w:sz w:val="18"/>
                <w:szCs w:val="18"/>
                <w:color w:val="auto"/>
              </w:rPr>
            </w:pPr>
          </w:p>
        </w:tc>
      </w:tr>
      <w:tr>
        <w:trPr>
          <w:trHeight w:val="216"/>
        </w:trPr>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3/31/2016</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80" w:type="dxa"/>
            <w:vAlign w:val="bottom"/>
            <w:shd w:val="clear" w:color="auto" w:fill="CCEEFF"/>
          </w:tcPr>
          <w:p>
            <w:pPr>
              <w:spacing w:after="0"/>
              <w:rPr>
                <w:sz w:val="18"/>
                <w:szCs w:val="18"/>
                <w:color w:val="auto"/>
              </w:rPr>
            </w:pPr>
          </w:p>
        </w:tc>
      </w:tr>
      <w:tr>
        <w:trPr>
          <w:trHeight w:val="216"/>
        </w:trPr>
        <w:tc>
          <w:tcPr>
            <w:tcW w:w="3880" w:type="dxa"/>
            <w:vAlign w:val="bottom"/>
          </w:tcPr>
          <w:p>
            <w:pPr>
              <w:jc w:val="center"/>
              <w:spacing w:after="0"/>
              <w:rPr>
                <w:sz w:val="20"/>
                <w:szCs w:val="20"/>
                <w:color w:val="auto"/>
              </w:rPr>
            </w:pPr>
            <w:r>
              <w:rPr>
                <w:rFonts w:ascii="Arial" w:cs="Arial" w:eastAsia="Arial" w:hAnsi="Arial"/>
                <w:sz w:val="18"/>
                <w:szCs w:val="18"/>
                <w:color w:val="auto"/>
                <w:w w:val="90"/>
              </w:rPr>
              <w:t>12/31/2015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42.02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89.00</w:t>
            </w:r>
          </w:p>
        </w:tc>
        <w:tc>
          <w:tcPr>
            <w:tcW w:w="180" w:type="dxa"/>
            <w:vAlign w:val="bottom"/>
          </w:tcPr>
          <w:p>
            <w:pPr>
              <w:spacing w:after="0"/>
              <w:rPr>
                <w:sz w:val="18"/>
                <w:szCs w:val="18"/>
                <w:color w:val="auto"/>
              </w:rPr>
            </w:pPr>
          </w:p>
        </w:tc>
      </w:tr>
      <w:tr>
        <w:trPr>
          <w:trHeight w:val="216"/>
        </w:trPr>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9/30/2015</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80" w:type="dxa"/>
            <w:vAlign w:val="bottom"/>
            <w:shd w:val="clear" w:color="auto" w:fill="CCEEFF"/>
          </w:tcPr>
          <w:p>
            <w:pPr>
              <w:spacing w:after="0"/>
              <w:rPr>
                <w:sz w:val="18"/>
                <w:szCs w:val="18"/>
                <w:color w:val="auto"/>
              </w:rPr>
            </w:pPr>
          </w:p>
        </w:tc>
      </w:tr>
      <w:tr>
        <w:trPr>
          <w:trHeight w:val="230"/>
        </w:trPr>
        <w:tc>
          <w:tcPr>
            <w:tcW w:w="3880" w:type="dxa"/>
            <w:vAlign w:val="bottom"/>
          </w:tcPr>
          <w:p>
            <w:pPr>
              <w:jc w:val="center"/>
              <w:spacing w:after="0"/>
              <w:rPr>
                <w:sz w:val="20"/>
                <w:szCs w:val="20"/>
                <w:color w:val="auto"/>
              </w:rPr>
            </w:pPr>
            <w:r>
              <w:rPr>
                <w:rFonts w:ascii="Arial" w:cs="Arial" w:eastAsia="Arial" w:hAnsi="Arial"/>
                <w:sz w:val="18"/>
                <w:szCs w:val="18"/>
                <w:color w:val="auto"/>
                <w:w w:val="92"/>
              </w:rPr>
              <w:t>6/30/2015</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57.64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48.09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109.50</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102235</wp:posOffset>
            </wp:positionV>
            <wp:extent cx="7715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7" w:lineRule="exact"/>
        <w:rPr>
          <w:sz w:val="20"/>
          <w:szCs w:val="20"/>
          <w:color w:val="auto"/>
        </w:rPr>
      </w:pPr>
    </w:p>
    <w:p>
      <w:pPr>
        <w:ind w:left="980" w:right="4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WTI crude prices are from U.S. Energy Information Administration (EIA), and WCS crude prices and Seaborne hard coking coal contract prices are from Bloomberg.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As noted above, demand for our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2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80% of our revenue is generated by our accommodation facilities. Where traditional accommodations and infrastructure are insufficient, inaccessible or cost ineffective, our lodge and village facilities provide comprehensive accommodations services similar to those found in an urban hotel. We typically contract our facilities to our customers on a fee-per-day basis that covers lodging and meals and is based on the duration of customer needs, which can range from several weeks to several years.</w:t>
      </w:r>
    </w:p>
    <w:p>
      <w:pPr>
        <w:spacing w:after="0" w:line="193"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ranging from ten years to in excess of 30 years. Consequently, these investments are dependent on those customers’ long-term views of commodity demand and prices.</w:t>
      </w:r>
    </w:p>
    <w:p>
      <w:pPr>
        <w:spacing w:after="0" w:line="124"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response to decreases in crude oil prices beginning in late 2014, many of our customers in Canada curtailed their operations and spending, and most major oil sands mining operators began reducing their costs and limiting capital spending, thereby limiting the demand for accommodations of the kind we provide. In Australia, approximately 80% of our rooms are located in the Bowen Basin and primarily serve met coal mines in that region, where our customers continue to implement operational efficiency measures, in order to drive down their cost base.</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recent months, however, several catalysts have emerged that we believe could have favorable intermediate to long-term implications for our core end markets. Since the announcement by OPEC in late November 2016 to cut production quotas and the subsequent rise in spot oil prices and future oil price expectations, certain operators with steam-assisted gravity drainage operations in the Canadian oil sands increased capital spending in 2017. Despite construction at the Fort Hill Energy LP project ending in early 2018, Canadian oil sands capital spending in 2018 is forecasted to be relatively flat, in the aggregate. In addition, recent regulatory approvals of several major pipeline projects have the potential to both drive incremental demand for mobile accommodations assets and to improve take-away capacity for Canadian oil sands producers over the longer term. However, these projects have been delayed due to the lack of agreement between the Canadian federal government, which supports the pipeline projects, and the British Columbia provincial government. The Canadian federal government recently announced the acquisition of Kinder Morgan’s Trans Mountain Pipeline, emphasizing their support for this particular project. Additionally, we believe that the Keystone XL pipeline in the U.S., if constructed, would be a positive catalyst for Canadian oil sands producers, as it would bolster confidence in future take-away capacity from the region to U.S. Gulf Coast refineries. In Australia, we believe prices are currently at a level that may contribute to increased activity over the long term if our customers view these price levels as sustainable.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7" w:name="page28"/>
    <w:bookmarkEnd w:id="27"/>
    <w:p>
      <w:pPr>
        <w:ind w:right="60" w:firstLine="324"/>
        <w:spacing w:after="0" w:line="259" w:lineRule="auto"/>
        <w:rPr>
          <w:sz w:val="20"/>
          <w:szCs w:val="20"/>
          <w:color w:val="auto"/>
        </w:rPr>
      </w:pPr>
      <w:r>
        <w:rPr>
          <w:rFonts w:ascii="Arial" w:cs="Arial" w:eastAsia="Arial" w:hAnsi="Arial"/>
          <w:sz w:val="18"/>
          <w:szCs w:val="18"/>
          <w:color w:val="auto"/>
        </w:rPr>
        <w:t>While we believe that these macroeconomic developments are positive for our customers and for the underlying demand for our accommodations services, we do not expect an immediate improvement in our business. Accordingly, we plan to continue focusing on enhancing the quality of our operations, maintaining financial discipline, proactively managing our business as market conditions continue to evolve and integrating the recently acquired Noralta assets into our business.</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began expansion of our room count in Kitimat, British Columbia during the second half of 2015 to support potential liquefied natural gas (LNG) projects on the west coast of British Columbia. We were awarded a contract with LNG Canada (LNGC) for the provision of open lodge rooms and associated services that ran through October 2017. To support this contract, we developed a new accommodations facility, Sitka Lodge, which includes private washrooms, recreational facilities and other amenities. This lodge currently has 436 rooms, with the potential to expand to serve future accommodations demand in the region.</w:t>
      </w:r>
    </w:p>
    <w:p>
      <w:pPr>
        <w:spacing w:after="0" w:line="18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recently announced the conditional contract award to supply accommodations for four locations along the Coastal GasLink (CGL) pipeline project in British Columbia, Canada. This pipeline would provide the natural gas for the proposed liquidation and export facility in Kitimat, British Columbia. Should the CGL project move forward, we expect to deploy approximately C$10 million in capital, primarily in 2019, across all four locations. In addition, we were awarded a contract with LNGC to construct a 4,500 person workforce accommodation center (Cedar Valley Lodge) for the proposed Kitimat liquefaction and export facility. Construction of CGL and Cedar Valley Lodge will not commence until LNGC’s joint venture participants have made a positive final investment decision (FID). The FID was originally planned for the end of 2016. However, FID has been delayed. Recent public statements by LNGC and news reports indicate that FID for LNGC is expected in the second half of 2018. Should the project ultimately move forward, British Columbia LNG activity and related pipeline projects could become a material driver of future activity for our Sitka Lodge, as well as for our mobile fleet assets, which are well suited for the related pipeline construction activity.</w:t>
      </w:r>
    </w:p>
    <w:p>
      <w:pPr>
        <w:spacing w:after="0" w:line="18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However, there can be no assurance that LNGC’s joint venture participants will reach a positive FID or that our contracts with LNGC will be extended. If the LNGC project, and other potential projects in the area, do not move forward, our future results of operations and our existing long-lived assets in Canada, including our Sitka Lodge, may be negatively affected, and we may be required to record material impairment charges equal to the excess of the carrying values of these assets over their fair values. As of June 30, 2018, the net book value of long-lived assets that are currently supporting, or could be used to support, potential LNG projects in British Columbia was approximately $74 million.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Exchange rates between the U.S. dollar and each of the Canadian dollar and the Australian dollar influence our U.S. dollar reported financial results.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business has historically derived the vast majority of its revenues and operating income in Canada and Australia. These revenues and profits are translated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U.S. dollars for U.S. Generally Accepted Accounting Principles (U.S. GAAP) financial reporting purposes. The Canadian dollar was valued at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average exchange rate of U.S. $0.77 for the second quarter of 2018, compared to U.S. $0.74 for the second quarter of 2017, an increase of approximately 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Canadian dollar was valued at an average exchange rate of U.S. $0.78 for the first half of 2018 compared to U.S. $0.75 for the first half of 2017,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increase of approximately 4%. The Canadian dollar was valued at an exchange rate of $0.76 on June 30, 2018 and $0.80 on December 31, 2017.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Australian dollar was valued at an average exchange rate of U.S. $0.76 for the second quarter of 2018, compared to U.S. $0.75 for the second quarter of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of approximately 1%. The Australian dollar was valued at an average exchange rate of U.S. $0.77 for the first half of 2018 compared to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$0.75 for the first half of 2017, an increase of approximately 2%. The Australian dollar was valued at an exchange rate of $0.74 on June 30, 2018 and $0.78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December 31, 2017. These fluctuations of the Canadian and Australian dollars have had and will continue to have an impact on the translation of earnings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generated from our Canadian and Australian subsidiaries and, therefore, our financial results.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 w:name="page29"/>
    <w:bookmarkEnd w:id="28"/>
    <w:p>
      <w:pPr>
        <w:ind w:right="300" w:firstLine="324"/>
        <w:spacing w:after="0" w:line="302" w:lineRule="auto"/>
        <w:rPr>
          <w:sz w:val="20"/>
          <w:szCs w:val="20"/>
          <w:color w:val="auto"/>
        </w:rPr>
      </w:pPr>
      <w:r>
        <w:rPr>
          <w:rFonts w:ascii="Arial" w:cs="Arial" w:eastAsia="Arial" w:hAnsi="Arial"/>
          <w:sz w:val="16"/>
          <w:szCs w:val="16"/>
          <w:color w:val="auto"/>
        </w:rPr>
        <w:t>We continue to monitor the global economy, the demand for crude oil and met coal and the resultant impact on the capital spending plans of our customers in order to plan our business activities. We currently expect that our 2018 capital expenditures, exclusive of any business acquisitions, will total approximately $20 million to $25 million, including capital expenditures related to the recently acquired Noralta assets, compared to 2017 capital expenditures of $11.2 million. Please see “Liquidity and Capital Resources</w:t>
      </w:r>
      <w:r>
        <w:rPr>
          <w:rFonts w:ascii="Arial" w:cs="Arial" w:eastAsia="Arial" w:hAnsi="Arial"/>
          <w:sz w:val="16"/>
          <w:szCs w:val="16"/>
          <w:i w:val="1"/>
          <w:iCs w:val="1"/>
          <w:color w:val="auto"/>
        </w:rPr>
        <w:t>”</w:t>
      </w:r>
      <w:r>
        <w:rPr>
          <w:rFonts w:ascii="Arial" w:cs="Arial" w:eastAsia="Arial" w:hAnsi="Arial"/>
          <w:sz w:val="16"/>
          <w:szCs w:val="16"/>
          <w:color w:val="auto"/>
        </w:rPr>
        <w:t xml:space="preserve"> below for further discussion of 2018 capital expenditures.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 and six-month periods ended June 30, 2018, is based on a comparison to the corresponding periods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June 30, 2018 Compared to Three Months Ended June 30, 2017</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Canada</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86,518</w:t>
            </w:r>
          </w:p>
        </w:tc>
        <w:tc>
          <w:tcPr>
            <w:tcW w:w="8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57,668</w:t>
            </w:r>
          </w:p>
        </w:tc>
        <w:tc>
          <w:tcPr>
            <w:tcW w:w="12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13,082</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38,830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Other operating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145,678</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105,377</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(15,501)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(13,367)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 expense and income, net</w:t>
            </w:r>
          </w:p>
        </w:tc>
        <w:tc>
          <w:tcPr>
            <w:tcW w:w="3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(7,833)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(4,742)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(23,082)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(17,633)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23,371</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(14,717)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3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8"/>
              </w:rPr>
              <w:t>Net income (loss) attributable to Civeo Corporation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(14,816)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Dividends attributable to preferred shares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48,488</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gridSpan w:val="2"/>
          </w:tcPr>
          <w:p>
            <w:pPr>
              <w:spacing w:after="0"/>
              <w:rPr>
                <w:sz w:val="20"/>
                <w:szCs w:val="20"/>
                <w:color w:val="auto"/>
              </w:rPr>
            </w:pPr>
            <w:r>
              <w:rPr>
                <w:rFonts w:ascii="Arial" w:cs="Arial" w:eastAsia="Arial" w:hAnsi="Arial"/>
                <w:sz w:val="18"/>
                <w:szCs w:val="18"/>
                <w:color w:val="auto"/>
                <w:w w:val="97"/>
              </w:rPr>
              <w:t>Net loss attributable to Civeo common shareholders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(48,321)</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(14,816)</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(33,505)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reported net loss attributable to Civeo for the quarter ended June 30, 2018 of $48.3 million, or $0.29 per diluted share. As further discussed below, net loss included costs totaling $5.6 million ($5.1 million after-tax, or $0.03 per diluted share) incurred in connection with the Noralta acquisition, primarily included in Selling, general and administrative (SG&amp;A) expense below, and $48.5 million of dividends attributable to the preferred shares issued in the Noralta acquisition.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reported net loss attributable to Civeo for the quarter ended June 30, 2017 of $14.8 million, or $0.11 per diluted share.</w:t>
      </w:r>
    </w:p>
    <w:p>
      <w:pPr>
        <w:spacing w:after="0" w:line="221"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increased $38.2 million, or 41%, in the second quarter of 2018 compared to the second quarter of 2017. This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was primarily due to increases in Canada due to the Noralta acquisition in the second quarter of 2018, as well as increased mobile facility rental revenue, and in Australia and the U.S. due to higher activity levels in certain markets. Additionally, a stronger Canadian dollar relative to the U.S. dollar in the second quarter of 2018 compared to the second quarter of 2017 contributed to increased revenues. Please see the discussion of segment results of operations below for further information.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increased $29.3 million, or 49%, in the second quarter of 2018 compared to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2017, primarily due to increases in Canada due to the Noralta acquisition in the second quarter of 2018 and increased mobile facility rental activity, and in Australia due to higher occupancy levels in certain markets and the U.S. due to higher activity levels. Additionally, a stronger Canadian dollar relative to the U.S. dollar in the second quarter of 2018 compared to the second quarter of 2017 contributed to increased cost of sales and services. Please see the discussion of segment results of operations below for further description.</w:t>
      </w:r>
    </w:p>
    <w:p>
      <w:pPr>
        <w:spacing w:after="0" w:line="184" w:lineRule="exact"/>
        <w:rPr>
          <w:sz w:val="20"/>
          <w:szCs w:val="20"/>
          <w:color w:val="auto"/>
        </w:rPr>
      </w:pPr>
    </w:p>
    <w:p>
      <w:pPr>
        <w:ind w:right="80" w:firstLine="324"/>
        <w:spacing w:after="0" w:line="281"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increased $8.5 million, or 60%, in the second quarter of 2018 compared to the second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2017. This increase was primarily due to $5.4 million in costs incurred in connection with the Noralta acquisition and $2.4 million in higher share-based compensation expense associated with phantom share awards. The increase in share-based compensation was due to the increase in our share price during the period, which is used to remeasure the phantom share awards at each reporting date.</w:t>
      </w:r>
    </w:p>
    <w:p>
      <w:pPr>
        <w:spacing w:after="0" w:line="165" w:lineRule="exact"/>
        <w:rPr>
          <w:sz w:val="20"/>
          <w:szCs w:val="20"/>
          <w:color w:val="auto"/>
        </w:rPr>
      </w:pPr>
    </w:p>
    <w:p>
      <w:pPr>
        <w:ind w:right="20" w:firstLine="324"/>
        <w:spacing w:after="0" w:line="314"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increased $2.7 million, or 9%, in the second quarter of 2018</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second quarter of 2017, primarily due to additional property, plant and equipment acquired through recent acquisitions as well as incremental intangible amortization expense related to our acquisitions, partially offset by reduced depreciation expense resulting from impairments recorded in 2017.</w:t>
      </w:r>
    </w:p>
    <w:p>
      <w:pPr>
        <w:spacing w:after="0" w:line="142" w:lineRule="exact"/>
        <w:rPr>
          <w:sz w:val="20"/>
          <w:szCs w:val="20"/>
          <w:color w:val="auto"/>
        </w:rPr>
      </w:pPr>
    </w:p>
    <w:p>
      <w:pPr>
        <w:ind w:right="380" w:firstLine="324"/>
        <w:spacing w:after="0" w:line="282"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Consolidated operating loss increased $2.1 million, or 16%, in the second quarter of 2018 compared to the second quarter of 2017,</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higher SG&amp;A and depreciation and amortization expense.</w:t>
      </w:r>
    </w:p>
    <w:p>
      <w:pPr>
        <w:spacing w:after="0" w:line="162" w:lineRule="exact"/>
        <w:rPr>
          <w:sz w:val="20"/>
          <w:szCs w:val="20"/>
          <w:color w:val="auto"/>
        </w:rPr>
      </w:pPr>
    </w:p>
    <w:p>
      <w:pPr>
        <w:ind w:right="340" w:firstLine="324"/>
        <w:spacing w:after="0" w:line="266"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increased by $3.1 million, or 65%, in the second quarter of 2018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2017, primarily related to higher revolving credit facility borrowings to fund the Noralta acquisition and the write-off of $0.7 million of debt issuance costs associated with the Amended Credit Agreement.</w:t>
      </w:r>
    </w:p>
    <w:p>
      <w:pPr>
        <w:spacing w:after="0" w:line="176" w:lineRule="exact"/>
        <w:rPr>
          <w:sz w:val="20"/>
          <w:szCs w:val="20"/>
          <w:color w:val="auto"/>
        </w:rPr>
      </w:pPr>
    </w:p>
    <w:p>
      <w:pPr>
        <w:ind w:right="20" w:firstLine="324"/>
        <w:spacing w:after="0" w:line="303" w:lineRule="auto"/>
        <w:rPr>
          <w:sz w:val="20"/>
          <w:szCs w:val="20"/>
          <w:color w:val="auto"/>
        </w:rPr>
      </w:pPr>
      <w:r>
        <w:rPr>
          <w:rFonts w:ascii="Arial" w:cs="Arial" w:eastAsia="Arial" w:hAnsi="Arial"/>
          <w:sz w:val="16"/>
          <w:szCs w:val="16"/>
          <w:b w:val="1"/>
          <w:bCs w:val="1"/>
          <w:color w:val="auto"/>
        </w:rPr>
        <w:t xml:space="preserve">Income Tax Benefit. </w:t>
      </w:r>
      <w:r>
        <w:rPr>
          <w:rFonts w:ascii="Arial" w:cs="Arial" w:eastAsia="Arial" w:hAnsi="Arial"/>
          <w:sz w:val="16"/>
          <w:szCs w:val="16"/>
          <w:color w:val="auto"/>
        </w:rPr>
        <w:t>Our income tax benefit for the three months ended June 30, 2018 totaled $23.4 million, or 101.3% of pretax loss, compared to a</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$2.9 million, or 16.5% of pretax loss, for the three months ended June 30, 2017. The effective tax rate for the three months ended June 30, 2018 was impacted by an increase in the 2018 effective tax rate due to Canada no longer being considered a loss jurisdiction. Under ASC 740-270, Accounting for Income Taxes, the quarterly tax provision is based on our current estimate of the annual effective tax rate less the prior quarter’s year-to-date provision.</w:t>
      </w:r>
    </w:p>
    <w:p>
      <w:pPr>
        <w:spacing w:after="0" w:line="151" w:lineRule="exact"/>
        <w:rPr>
          <w:sz w:val="20"/>
          <w:szCs w:val="20"/>
          <w:color w:val="auto"/>
        </w:rPr>
      </w:pPr>
    </w:p>
    <w:p>
      <w:pPr>
        <w:jc w:val="both"/>
        <w:ind w:right="340" w:firstLine="324"/>
        <w:spacing w:after="0" w:line="314" w:lineRule="auto"/>
        <w:rPr>
          <w:sz w:val="20"/>
          <w:szCs w:val="20"/>
          <w:color w:val="auto"/>
        </w:rPr>
      </w:pPr>
      <w:r>
        <w:rPr>
          <w:rFonts w:ascii="Arial" w:cs="Arial" w:eastAsia="Arial" w:hAnsi="Arial"/>
          <w:sz w:val="16"/>
          <w:szCs w:val="16"/>
          <w:b w:val="1"/>
          <w:bCs w:val="1"/>
          <w:color w:val="auto"/>
        </w:rPr>
        <w:t xml:space="preserve">Dividends Attributable to Preferred Shares. </w:t>
      </w:r>
      <w:r>
        <w:rPr>
          <w:rFonts w:ascii="Arial" w:cs="Arial" w:eastAsia="Arial" w:hAnsi="Arial"/>
          <w:sz w:val="16"/>
          <w:szCs w:val="16"/>
          <w:color w:val="auto"/>
        </w:rPr>
        <w:t>We recorded dividends attributable to preferred shares of $48.5 million in the second quarter of 2018</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resulting from a beneficial conversion factor associated with the preferred shares issued as part of the Noralta acquisition. Please see Note 12 – Preferred Shares to the notes to the unaudited consolidated financial statements included in Item 1 of this quarterly report for further discussion.</w:t>
      </w:r>
    </w:p>
    <w:p>
      <w:pPr>
        <w:spacing w:after="0" w:line="142"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loss increased $22.7 million in the second quarter of 2018 compared to the second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2017, primarily as a result of foreign currency translation adjustments due to changes in the Canadian and Australian dollar exchange rates compared to the U.S. dollar. The Canadian dollar exchange rate compared to the U.S. dollar decreased 2% in the second quarter of 2018 compared to a 3% increase in the second quarter of 2017. The Australian dollar exchange rate compared to the U.S. dollar decreased 4% in the second quarter of 2018 compared to a 1% increase in the second quarter of 2017.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Segment Results of Operations – Canadian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Revenues ($ in thousands)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Accommodation revenue (1)</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Mobile facility rental revenue (2)</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Catering and other services revenue (3)</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Manufacturing revenue (4)</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Total revenues</w:t>
      </w:r>
    </w:p>
    <w:p>
      <w:pPr>
        <w:spacing w:after="0" w:line="211"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Cost of sales and services ($ in thousands)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Accommodation cost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Mobile facility rental cost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Catering and other services cost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Manufacturing cost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Indirect other cost</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Total cost of sales and services</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Gross margin as a % of revenues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Average available lodge rooms (5)</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Rentable rooms for lodges (6)</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Average daily rate for lodges (7)</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Occupancy in lodges (8)</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Billed rooms for lodges (9)</w:t>
      </w: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Average Canadian dollar to U.S.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143510</wp:posOffset>
            </wp:positionV>
            <wp:extent cx="892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18"/>
                <w:szCs w:val="18"/>
                <w:color w:val="auto"/>
              </w:rPr>
            </w:pPr>
          </w:p>
        </w:tc>
      </w:tr>
      <w:tr>
        <w:trPr>
          <w:trHeight w:val="411"/>
        </w:trPr>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80,620</w:t>
            </w:r>
          </w:p>
        </w:tc>
        <w:tc>
          <w:tcPr>
            <w:tcW w:w="180" w:type="dxa"/>
            <w:vAlign w:val="bottom"/>
          </w:tcPr>
          <w:p>
            <w:pPr>
              <w:spacing w:after="0"/>
              <w:rPr>
                <w:sz w:val="24"/>
                <w:szCs w:val="2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53,637</w:t>
            </w:r>
          </w:p>
        </w:tc>
        <w:tc>
          <w:tcPr>
            <w:tcW w:w="200" w:type="dxa"/>
            <w:vAlign w:val="bottom"/>
          </w:tcPr>
          <w:p>
            <w:pPr>
              <w:spacing w:after="0"/>
              <w:rPr>
                <w:sz w:val="24"/>
                <w:szCs w:val="24"/>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26,983</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1,070</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(1,067)</w:t>
            </w:r>
          </w:p>
        </w:tc>
      </w:tr>
      <w:tr>
        <w:trPr>
          <w:trHeight w:val="224"/>
        </w:trPr>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86,518</w:t>
            </w: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57,668</w:t>
            </w: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28,850</w:t>
            </w:r>
          </w:p>
        </w:tc>
        <w:tc>
          <w:tcPr>
            <w:tcW w:w="60" w:type="dxa"/>
            <w:vAlign w:val="bottom"/>
          </w:tcPr>
          <w:p>
            <w:pPr>
              <w:spacing w:after="0"/>
              <w:rPr>
                <w:sz w:val="19"/>
                <w:szCs w:val="19"/>
                <w:color w:val="auto"/>
              </w:rPr>
            </w:pPr>
          </w:p>
        </w:tc>
      </w:tr>
      <w:tr>
        <w:trPr>
          <w:trHeight w:val="620"/>
        </w:trPr>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52,902</w:t>
            </w:r>
          </w:p>
        </w:tc>
        <w:tc>
          <w:tcPr>
            <w:tcW w:w="180" w:type="dxa"/>
            <w:vAlign w:val="bottom"/>
          </w:tcPr>
          <w:p>
            <w:pPr>
              <w:spacing w:after="0"/>
              <w:rPr>
                <w:sz w:val="24"/>
                <w:szCs w:val="2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32,877</w:t>
            </w:r>
          </w:p>
        </w:tc>
        <w:tc>
          <w:tcPr>
            <w:tcW w:w="200" w:type="dxa"/>
            <w:vAlign w:val="bottom"/>
          </w:tcPr>
          <w:p>
            <w:pPr>
              <w:spacing w:after="0"/>
              <w:rPr>
                <w:sz w:val="24"/>
                <w:szCs w:val="24"/>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20,025</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(968)</w:t>
            </w:r>
          </w:p>
        </w:tc>
      </w:tr>
      <w:tr>
        <w:trPr>
          <w:trHeight w:val="230"/>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6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62,839</w:t>
            </w:r>
          </w:p>
        </w:tc>
        <w:tc>
          <w:tcPr>
            <w:tcW w:w="180" w:type="dxa"/>
            <w:vAlign w:val="bottom"/>
          </w:tcPr>
          <w:p>
            <w:pPr>
              <w:spacing w:after="0"/>
              <w:rPr>
                <w:sz w:val="19"/>
                <w:szCs w:val="19"/>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38,830</w:t>
            </w:r>
          </w:p>
        </w:tc>
        <w:tc>
          <w:tcPr>
            <w:tcW w:w="20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24,009</w:t>
            </w:r>
          </w:p>
        </w:tc>
        <w:tc>
          <w:tcPr>
            <w:tcW w:w="6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22,497</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14,720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7,777</w:t>
            </w: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15,141</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8,138</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7,003</w:t>
            </w:r>
          </w:p>
        </w:tc>
        <w:tc>
          <w:tcPr>
            <w:tcW w:w="60" w:type="dxa"/>
            <w:vAlign w:val="bottom"/>
          </w:tcPr>
          <w:p>
            <w:pPr>
              <w:spacing w:after="0"/>
              <w:rPr>
                <w:sz w:val="24"/>
                <w:szCs w:val="24"/>
                <w:color w:val="auto"/>
              </w:rPr>
            </w:pPr>
          </w:p>
        </w:tc>
      </w:tr>
      <w:tr>
        <w:trPr>
          <w:trHeight w:val="432"/>
        </w:trPr>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4"/>
                <w:szCs w:val="2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4"/>
                <w:szCs w:val="24"/>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930,828</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600,404</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330,424</w:t>
            </w:r>
          </w:p>
        </w:tc>
        <w:tc>
          <w:tcPr>
            <w:tcW w:w="60" w:type="dxa"/>
            <w:vAlign w:val="bottom"/>
          </w:tcPr>
          <w:p>
            <w:pPr>
              <w:spacing w:after="0"/>
              <w:rPr>
                <w:sz w:val="24"/>
                <w:szCs w:val="24"/>
                <w:color w:val="auto"/>
              </w:rPr>
            </w:pPr>
          </w:p>
        </w:tc>
      </w:tr>
      <w:tr>
        <w:trPr>
          <w:trHeight w:val="432"/>
        </w:trPr>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0.775</w:t>
            </w:r>
          </w:p>
        </w:tc>
        <w:tc>
          <w:tcPr>
            <w:tcW w:w="180" w:type="dxa"/>
            <w:vAlign w:val="bottom"/>
          </w:tcPr>
          <w:p>
            <w:pPr>
              <w:spacing w:after="0"/>
              <w:rPr>
                <w:sz w:val="24"/>
                <w:szCs w:val="2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0.744</w:t>
            </w:r>
          </w:p>
        </w:tc>
        <w:tc>
          <w:tcPr>
            <w:tcW w:w="200" w:type="dxa"/>
            <w:vAlign w:val="bottom"/>
          </w:tcPr>
          <w:p>
            <w:pPr>
              <w:spacing w:after="0"/>
              <w:rPr>
                <w:sz w:val="24"/>
                <w:szCs w:val="24"/>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0.031</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-2503805</wp:posOffset>
            </wp:positionH>
            <wp:positionV relativeFrom="paragraph">
              <wp:posOffset>-3858260</wp:posOffset>
            </wp:positionV>
            <wp:extent cx="57975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-3583940</wp:posOffset>
            </wp:positionV>
            <wp:extent cx="579755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-3309620</wp:posOffset>
            </wp:positionV>
            <wp:extent cx="579755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-3026410</wp:posOffset>
            </wp:positionV>
            <wp:extent cx="579755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-2752090</wp:posOffset>
            </wp:positionV>
            <wp:extent cx="579755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-2477770</wp:posOffset>
            </wp:positionV>
            <wp:extent cx="579755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-2203450</wp:posOffset>
            </wp:positionV>
            <wp:extent cx="579755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-1920240</wp:posOffset>
            </wp:positionV>
            <wp:extent cx="579755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-1645920</wp:posOffset>
            </wp:positionV>
            <wp:extent cx="579755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-1371600</wp:posOffset>
            </wp:positionV>
            <wp:extent cx="579755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-1097280</wp:posOffset>
            </wp:positionV>
            <wp:extent cx="579755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-822325</wp:posOffset>
            </wp:positionV>
            <wp:extent cx="579755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-548005</wp:posOffset>
            </wp:positionV>
            <wp:extent cx="579755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-273685</wp:posOffset>
            </wp:positionV>
            <wp:extent cx="579755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720"/>
            <w:col w:w="6320"/>
          </w:cols>
          <w:pgMar w:left="240" w:top="584" w:right="239" w:bottom="1440" w:gutter="0" w:footer="0" w:header="0"/>
        </w:sectPr>
      </w:pPr>
    </w:p>
    <w:p>
      <w:pPr>
        <w:spacing w:after="0" w:line="29"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revenues related to lodge and open camp rooms for the periods presented.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revenues related to catering and food services, laundry and water and wastewater treatment services for the periods presented.</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Canadian segment reported revenues in the second quarter of 2018 that were $28.9 million, or 50%, higher than the second quarter of 2017. The strengthening of the average exchange rates for the Canadian dollar relative to the U.S. dollar by 4% in the second quarter of 2018 compared to the second quarter of 2017 resulted in a $3.7 million period-over-period increase in revenues. Excluding the impact of the stronger Canadian exchange rates, the segment experienced a 44% increase in accommodation revenues. This increase was driven by the Noralta acquisition in the second quarter of 2018. Additionally, increased mobile facility rental revenue was driven by increased pipeline related projects.</w:t>
      </w:r>
    </w:p>
    <w:p>
      <w:pPr>
        <w:spacing w:after="0" w:line="173"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Our Canadian segment cost of sales and services increased $24.0 million, or 62%, in the second quarter of 2018 compared to the second quarter of 2017 primarily due to the Noralta acquisition in the second quarter of 2018 and increased mobile facility rental activity and related costs.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Canadian segment gross margin as a percentage of revenues decreased from 33% in the second quarter of 2017 to 27% in the second quarter of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driven by lower lodge rates.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7"/>
              </w:rPr>
              <w:t>Segment Results of Operations – Australian Segment</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Revenues (1) ($ in thousands)</w:t>
            </w:r>
          </w:p>
        </w:tc>
        <w:tc>
          <w:tcPr>
            <w:tcW w:w="14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30,577</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28,607</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4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15,349</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Rentable rooms for villages (3)</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for villages (4)</w:t>
            </w:r>
          </w:p>
        </w:tc>
        <w:tc>
          <w:tcPr>
            <w:tcW w:w="14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(5)</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Billed rooms for villages (6)</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376,369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358,393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4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0.757</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0.751</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128905</wp:posOffset>
            </wp:positionV>
            <wp:extent cx="892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9"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Australian segment reported revenues in the second quarter of 2018 that were $2.0 million, or 7%, higher than the second quarter of 2017. The increase in revenues in the second quarter of 2018 compared to the second quarter of 2017 due to increased activity at our Bowen Basin and Gunnedah Basin villages, offset by reduced activity at our Western Australia villages compared to 2017.</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Australian segment cost of sales increased $1.5 million, or 10%, in the second quarter of 2018 compared to the second quarter of 2017. The increase was driven by higher occupancy levels at our villages in the Bowen Basin and Gunnedah Basin.</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Australian segment gross margin as a percentage of revenues decreased to 50% in the second quarter of 2018 from 51% in the second quarter of 2017. This was primarily driven by reduced take-or-pay revenue on expired contracts compared to 2017.</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U.S.</w:t>
            </w: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8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13,082</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8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10,549</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U.S. segment reported revenues in the second quarter of 2018 that were $7.3 million, or 128%, higher than the second quarter of 2017. The increase was primarily due to greater U.S. drilling activity in the Bakken, Rockies and Texas markets for our lodge and wellsite businesses, the Acadian Acres acquisition in February 2018 and higher revenues from our offshore business.</w:t>
      </w:r>
    </w:p>
    <w:p>
      <w:pPr>
        <w:spacing w:after="0" w:line="18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U.S. cost of sales increased $3.8 million, or 56%, in the second quarter of 2018 compared to the second quarter of 2017. The increase was driven by greater U.S. drilling activity in the Bakken, Rockies and Texas markets and greater activity in the offshore business.</w:t>
      </w:r>
    </w:p>
    <w:p>
      <w:pPr>
        <w:spacing w:after="0" w:line="170"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U.S. segment gross margin as a percentage of revenues increased from (18%) in the second quarter of 2017 to 19% in the second quarter of 2018 primarily due to increased U.S. drilling activity in the Bakken, Rockies and Texas markets, as well as the offshore business and the Acadian Acres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Six Months Ended June 30, 2018 Compared to Six Months Ended June 30, 2017</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Canada</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149,908</w:t>
            </w:r>
          </w:p>
        </w:tc>
        <w:tc>
          <w:tcPr>
            <w:tcW w:w="12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118,174</w:t>
            </w:r>
          </w:p>
        </w:tc>
        <w:tc>
          <w:tcPr>
            <w:tcW w:w="12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31,734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23,321</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9,642</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114,362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82,118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21,021</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11,736</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166,065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121,156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39,426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Impairment expense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28,661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299,697</w:t>
            </w: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214,538</w:t>
            </w: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85,159</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(68,016)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(31,099)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income, net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(13,597)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(11,078)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(79,102)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(41,447)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24,056</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(55,046)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(35,583)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0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 Corporation</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(55,290)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(35,803)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Dividends attributable to preferred shares</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48,488</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3"/>
              </w:rPr>
              <w:t>Net loss attributable to Civeo common shareholders</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(103,778)</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(35,803)</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reported net loss attributable to Civeo for the six months ended June 30, 2018 of $103.8 million, or $0.70 per diluted share. As further discussed below, net loss included (i) a $28.7 million pre-tax loss ($20.9 million after-tax, or $0.14 per diluted share) resulting from the impairment of fixed assets included in Impairment expense, (ii) costs totaling $6.6 million ($5.9 million after-tax, or $0.04 per diluted share) incurred in connection with the Noralta acquisition, primarily included in Selling, general and administrative (SG&amp;A) expense below, and (iii) $48.5 million of dividends attributable to the preferred shares issued in the Noralta acquisition.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color w:val="auto"/>
        </w:rPr>
        <w:t>We reported net loss attributable to Civeo for the six months ended June 30, 2017 of $35.8 million, or $0.28 per diluted share.</w:t>
      </w:r>
    </w:p>
    <w:p>
      <w:pPr>
        <w:spacing w:after="0" w:line="221" w:lineRule="exact"/>
        <w:rPr>
          <w:sz w:val="20"/>
          <w:szCs w:val="20"/>
          <w:color w:val="auto"/>
        </w:rPr>
      </w:pPr>
    </w:p>
    <w:p>
      <w:pPr>
        <w:ind w:firstLine="324"/>
        <w:spacing w:after="0" w:line="303"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increased $48.2 million, or 26%, in the first half of 2018 compared to the first half of 2017. This increase was largely</w:t>
      </w:r>
      <w:r>
        <w:rPr>
          <w:rFonts w:ascii="Arial" w:cs="Arial" w:eastAsia="Arial" w:hAnsi="Arial"/>
          <w:sz w:val="16"/>
          <w:szCs w:val="16"/>
          <w:b w:val="1"/>
          <w:bCs w:val="1"/>
          <w:color w:val="auto"/>
        </w:rPr>
        <w:t xml:space="preserve"> </w:t>
      </w:r>
      <w:r>
        <w:rPr>
          <w:rFonts w:ascii="Arial" w:cs="Arial" w:eastAsia="Arial" w:hAnsi="Arial"/>
          <w:sz w:val="16"/>
          <w:szCs w:val="16"/>
          <w:color w:val="auto"/>
        </w:rPr>
        <w:t>driven by increases in Canada due to the Noralta acquisition in the second quarter of 2018, as well as increased mobile facility rental revenue, and in Australia and the U.S. due to higher activity levels in certain markets Additionally, stronger Canadian and Australian dollars relative to the U.S. dollar in 2018 compared to 2017 contributed to increased revenues. Please see the discussion of segment results of operations below for further information.</w:t>
      </w:r>
    </w:p>
    <w:p>
      <w:pPr>
        <w:spacing w:after="0" w:line="151"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increased $44.9 million, or 37%, in the first half of 2018 compared to the first half of 2017,</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increases in Canada due to the Noralta acquisition in the second quarter of 2018 and increased mobile facility rental activity, and in Australia due to higher occupancy levels in certain markets and the U.S. due to higher activity levels. Additionally, stronger Canadian and Australian dollars relative to the U.S. dollar in 2018 compared to 2017 contributed to increased cost of sales and services. Please see the discussion of segment results of operations below for further information.</w:t>
      </w:r>
    </w:p>
    <w:p>
      <w:pPr>
        <w:spacing w:after="0" w:line="184"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SG&amp;A expense increased $11.2 million, or 39%, in the first half of 2018 compared to the first half of</w:t>
      </w:r>
      <w:r>
        <w:rPr>
          <w:rFonts w:ascii="Arial" w:cs="Arial" w:eastAsia="Arial" w:hAnsi="Arial"/>
          <w:sz w:val="18"/>
          <w:szCs w:val="18"/>
          <w:b w:val="1"/>
          <w:bCs w:val="1"/>
          <w:color w:val="auto"/>
        </w:rPr>
        <w:t xml:space="preserve"> </w:t>
      </w:r>
      <w:r>
        <w:rPr>
          <w:rFonts w:ascii="Arial" w:cs="Arial" w:eastAsia="Arial" w:hAnsi="Arial"/>
          <w:sz w:val="18"/>
          <w:szCs w:val="18"/>
          <w:color w:val="auto"/>
        </w:rPr>
        <w:t>2017. This increase was primarily due to $6.4 million in costs incurred in connection with the Noralta acquisition and $3.1 million in higher share-based compensation expense associated with phantom share awards. The increase in share-based compensation was due to the increase in our share price during the period, which is used to remeasure the phantom share awards at each reporting date.</w:t>
      </w:r>
    </w:p>
    <w:p>
      <w:pPr>
        <w:spacing w:after="0" w:line="180"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increased $0.7 million, or 1%, in the first half of 2018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half of 2017 primarily due to additional property, plant and equipment acquired through recent acquisitions as well as incremental intangible amortization expense related to our acquisitions, partially offset by reduced depreciation expense resulting from impairments recorded in 2017 and certain assets becoming fully depreciated during 2017.</w:t>
      </w:r>
    </w:p>
    <w:p>
      <w:pPr>
        <w:spacing w:after="0" w:line="180" w:lineRule="exact"/>
        <w:rPr>
          <w:sz w:val="20"/>
          <w:szCs w:val="20"/>
          <w:color w:val="auto"/>
        </w:rPr>
      </w:pPr>
    </w:p>
    <w:p>
      <w:pPr>
        <w:ind w:right="400" w:firstLine="324"/>
        <w:spacing w:after="0" w:line="282" w:lineRule="auto"/>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We recorded pre-tax impairment expense of $28.7 million in the first quarter of 2018 associated with long-lived assets in our</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 segment.</w:t>
      </w:r>
    </w:p>
    <w:p>
      <w:pPr>
        <w:spacing w:after="0" w:line="16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Please see Note 6 - Impairment Charges to the notes to the unaudited consolidated financial statements included in Item 1 of this quarterly report for further discussion.</w:t>
      </w:r>
    </w:p>
    <w:p>
      <w:pPr>
        <w:spacing w:after="0" w:line="166"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Consolidated operating loss increased $36.9 million, or 119%, in the first half of 2018 compared to the first half of 2017 primarily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impairment expense recorded in the first half of 2018.</w:t>
      </w:r>
    </w:p>
    <w:p>
      <w:pPr>
        <w:spacing w:after="0" w:line="162"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increased by $2.5 million, or 23% in the first half of 2018 compared to the first half of</w:t>
      </w:r>
      <w:r>
        <w:rPr>
          <w:rFonts w:ascii="Arial" w:cs="Arial" w:eastAsia="Arial" w:hAnsi="Arial"/>
          <w:sz w:val="18"/>
          <w:szCs w:val="18"/>
          <w:b w:val="1"/>
          <w:bCs w:val="1"/>
          <w:color w:val="auto"/>
        </w:rPr>
        <w:t xml:space="preserve"> </w:t>
      </w:r>
      <w:r>
        <w:rPr>
          <w:rFonts w:ascii="Arial" w:cs="Arial" w:eastAsia="Arial" w:hAnsi="Arial"/>
          <w:sz w:val="18"/>
          <w:szCs w:val="18"/>
          <w:color w:val="auto"/>
        </w:rPr>
        <w:t>2017 primarily related to higher revolving credit facility borrowings to fund the Noralta acquisition.</w:t>
      </w:r>
    </w:p>
    <w:p>
      <w:pPr>
        <w:spacing w:after="0" w:line="162"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six months ended June 30, 2018 totaled $24.1 million, or 30.4% of pretax loss,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$5.9 million, or 14.1% of pretax loss, for the six months ended June 30, 2017. Our effective tax rate for the six months ended June 30, 2018 and 2017 was reduced approximately 5% and 13%, respectively, by the exclusion of Australia and the U.S. for purposes of computing the interim tax provision since they are considered loss jurisdictions for tax accounting purposes.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ind w:firstLine="324"/>
        <w:spacing w:after="0" w:line="289" w:lineRule="auto"/>
        <w:rPr>
          <w:sz w:val="20"/>
          <w:szCs w:val="20"/>
          <w:color w:val="auto"/>
        </w:rPr>
      </w:pPr>
      <w:r>
        <w:rPr>
          <w:rFonts w:ascii="Arial" w:cs="Arial" w:eastAsia="Arial" w:hAnsi="Arial"/>
          <w:sz w:val="17"/>
          <w:szCs w:val="17"/>
          <w:b w:val="1"/>
          <w:bCs w:val="1"/>
          <w:color w:val="auto"/>
        </w:rPr>
        <w:t xml:space="preserve">Dividends Attributable to Preferred Shares. </w:t>
      </w:r>
      <w:r>
        <w:rPr>
          <w:rFonts w:ascii="Arial" w:cs="Arial" w:eastAsia="Arial" w:hAnsi="Arial"/>
          <w:sz w:val="17"/>
          <w:szCs w:val="17"/>
          <w:color w:val="auto"/>
        </w:rPr>
        <w:t>We recorded dividends attributable to preferred shares of $48.5 million in the first half of 2018 primarily</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from a beneficial conversion factor associated with the preferred shares issued as part of the Noralta acquisition. Please see Note 12 – Preferred Shares to the notes to the unaudited consolidated financial statements included in Item 1 of this quarterly report for further discussion.</w:t>
      </w:r>
    </w:p>
    <w:p>
      <w:pPr>
        <w:spacing w:after="0" w:line="158" w:lineRule="exact"/>
        <w:rPr>
          <w:sz w:val="20"/>
          <w:szCs w:val="20"/>
          <w:color w:val="auto"/>
        </w:rPr>
      </w:pPr>
    </w:p>
    <w:p>
      <w:pPr>
        <w:jc w:val="both"/>
        <w:ind w:right="200" w:firstLine="324"/>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loss increased $48.6 million in the first half of 2018 compared to the first half of 2017</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as a result of foreign currency translation adjustments due to changes in the Canadian and Australian dollar exchange rates compared to the U.S. dollar. The Canadian dollar exchange rate compared to the U.S. dollar decreased 5% in the first half of 2018 compared to a 3% increase in the first half of 2017. The Australian dollar exchange rate compared to the U.S. dollar decreased 5% in the first half of 2018 compared to a 6% increase in the first half of 2017.</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Segment Results of Operations – Canadian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Revenues ($ in thousands)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Accommodation revenue (1)</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Mobile facility rental revenue (2)</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Catering and other services revenue (3)</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Manufacturing revenue (4)</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Total revenues</w:t>
      </w:r>
    </w:p>
    <w:p>
      <w:pPr>
        <w:spacing w:after="0" w:line="211"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Cost of sales and services ($ in thousands)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Accommodation cost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Mobile facility rental cost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Catering and other services cost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Manufacturing cost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Indirect other cost</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Total cost of sales and services</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Gross margin as a % of revenues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Average available lodge rooms (5)</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Rentable rooms for lodges (6)</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Average daily rate for lodges (7)</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Occupancy in lodges (8)</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Billed rooms for lodges (9)</w:t>
      </w: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Average Canadian dollar to U.S.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143510</wp:posOffset>
            </wp:positionV>
            <wp:extent cx="8921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18"/>
                <w:szCs w:val="18"/>
                <w:color w:val="auto"/>
              </w:rPr>
            </w:pPr>
          </w:p>
        </w:tc>
      </w:tr>
      <w:tr>
        <w:trPr>
          <w:trHeight w:val="411"/>
        </w:trPr>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131,267</w:t>
            </w:r>
          </w:p>
        </w:tc>
        <w:tc>
          <w:tcPr>
            <w:tcW w:w="180" w:type="dxa"/>
            <w:vAlign w:val="bottom"/>
          </w:tcPr>
          <w:p>
            <w:pPr>
              <w:spacing w:after="0"/>
              <w:rPr>
                <w:sz w:val="24"/>
                <w:szCs w:val="2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109,867</w:t>
            </w:r>
          </w:p>
        </w:tc>
        <w:tc>
          <w:tcPr>
            <w:tcW w:w="200" w:type="dxa"/>
            <w:vAlign w:val="bottom"/>
          </w:tcPr>
          <w:p>
            <w:pPr>
              <w:spacing w:after="0"/>
              <w:rPr>
                <w:sz w:val="24"/>
                <w:szCs w:val="24"/>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21,400</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9,901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9,099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7,455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6,089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1,366</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24"/>
        </w:trPr>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149,908</w:t>
            </w: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118,174</w:t>
            </w: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31,734</w:t>
            </w:r>
          </w:p>
        </w:tc>
        <w:tc>
          <w:tcPr>
            <w:tcW w:w="60" w:type="dxa"/>
            <w:vAlign w:val="bottom"/>
          </w:tcPr>
          <w:p>
            <w:pPr>
              <w:spacing w:after="0"/>
              <w:rPr>
                <w:sz w:val="19"/>
                <w:szCs w:val="19"/>
                <w:color w:val="auto"/>
              </w:rPr>
            </w:pPr>
          </w:p>
        </w:tc>
      </w:tr>
      <w:tr>
        <w:trPr>
          <w:trHeight w:val="620"/>
        </w:trPr>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89,567</w:t>
            </w:r>
          </w:p>
        </w:tc>
        <w:tc>
          <w:tcPr>
            <w:tcW w:w="180" w:type="dxa"/>
            <w:vAlign w:val="bottom"/>
          </w:tcPr>
          <w:p>
            <w:pPr>
              <w:spacing w:after="0"/>
              <w:rPr>
                <w:sz w:val="24"/>
                <w:szCs w:val="2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69,211</w:t>
            </w:r>
          </w:p>
        </w:tc>
        <w:tc>
          <w:tcPr>
            <w:tcW w:w="200" w:type="dxa"/>
            <w:vAlign w:val="bottom"/>
          </w:tcPr>
          <w:p>
            <w:pPr>
              <w:spacing w:after="0"/>
              <w:rPr>
                <w:sz w:val="24"/>
                <w:szCs w:val="24"/>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20,356</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9,604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8,924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6,697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4,296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(747)</w:t>
            </w:r>
          </w:p>
        </w:tc>
      </w:tr>
      <w:tr>
        <w:trPr>
          <w:trHeight w:val="230"/>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5,741</w:t>
            </w: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6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114,362</w:t>
            </w:r>
          </w:p>
        </w:tc>
        <w:tc>
          <w:tcPr>
            <w:tcW w:w="180" w:type="dxa"/>
            <w:vAlign w:val="bottom"/>
          </w:tcPr>
          <w:p>
            <w:pPr>
              <w:spacing w:after="0"/>
              <w:rPr>
                <w:sz w:val="19"/>
                <w:szCs w:val="19"/>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82,118</w:t>
            </w:r>
          </w:p>
        </w:tc>
        <w:tc>
          <w:tcPr>
            <w:tcW w:w="20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32,244</w:t>
            </w:r>
          </w:p>
        </w:tc>
        <w:tc>
          <w:tcPr>
            <w:tcW w:w="6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18,608</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14,720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3,888</w:t>
            </w: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11,831</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8,496</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3,335</w:t>
            </w:r>
          </w:p>
        </w:tc>
        <w:tc>
          <w:tcPr>
            <w:tcW w:w="60" w:type="dxa"/>
            <w:vAlign w:val="bottom"/>
          </w:tcPr>
          <w:p>
            <w:pPr>
              <w:spacing w:after="0"/>
              <w:rPr>
                <w:sz w:val="24"/>
                <w:szCs w:val="24"/>
                <w:color w:val="auto"/>
              </w:rPr>
            </w:pPr>
          </w:p>
        </w:tc>
      </w:tr>
      <w:tr>
        <w:trPr>
          <w:trHeight w:val="432"/>
        </w:trPr>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4"/>
                <w:szCs w:val="2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4"/>
                <w:szCs w:val="24"/>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1,503,717</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1,175,974</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327,743</w:t>
            </w:r>
          </w:p>
        </w:tc>
        <w:tc>
          <w:tcPr>
            <w:tcW w:w="60" w:type="dxa"/>
            <w:vAlign w:val="bottom"/>
          </w:tcPr>
          <w:p>
            <w:pPr>
              <w:spacing w:after="0"/>
              <w:rPr>
                <w:sz w:val="24"/>
                <w:szCs w:val="24"/>
                <w:color w:val="auto"/>
              </w:rPr>
            </w:pPr>
          </w:p>
        </w:tc>
      </w:tr>
      <w:tr>
        <w:trPr>
          <w:trHeight w:val="432"/>
        </w:trPr>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0.783</w:t>
            </w:r>
          </w:p>
        </w:tc>
        <w:tc>
          <w:tcPr>
            <w:tcW w:w="180" w:type="dxa"/>
            <w:vAlign w:val="bottom"/>
          </w:tcPr>
          <w:p>
            <w:pPr>
              <w:spacing w:after="0"/>
              <w:rPr>
                <w:sz w:val="24"/>
                <w:szCs w:val="2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0.750</w:t>
            </w:r>
          </w:p>
        </w:tc>
        <w:tc>
          <w:tcPr>
            <w:tcW w:w="200" w:type="dxa"/>
            <w:vAlign w:val="bottom"/>
          </w:tcPr>
          <w:p>
            <w:pPr>
              <w:spacing w:after="0"/>
              <w:rPr>
                <w:sz w:val="24"/>
                <w:szCs w:val="24"/>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0.033</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-2503805</wp:posOffset>
            </wp:positionH>
            <wp:positionV relativeFrom="paragraph">
              <wp:posOffset>-3858260</wp:posOffset>
            </wp:positionV>
            <wp:extent cx="579755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-3583940</wp:posOffset>
            </wp:positionV>
            <wp:extent cx="57975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-3309620</wp:posOffset>
            </wp:positionV>
            <wp:extent cx="579755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-3026410</wp:posOffset>
            </wp:positionV>
            <wp:extent cx="579755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-2752090</wp:posOffset>
            </wp:positionV>
            <wp:extent cx="579755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-2477770</wp:posOffset>
            </wp:positionV>
            <wp:extent cx="579755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-2203450</wp:posOffset>
            </wp:positionV>
            <wp:extent cx="579755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-1920240</wp:posOffset>
            </wp:positionV>
            <wp:extent cx="579755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-1645920</wp:posOffset>
            </wp:positionV>
            <wp:extent cx="579755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-1371600</wp:posOffset>
            </wp:positionV>
            <wp:extent cx="579755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-1097280</wp:posOffset>
            </wp:positionV>
            <wp:extent cx="579755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-822325</wp:posOffset>
            </wp:positionV>
            <wp:extent cx="579755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-548005</wp:posOffset>
            </wp:positionV>
            <wp:extent cx="579755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-273685</wp:posOffset>
            </wp:positionV>
            <wp:extent cx="579755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720"/>
            <w:col w:w="6280"/>
          </w:cols>
          <w:pgMar w:left="240" w:top="584" w:right="279" w:bottom="1440" w:gutter="0" w:footer="0" w:header="0"/>
        </w:sectPr>
      </w:pPr>
    </w:p>
    <w:p>
      <w:pPr>
        <w:spacing w:after="0" w:line="29"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revenues related to lodge and open camp rooms for the periods presented.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revenues related to catering and food services, laundry and water and wastewater treatment services for the periods presented.</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Canadian segment reported revenues in the first half of 2018 that were $31.7 million, or 27%, higher than the first half of 2017. The strengthening of the average exchange rates for the Canadian dollar relative to the U.S. dollar by 4% in the first half of 2018 compared to the first half of 2017 resulted in a $6.5 million year-over-year increase in revenues. In addition, excluding the impact of the stronger Canadian exchange rates, the segment experienced a 14% increase in accommodation revenues, primarily due to the Noralta acquisition in the second quarter of 2018. Additionally, increased mobile facility rental revenue was driven by increased pipeline related projects.</w:t>
      </w:r>
    </w:p>
    <w:p>
      <w:pPr>
        <w:spacing w:after="0" w:line="18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Canadian segment cost of sales and services increased $32.2 million, or 39%, in the first half of 2018 compared to the first half of 2017 primarily due to the Noralta acquisition in the second quarter of 2018 and increased mobile facility rental activity and related costs.</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Canadian segment gross margin as a percentage of revenues decreased from 31% in the first half of 2017 to 24% in the first half of 2018 primarily due to lower lodge rates.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7"/>
              </w:rPr>
              <w:t>Segment Results of Operations – Australian Segment</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Six Months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Revenues (1) ($ in thousands)</w:t>
            </w:r>
          </w:p>
        </w:tc>
        <w:tc>
          <w:tcPr>
            <w:tcW w:w="15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55,623</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5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27,302</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Rentable rooms for villages (3)</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for villages (4)</w:t>
            </w:r>
          </w:p>
        </w:tc>
        <w:tc>
          <w:tcPr>
            <w:tcW w:w="15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(5)</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Billed rooms for villages (6)</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717,948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689,601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5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0.771</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0.755</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128905</wp:posOffset>
            </wp:positionV>
            <wp:extent cx="8921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9"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Australian segment reported revenues in the first half of 2018 that were $2.8 million, or 5%, higher than the first half of 2017. The strengthening of the average exchange rates for Australian dollars relative to the U.S. dollar by 2% in the first half of 2018 compared to the first half of 2017 resulted in a $1.2 million year-over-year increase in revenues. Excluding the impact of the stronger Australian exchange rates, the segment experienced a 3% increase in revenues in the first half of 2018 compared to the first half of 2017 due to increased activity at our Bowen Basin and Gunnedah Basin villages, offset by reduced activity at our Western Australia villages and reduced take-or-pay revenues on expired contracts compared to 2017.</w:t>
      </w:r>
    </w:p>
    <w:p>
      <w:pPr>
        <w:spacing w:after="0" w:line="15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Australian segment cost of sales increased $3.4 million, or 12%, in the first half of 2018 compared to the first half of 2017. The increase was driven by higher occupancy levels at our villages in the Bowen Basin and Gunnedah Basin.</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Australian segment gross margin as a percentage of revenues decreased to 48% in the first half of 2018 from 51% in the first half of 2017. This was primarily driven by reduced take-or-pay revenue on expired contracts compared to 2017.</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rPr>
              <w:t>Six Months Ended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8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23,321</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8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21,021</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U.S. segment reported revenues in the first half of 2018 that were $13.7 million, or 142%, higher than the first half of 2017. The increase was primarily due to greater U.S. drilling activity in the Bakken, Rockies and Texas markets for our lodge and wellsite businesses, the Acadian Acres acquisition in February 2018 and higher revenues from our offshore business.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U.S. cost of sales increased $9.3 million, or 79%, in the first half of 2018 compared to the first half of 2017. The increase was driven by greater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drilling activity in the Bakken, Rockies and Texas markets and greater activity in the offshore business.</w:t>
      </w:r>
    </w:p>
    <w:p>
      <w:pPr>
        <w:spacing w:after="0" w:line="211"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Our U.S. segment gross margin as a percentage of revenues increased from (22%) in the first half of 2017 to 10% in the second half of 2018, primarily due to increased U.S. drilling activity in the Bakken, Rockies and Texas markets, as well as the offshore business and the Acadian Acres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fund strategic business acquisitions and pay dividends. Historically, our primary sources of funds have been available cash, cash flow from operations, borrowings under the Amended Credit Agreement and proceeds from equity issuances. In the future, we may seek to access the debt and equity capital markets from time to time to raise additional capital, increase liquidity, fund acquisitions, refinance debt or retire preferred shares.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consolidated liquidity position as of June 30, 2018 and December 31, 2017:</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June 30, 2018</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2017</w:t>
            </w:r>
          </w:p>
        </w:tc>
        <w:tc>
          <w:tcPr>
            <w:tcW w:w="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Lender commitments </w:t>
            </w:r>
            <w:r>
              <w:rPr>
                <w:rFonts w:ascii="Arial" w:cs="Arial" w:eastAsia="Arial" w:hAnsi="Arial"/>
                <w:sz w:val="29"/>
                <w:szCs w:val="29"/>
                <w:color w:val="auto"/>
                <w:vertAlign w:val="superscript"/>
              </w:rPr>
              <w:t>(1)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239,500</w:t>
            </w:r>
          </w:p>
        </w:tc>
        <w:tc>
          <w:tcPr>
            <w:tcW w:w="18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8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458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Reductions in availability </w:t>
            </w:r>
            <w:r>
              <w:rPr>
                <w:rFonts w:ascii="Arial" w:cs="Arial" w:eastAsia="Arial" w:hAnsi="Arial"/>
                <w:sz w:val="29"/>
                <w:szCs w:val="29"/>
                <w:color w:val="auto"/>
                <w:vertAlign w:val="superscript"/>
              </w:rPr>
              <w:t>(2)</w:t>
            </w: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(165,845)</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against revolving credit capacity</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(157,645)</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Outstanding letters of credit</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(3,653)</w:t>
            </w:r>
          </w:p>
        </w:tc>
        <w:tc>
          <w:tcPr>
            <w:tcW w:w="4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(1,773)</w:t>
            </w: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Unused availability</w:t>
            </w:r>
          </w:p>
        </w:tc>
        <w:tc>
          <w:tcPr>
            <w:tcW w:w="1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78,202</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107,382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32,647</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 liquidity</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82,988</w:t>
            </w:r>
          </w:p>
        </w:tc>
        <w:tc>
          <w:tcPr>
            <w:tcW w:w="180" w:type="dxa"/>
            <w:vAlign w:val="bottom"/>
            <w:tcBorders>
              <w:right w:val="single" w:sz="8" w:color="CCEEFF"/>
            </w:tcBorders>
            <w:shd w:val="clear" w:color="auto" w:fill="CCEEFF"/>
          </w:tcPr>
          <w:p>
            <w:pPr>
              <w:spacing w:after="0"/>
              <w:rPr>
                <w:sz w:val="19"/>
                <w:szCs w:val="19"/>
                <w:color w:val="auto"/>
              </w:rPr>
            </w:pPr>
          </w:p>
        </w:tc>
        <w:tc>
          <w:tcPr>
            <w:tcW w:w="480" w:type="dxa"/>
            <w:vAlign w:val="bottom"/>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140,029</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128905</wp:posOffset>
            </wp:positionV>
            <wp:extent cx="8578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9" w:lineRule="exact"/>
        <w:rPr>
          <w:sz w:val="20"/>
          <w:szCs w:val="20"/>
          <w:color w:val="auto"/>
        </w:rPr>
      </w:pPr>
    </w:p>
    <w:p>
      <w:pPr>
        <w:ind w:left="660" w:right="8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also have a A$2.0 million bank guarantee facility. We had bank guarantees of A$0.7 million and A$0.8 million under this facility outstanding as of June 30, 2018 and December 31, 2017, respectively.</w:t>
      </w:r>
    </w:p>
    <w:p>
      <w:pPr>
        <w:spacing w:after="0" w:line="1" w:lineRule="exact"/>
        <w:rPr>
          <w:rFonts w:ascii="Arial" w:cs="Arial" w:eastAsia="Arial" w:hAnsi="Arial"/>
          <w:sz w:val="18"/>
          <w:szCs w:val="18"/>
          <w:color w:val="auto"/>
        </w:rPr>
      </w:pPr>
    </w:p>
    <w:p>
      <w:pPr>
        <w:jc w:val="both"/>
        <w:ind w:left="660" w:right="20" w:hanging="328"/>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June 30, 2018, there were no reductions in our availability under the Amended Credit Agreement. As of December 31, 2017, $165.8 million of our borrowing capacity under the Credit Agreement could not be utilized in order to maintain compliance with the maximum leverage ratio financial covenant in the Credit Agreement.</w:t>
      </w:r>
    </w:p>
    <w:p>
      <w:pPr>
        <w:spacing w:after="0" w:line="190"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Cash totaling $14.0 million was provided by operations during the first half of 2018, compared to $14.4 million provided by operations during the first half of 2017. During the first half of 2018 and 2017, ($7.4) million and ($13.5) million, respectively, was used for working capital. The decrease in working capital outflows from 2017 to 2018 is largely related to timing of payments.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8" w:name="page39"/>
    <w:bookmarkEnd w:id="38"/>
    <w:p>
      <w:pPr>
        <w:ind w:right="80" w:firstLine="324"/>
        <w:spacing w:after="0" w:line="255" w:lineRule="auto"/>
        <w:rPr>
          <w:sz w:val="20"/>
          <w:szCs w:val="20"/>
          <w:color w:val="auto"/>
        </w:rPr>
      </w:pPr>
      <w:r>
        <w:rPr>
          <w:rFonts w:ascii="Arial" w:cs="Arial" w:eastAsia="Arial" w:hAnsi="Arial"/>
          <w:sz w:val="18"/>
          <w:szCs w:val="18"/>
          <w:color w:val="auto"/>
        </w:rPr>
        <w:t>Cash was used in investing activities during the six months ended June 30, 2018 in the amount of $187.6 million, compared to cash used in investing activities during the six months ended June 30, 2017 in the amount of $4.5 million. The increase in cash used in investing activities was primarily due to $161.4 million to fund the Noralta acquisition and $23.8 million to fund the Acadian Acres asset acquisition. Capital expenditures totaled $5.9 million and $6.0 million during the six months ended June 30, 2018 and 2017, respectively. Capital expenditures in the first half of 2018 and 2017 consisted primarily of routine maintenance capital expenditures. In addition, capital expenditures in the first half of 2017 consisted of investments in an enterprise information system.</w:t>
      </w:r>
    </w:p>
    <w:p>
      <w:pPr>
        <w:spacing w:after="0" w:line="19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expect our capital expenditures for 2018, exclusive of any business acquisitions, to be in the range of $20 million to $25 million, which excludes any unannounced and uncommitted projects, the spending for which is contingent on obtaining customer contracts. This range includes capital expenditures related to the assets we acquired in the Noralta acquisition. Whether planned expenditures will actually be spent in 2018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8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Net cash of $147.6 million was provided by financing activities during the six months ended June 30, 2018 primarily due to net borrowings under our revolving credit facilities of $162.1 million to primarily fund the Noralta acquisition, partially offset by repayments of term loan borrowings of $11.1 million and debt issuance costs of $2.7 million. Net cash of $14.8 million was provided by financing activities during the six months ended June 30, 2017 primarily due to net proceeds from our February 2017 equity offering of $64.8 million, offset by net repayments under our revolving credit facilities of $39.9 million, repayments of term loan borrowings of $8.0 million and debt issuance costs of $1.8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debt outstanding during the first half of 2018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Canada</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Australia</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U.S.</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297,623</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Borrowings under revolving credit facilities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196,565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35,558</w:t>
            </w:r>
          </w:p>
        </w:tc>
        <w:tc>
          <w:tcPr>
            <w:tcW w:w="9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232,123</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borrowings under revolving credit facilities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(61,058)</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(9,009)</w:t>
            </w:r>
          </w:p>
        </w:tc>
        <w:tc>
          <w:tcPr>
            <w:tcW w:w="9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(70,067)</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Repayments of term loans</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(11,068)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(11,068)</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(16,982)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(1,420)</w:t>
            </w:r>
          </w:p>
        </w:tc>
        <w:tc>
          <w:tcPr>
            <w:tcW w:w="9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(18,402)</w:t>
            </w:r>
          </w:p>
        </w:tc>
      </w:tr>
      <w:tr>
        <w:trPr>
          <w:trHeight w:val="20"/>
        </w:trPr>
        <w:tc>
          <w:tcPr>
            <w:tcW w:w="5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405,080</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25,129</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430,209</w:t>
            </w:r>
          </w:p>
        </w:tc>
      </w:tr>
      <w:tr>
        <w:trPr>
          <w:trHeight w:val="20"/>
        </w:trPr>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funded the cash portion of the consideration for the Noralta acquisition with cash on hand and borrowings under the Amended Credit Agreement. Our Amended Credit Agreement allows us to include in our leverage ratio calculation the trailing twelve months of an acquired company’s EBITDA on a pro forma combined basis. By including Noralta’s EBITDA in our leverage ratio calculation, our borrowing capacity under the Amended Credit Agreement increased, thereby allowing us to borrow the necessary funds to pay the cash consideration portion of the acquisition.</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believe that cash on hand and cash flow from operations will be sufficient to meet our anticipated liquidity needs in the coming 12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the underlying investment decision is delayed, the resulting impact could result in an impairment of the related investment.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Amended Credit Agreement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2, 2018, the Amended Credit Agreement became effective, which:</w:t>
      </w:r>
    </w:p>
    <w:p>
      <w:pPr>
        <w:spacing w:after="0" w:line="225" w:lineRule="exact"/>
        <w:rPr>
          <w:sz w:val="20"/>
          <w:szCs w:val="20"/>
          <w:color w:val="auto"/>
        </w:rPr>
      </w:pPr>
    </w:p>
    <w:p>
      <w:pPr>
        <w:ind w:left="660" w:right="80" w:hanging="328"/>
        <w:spacing w:after="0" w:line="286"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provided for the reduction by $35.5 million of the aggregate revolving loan commitments under the Amended Credit Agreement, to a maximum principal amount of $239.5 million, allocated as follows: (1) a $20.0 million senior secured revolving credit facility in favor of certain of our U.S. subsidiaries, as borrowers; (2) a $159.5 million senior secured revolving credit facility, after combining the commitments of the previously existing two tranches of the Canadian revolving credit facility into one tranche, in favor of Civeo and certain of our Canadian subsidiaries, as borrowers; and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(3) a $60.0 million senior secured revolving credit facility in favor of one of our Australian subsidiaries, as borrower;</w:t>
      </w:r>
    </w:p>
    <w:p>
      <w:pPr>
        <w:spacing w:after="0" w:line="210"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extended the maturity date by 18 months, from May 30, 2019 to November 30,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w w:val="89"/>
              </w:rPr>
              <w:t>Period Ended</w:t>
            </w:r>
          </w:p>
        </w:tc>
        <w:tc>
          <w:tcPr>
            <w:tcW w:w="2460" w:type="dxa"/>
            <w:vAlign w:val="bottom"/>
          </w:tcPr>
          <w:p>
            <w:pPr>
              <w:spacing w:after="0"/>
              <w:rPr>
                <w:sz w:val="17"/>
                <w:szCs w:val="17"/>
                <w:color w:val="auto"/>
              </w:rPr>
            </w:pPr>
          </w:p>
        </w:tc>
        <w:tc>
          <w:tcPr>
            <w:tcW w:w="26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3"/>
              </w:rPr>
              <w:t>Maximum Leverage Ratio</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84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460" w:type="dxa"/>
            <w:vAlign w:val="bottom"/>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2018</w:t>
            </w:r>
          </w:p>
        </w:tc>
        <w:tc>
          <w:tcPr>
            <w:tcW w:w="4480" w:type="dxa"/>
            <w:vAlign w:val="bottom"/>
            <w:gridSpan w:val="2"/>
            <w:shd w:val="clear" w:color="auto" w:fill="CCEEFF"/>
          </w:tcPr>
          <w:p>
            <w:pPr>
              <w:jc w:val="center"/>
              <w:ind w:left="2350"/>
              <w:spacing w:after="0"/>
              <w:rPr>
                <w:sz w:val="20"/>
                <w:szCs w:val="20"/>
                <w:color w:val="auto"/>
              </w:rPr>
            </w:pPr>
            <w:r>
              <w:rPr>
                <w:rFonts w:ascii="Arial" w:cs="Arial" w:eastAsia="Arial" w:hAnsi="Arial"/>
                <w:sz w:val="18"/>
                <w:szCs w:val="18"/>
                <w:color w:val="auto"/>
                <w:w w:val="89"/>
              </w:rPr>
              <w:t>4.50 : 1.00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4480" w:type="dxa"/>
            <w:vAlign w:val="bottom"/>
            <w:gridSpan w:val="2"/>
          </w:tcPr>
          <w:p>
            <w:pPr>
              <w:jc w:val="center"/>
              <w:ind w:left="2350"/>
              <w:spacing w:after="0"/>
              <w:rPr>
                <w:sz w:val="20"/>
                <w:szCs w:val="20"/>
                <w:color w:val="auto"/>
              </w:rPr>
            </w:pPr>
            <w:r>
              <w:rPr>
                <w:rFonts w:ascii="Arial" w:cs="Arial" w:eastAsia="Arial" w:hAnsi="Arial"/>
                <w:sz w:val="18"/>
                <w:szCs w:val="18"/>
                <w:color w:val="auto"/>
                <w:w w:val="89"/>
              </w:rPr>
              <w:t>4.25 : 1.00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4480" w:type="dxa"/>
            <w:vAlign w:val="bottom"/>
            <w:gridSpan w:val="2"/>
            <w:shd w:val="clear" w:color="auto" w:fill="CCEEFF"/>
          </w:tcPr>
          <w:p>
            <w:pPr>
              <w:jc w:val="center"/>
              <w:ind w:left="2350"/>
              <w:spacing w:after="0"/>
              <w:rPr>
                <w:sz w:val="20"/>
                <w:szCs w:val="20"/>
                <w:color w:val="auto"/>
              </w:rPr>
            </w:pPr>
            <w:r>
              <w:rPr>
                <w:rFonts w:ascii="Arial" w:cs="Arial" w:eastAsia="Arial" w:hAnsi="Arial"/>
                <w:sz w:val="18"/>
                <w:szCs w:val="18"/>
                <w:color w:val="auto"/>
                <w:w w:val="89"/>
              </w:rPr>
              <w:t>3.75 : 1.00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March 31, 2019 &amp; thereafter</w:t>
            </w:r>
          </w:p>
        </w:tc>
        <w:tc>
          <w:tcPr>
            <w:tcW w:w="4480" w:type="dxa"/>
            <w:vAlign w:val="bottom"/>
            <w:gridSpan w:val="2"/>
          </w:tcPr>
          <w:p>
            <w:pPr>
              <w:jc w:val="center"/>
              <w:ind w:left="2350"/>
              <w:spacing w:after="0"/>
              <w:rPr>
                <w:sz w:val="20"/>
                <w:szCs w:val="20"/>
                <w:color w:val="auto"/>
              </w:rPr>
            </w:pPr>
            <w:r>
              <w:rPr>
                <w:rFonts w:ascii="Arial" w:cs="Arial" w:eastAsia="Arial" w:hAnsi="Arial"/>
                <w:sz w:val="18"/>
                <w:szCs w:val="18"/>
                <w:color w:val="auto"/>
                <w:w w:val="89"/>
              </w:rPr>
              <w:t>3.50 : 1.00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8"/>
          <w:szCs w:val="18"/>
          <w:color w:val="auto"/>
        </w:rPr>
        <w:t>; and</w:t>
      </w:r>
    </w:p>
    <w:p>
      <w:pPr>
        <w:spacing w:after="0" w:line="20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provided for other technical changes and amendments to the Credit Agreement.</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U.S. dollar amounts outstanding under the facilities provided by the Amended Credit Agreement bear interest at a variable rate equal to LIBOR plus a margin of 2.25% to 4.00%, or a base rate plus 1.25% to 3.00%, in each case based on a ratio of our total leverage to EBITDA (as defined in the Amended Credit Agreement). Canadian dollar amounts outstanding bear interest at a variable rate equal to the Canadian Dollar Offered Rate plus a margin of 2.25% to 4.00%, or a base rate plus a margin of 1.25% to 3.00%, in each case based on a ratio of our consolidated total leverage to EBITDA. Australian dollar amounts outstanding under the Amended Credit Facility bear interest at a variable rate equal to the Bank Bill Swap Bid Rate plus a margin of 2.25% to 4.00%, based on a ratio of our consolidated total leverage to EBITDA.</w:t>
      </w:r>
    </w:p>
    <w:p>
      <w:pPr>
        <w:spacing w:after="0" w:line="193"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Amended Credit Agreement contains customary affirmative and negative covenants that, among other things, limit or restrict: (i) subsidiary indebtedness, liens and fundamental changes; (ii) asset sales; (iii) acquisitions of margin stock; (iv) specified acquisitions; (v) certain restrictive agreements;</w:t>
      </w:r>
    </w:p>
    <w:p>
      <w:pPr>
        <w:ind w:firstLine="8"/>
        <w:spacing w:after="0" w:line="252" w:lineRule="auto"/>
        <w:tabs>
          <w:tab w:leader="none" w:pos="3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4.50 to 1.0 (as of June 30, 2018). As noted above, the permitted maximum leverage ratio changes over time. Each of the factors considered in the calculations of these ratios are defined in the Amended Credit Agreement. EBITDA and consolidated interest, as defined, exclude goodwill and asset impairments, debt discount amortization and other non-cash charges. We were in compliance with our covenants as of June 30, 2018.</w:t>
      </w:r>
    </w:p>
    <w:p>
      <w:pPr>
        <w:spacing w:after="0" w:line="19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June 30, 2018, we had nine lenders that are parties to the Credit Agreement, with commitments ranging from $24.9 million to $110.6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firstLine="366"/>
        <w:spacing w:after="0" w:line="254" w:lineRule="auto"/>
        <w:rPr>
          <w:sz w:val="20"/>
          <w:szCs w:val="20"/>
          <w:color w:val="auto"/>
        </w:rPr>
      </w:pPr>
      <w:r>
        <w:rPr>
          <w:rFonts w:ascii="Arial" w:cs="Arial" w:eastAsia="Arial" w:hAnsi="Arial"/>
          <w:sz w:val="18"/>
          <w:szCs w:val="18"/>
          <w:color w:val="auto"/>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cash dividends on common or preferred shares is limited by covenants in the Amended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ind w:right="20" w:firstLine="324"/>
        <w:spacing w:after="0" w:line="257" w:lineRule="auto"/>
        <w:rPr>
          <w:sz w:val="20"/>
          <w:szCs w:val="20"/>
          <w:color w:val="auto"/>
        </w:rPr>
      </w:pPr>
      <w:r>
        <w:rPr>
          <w:rFonts w:ascii="Arial" w:cs="Arial" w:eastAsia="Arial" w:hAnsi="Arial"/>
          <w:sz w:val="18"/>
          <w:szCs w:val="18"/>
          <w:color w:val="auto"/>
        </w:rPr>
        <w:t>The preferred shares we issued in the Noralta acquisition are entitled to receive a 2% annual dividend on the liquidation preference (initially US$10,000 per share), subject to increase to up to 3% in certain circumstances, paid quarterly in cash or, at our option, by increasing the preferred shares’ liquidation preference, or any combination thereof. On June 30, 2018, a dividend was paid in-kind, thereby increasing the liquidation preference to $10,049 per share. We currently expect to pay dividends on the preferred shares for the foreseeable future through an increase in liquidation preference rather than cash. For further information, please see Note 12 – Preferred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2018,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For additional information about our contractual obligations, refer to “Liquidity and Capital Resources—Contractual Obligations” in our Annual Report on Form 10-K for the year ended December 31, 2017. As of June 30, 2018, except for net borrowings under our revolving credit facilities, there were no material changes to this disclosures regarding our contractual obligations made in our Annual Report on Form 10-K for the year ended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2017.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June 30, 2018, we had $430.2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$4.3 million annually, based on our floating-rate debt obligations and interest rates in effect as of June 30, 2018.</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C$0.3 billion and A$0.4 billion, respectively, at June 30, 2018. We use a sensitivity analysis model to measure the impact of a 10% adverse movement of foreign currency exchange rates against the United States dollar. A hypothetical 10% adverse change in the value of the Canadian dollar and Australian dollar relative to the U.S. dollar as of June 30, 2018 would result in translation adjustments of approximately $34 million and $37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June 30, 2018,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During the three months ended June 30, 2018,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42" w:name="page43"/>
    <w:bookmarkEnd w:id="42"/>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80" w:firstLine="189"/>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In connection with the Noralta acquisition, on January 26, 2018, a putative class action captioned </w:t>
      </w:r>
      <w:r>
        <w:rPr>
          <w:rFonts w:ascii="Arial" w:cs="Arial" w:eastAsia="Arial" w:hAnsi="Arial"/>
          <w:sz w:val="16"/>
          <w:szCs w:val="16"/>
          <w:i w:val="1"/>
          <w:iCs w:val="1"/>
          <w:color w:val="auto"/>
        </w:rPr>
        <w:t>Philip Suhr v. Civeo Corporation, et al.</w:t>
      </w:r>
      <w:r>
        <w:rPr>
          <w:rFonts w:ascii="Arial" w:cs="Arial" w:eastAsia="Arial" w:hAnsi="Arial"/>
          <w:sz w:val="16"/>
          <w:szCs w:val="16"/>
          <w:color w:val="auto"/>
        </w:rPr>
        <w:t xml:space="preserve"> was filed in the U.S. District Court for the Southern District of Texas against Civeo and members of its board of directors. The complaint alleged that Civeo filed a materially incomplete and misleading proxy statement in connection with the Noralta acquisition, in violation of Sections 14(a) and 20(a) of the Securities Exchange Act of 1934 and Rule 14a-9 of the Securities and Exchange Commission. The complaint originally sought injunctive relief, including to enjoin the shareholder vote on the Noralta acquisition as well as the acquisition itself, damages and an award of attorneys' fees, in addition to other relief. On February 5, 2018, the plaintiff filed a motion for a preliminary injunction (the “Preliminary Injunction Motion”) to prevent the shareholder meeting on March 28, 2018 from taking place. On March 22, 2018, the plaintiff withdrew the Preliminary Injunction Motion on the grounds that additional disclosures contained in Civeo’s March 22, 2018 Current Report on Form 8-K, which Civeo believes were immaterial, mooted the claims raised in the plaintiff’s complaint and asserted as the basis for the Preliminary Injunction Motion. In April 2018, Civeo paid a mootness fee in a nominal amount, and the case was dismissed.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For additional information about our risk factors, please read the section entitled “Risk Factors” included in our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purchases of our common shares during the three months ended June 30, 2018.</w:t>
      </w:r>
    </w:p>
    <w:p>
      <w:pPr>
        <w:spacing w:after="0" w:line="216" w:lineRule="exact"/>
        <w:rPr>
          <w:sz w:val="20"/>
          <w:szCs w:val="20"/>
          <w:color w:val="auto"/>
        </w:rPr>
      </w:pPr>
    </w:p>
    <w:tbl>
      <w:tblPr>
        <w:tblLayout w:type="fixed"/>
        <w:tblInd w:w="330" w:type="dxa"/>
        <w:tblCellMar>
          <w:top w:w="0" w:type="dxa"/>
          <w:left w:w="0" w:type="dxa"/>
          <w:bottom w:w="0" w:type="dxa"/>
          <w:right w:w="0" w:type="dxa"/>
        </w:tblCellMar>
      </w:tblPr>
      <w:tr>
        <w:trPr>
          <w:trHeight w:val="242"/>
        </w:trPr>
        <w:tc>
          <w:tcPr>
            <w:tcW w:w="3320" w:type="dxa"/>
            <w:vAlign w:val="bottom"/>
            <w:tcBorders>
              <w:top w:val="single" w:sz="8" w:color="auto"/>
              <w:left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Period</w:t>
            </w: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40" w:type="dxa"/>
            <w:vAlign w:val="bottom"/>
            <w:tcBorders>
              <w:top w:val="single" w:sz="8" w:color="auto"/>
              <w:right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Average Price</w:t>
            </w:r>
          </w:p>
        </w:tc>
        <w:tc>
          <w:tcPr>
            <w:tcW w:w="260" w:type="dxa"/>
            <w:vAlign w:val="bottom"/>
            <w:tcBorders>
              <w:top w:val="single" w:sz="8" w:color="auto"/>
              <w:right w:val="single" w:sz="8" w:color="auto"/>
            </w:tcBorders>
          </w:tcPr>
          <w:p>
            <w:pPr>
              <w:spacing w:after="0"/>
              <w:rPr>
                <w:sz w:val="21"/>
                <w:szCs w:val="21"/>
                <w:color w:val="auto"/>
              </w:rPr>
            </w:pP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3320" w:type="dxa"/>
            <w:vAlign w:val="bottom"/>
            <w:tcBorders>
              <w:left w:val="single" w:sz="8" w:color="auto"/>
              <w:right w:val="single" w:sz="8" w:color="auto"/>
            </w:tcBorders>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Paid per Share</w:t>
            </w:r>
          </w:p>
        </w:tc>
        <w:tc>
          <w:tcPr>
            <w:tcW w:w="2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shares purchased as</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shares that may</w:t>
            </w:r>
          </w:p>
        </w:tc>
      </w:tr>
      <w:tr>
        <w:trPr>
          <w:trHeight w:val="216"/>
        </w:trPr>
        <w:tc>
          <w:tcPr>
            <w:tcW w:w="3320" w:type="dxa"/>
            <w:vAlign w:val="bottom"/>
            <w:tcBorders>
              <w:left w:val="single" w:sz="8" w:color="auto"/>
              <w:right w:val="single" w:sz="8" w:color="auto"/>
            </w:tcBorders>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part of publicly</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yet be purchased</w:t>
            </w:r>
          </w:p>
        </w:tc>
      </w:tr>
      <w:tr>
        <w:trPr>
          <w:trHeight w:val="220"/>
        </w:trPr>
        <w:tc>
          <w:tcPr>
            <w:tcW w:w="3320" w:type="dxa"/>
            <w:vAlign w:val="bottom"/>
            <w:tcBorders>
              <w:left w:val="single" w:sz="8" w:color="auto"/>
              <w:right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announced plans or</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under the plans or</w:t>
            </w:r>
          </w:p>
        </w:tc>
      </w:tr>
      <w:tr>
        <w:trPr>
          <w:trHeight w:val="298"/>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line="298" w:lineRule="exact"/>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30"/>
                <w:szCs w:val="30"/>
                <w:b w:val="1"/>
                <w:bCs w:val="1"/>
                <w:color w:val="auto"/>
                <w:w w:val="85"/>
                <w:vertAlign w:val="superscript"/>
              </w:rPr>
              <w:t>(3)</w:t>
            </w:r>
          </w:p>
        </w:tc>
        <w:tc>
          <w:tcPr>
            <w:tcW w:w="1800" w:type="dxa"/>
            <w:vAlign w:val="bottom"/>
            <w:tcBorders>
              <w:bottom w:val="single" w:sz="8" w:color="auto"/>
              <w:right w:val="single" w:sz="8" w:color="auto"/>
            </w:tcBorders>
          </w:tcPr>
          <w:p>
            <w:pPr>
              <w:jc w:val="center"/>
              <w:spacing w:after="0" w:line="298" w:lineRule="exact"/>
              <w:rPr>
                <w:sz w:val="20"/>
                <w:szCs w:val="20"/>
                <w:color w:val="auto"/>
              </w:rPr>
            </w:pPr>
            <w:r>
              <w:rPr>
                <w:rFonts w:ascii="Arial" w:cs="Arial" w:eastAsia="Arial" w:hAnsi="Arial"/>
                <w:sz w:val="18"/>
                <w:szCs w:val="18"/>
                <w:b w:val="1"/>
                <w:bCs w:val="1"/>
                <w:color w:val="auto"/>
                <w:w w:val="87"/>
              </w:rPr>
              <w:t xml:space="preserve">programs </w:t>
            </w:r>
            <w:r>
              <w:rPr>
                <w:rFonts w:ascii="Arial" w:cs="Arial" w:eastAsia="Arial" w:hAnsi="Arial"/>
                <w:sz w:val="30"/>
                <w:szCs w:val="30"/>
                <w:b w:val="1"/>
                <w:bCs w:val="1"/>
                <w:color w:val="auto"/>
                <w:w w:val="87"/>
                <w:vertAlign w:val="superscript"/>
              </w:rPr>
              <w:t>(3)</w:t>
            </w:r>
          </w:p>
        </w:tc>
      </w:tr>
      <w:tr>
        <w:trPr>
          <w:trHeight w:val="237"/>
        </w:trPr>
        <w:tc>
          <w:tcPr>
            <w:tcW w:w="33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April 1, 2018 – April 30, 2018</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33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May 1, 2018 – May 31, 2018</w:t>
            </w:r>
          </w:p>
        </w:tc>
        <w:tc>
          <w:tcPr>
            <w:tcW w:w="1680" w:type="dxa"/>
            <w:vAlign w:val="bottom"/>
          </w:tcPr>
          <w:p>
            <w:pPr>
              <w:jc w:val="right"/>
              <w:spacing w:after="0"/>
              <w:rPr>
                <w:sz w:val="20"/>
                <w:szCs w:val="20"/>
                <w:color w:val="auto"/>
              </w:rPr>
            </w:pPr>
            <w:r>
              <w:rPr>
                <w:rFonts w:ascii="Arial" w:cs="Arial" w:eastAsia="Arial" w:hAnsi="Arial"/>
                <w:sz w:val="18"/>
                <w:szCs w:val="18"/>
                <w:color w:val="auto"/>
              </w:rPr>
              <w:t>9,334</w:t>
            </w: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w w:val="97"/>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3.75</w:t>
            </w: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w w:val="97"/>
              </w:rPr>
              <w:t>(2)</w:t>
            </w:r>
          </w:p>
        </w:tc>
        <w:tc>
          <w:tcPr>
            <w:tcW w:w="18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33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June 1, 2018 – June 30, 2018</w:t>
            </w:r>
          </w:p>
        </w:tc>
        <w:tc>
          <w:tcPr>
            <w:tcW w:w="168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w w:val="97"/>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3.92</w:t>
            </w: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w w:val="97"/>
              </w:rPr>
              <w:t>(2)</w:t>
            </w:r>
          </w:p>
        </w:tc>
        <w:tc>
          <w:tcPr>
            <w:tcW w:w="18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7"/>
        </w:trPr>
        <w:tc>
          <w:tcPr>
            <w:tcW w:w="33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1680" w:type="dxa"/>
            <w:vAlign w:val="bottom"/>
          </w:tcPr>
          <w:p>
            <w:pPr>
              <w:jc w:val="right"/>
              <w:spacing w:after="0"/>
              <w:rPr>
                <w:sz w:val="20"/>
                <w:szCs w:val="20"/>
                <w:color w:val="auto"/>
              </w:rPr>
            </w:pPr>
            <w:r>
              <w:rPr>
                <w:rFonts w:ascii="Arial" w:cs="Arial" w:eastAsia="Arial" w:hAnsi="Arial"/>
                <w:sz w:val="18"/>
                <w:szCs w:val="18"/>
                <w:color w:val="auto"/>
              </w:rPr>
              <w:t>9,657</w:t>
            </w:r>
          </w:p>
        </w:tc>
        <w:tc>
          <w:tcPr>
            <w:tcW w:w="24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4"/>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660" w:hanging="328"/>
        <w:spacing w:after="0" w:line="281" w:lineRule="auto"/>
        <w:tabs>
          <w:tab w:leader="none" w:pos="6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Consists of shares surrendered to us by participants in our 2014 Equity Participation Plan to settle the participants’ personal tax liabilities that resulted from the lapsing of restrictions on shares awarded to the participants under the plan.</w:t>
      </w:r>
    </w:p>
    <w:p>
      <w:pPr>
        <w:spacing w:after="0" w:line="1" w:lineRule="exact"/>
        <w:rPr>
          <w:rFonts w:ascii="Arial" w:cs="Arial" w:eastAsia="Arial" w:hAnsi="Arial"/>
          <w:sz w:val="15"/>
          <w:szCs w:val="15"/>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price paid per share was based on the closing price of our common shares on May 30, 2018 and June 1, 2018, the dates the restrictions lapsed on such shares.</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did not have at any time during the quarter ended June 30, 2018, and currently do not have, a share repurchase program in place.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INDEX OF EXHIBITS</w:t>
      </w:r>
    </w:p>
    <w:p>
      <w:pPr>
        <w:spacing w:after="0" w:line="221" w:lineRule="exact"/>
        <w:rPr>
          <w:sz w:val="20"/>
          <w:szCs w:val="20"/>
          <w:color w:val="auto"/>
        </w:rPr>
      </w:pPr>
    </w:p>
    <w:p>
      <w:pPr>
        <w:ind w:left="140"/>
        <w:spacing w:after="0"/>
        <w:tabs>
          <w:tab w:leader="none" w:pos="60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10460" w:type="dxa"/>
            <w:vAlign w:val="bottom"/>
            <w:gridSpan w:val="9"/>
          </w:tcPr>
          <w:p>
            <w:pPr>
              <w:ind w:left="2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93">
              <w:r>
                <w:rPr>
                  <w:rFonts w:ascii="Arial" w:cs="Arial" w:eastAsia="Arial" w:hAnsi="Arial"/>
                  <w:sz w:val="18"/>
                  <w:szCs w:val="18"/>
                  <w:color w:val="0000EE"/>
                  <w:w w:val="95"/>
                </w:rPr>
                <w:t>Notice of Articles of Civeo Corporation, as amended (incorporated herein by reference to Exhibit 3.1 to Civeo Corporation’s Current</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Report on Form 8-K (File No. 001-36246) filed on April 2, 2018).</w:t>
              </w:r>
            </w:hyperlink>
          </w:p>
        </w:tc>
        <w:tc>
          <w:tcPr>
            <w:tcW w:w="49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10460" w:type="dxa"/>
            <w:vAlign w:val="bottom"/>
            <w:gridSpan w:val="9"/>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94">
              <w:r>
                <w:rPr>
                  <w:rFonts w:ascii="Arial" w:cs="Arial" w:eastAsia="Arial" w:hAnsi="Arial"/>
                  <w:sz w:val="18"/>
                  <w:szCs w:val="18"/>
                  <w:color w:val="0000EE"/>
                </w:rPr>
                <w:t>Amended and Restated Articles of Civeo Corporation, as amended (incorporated herein by reference to Exhibit 3.2 to Civeo</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r:id="rId94">
              <w:r>
                <w:rPr>
                  <w:rFonts w:ascii="Arial" w:cs="Arial" w:eastAsia="Arial" w:hAnsi="Arial"/>
                  <w:sz w:val="18"/>
                  <w:szCs w:val="18"/>
                  <w:color w:val="0000EE"/>
                  <w:w w:val="93"/>
                </w:rPr>
                <w:t>Corporation’s Current Report on Form 8-K (File No. 001-36246) filed on April 2, 2018).</w:t>
              </w:r>
            </w:hyperlink>
          </w:p>
        </w:tc>
        <w:tc>
          <w:tcPr>
            <w:tcW w:w="33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10460" w:type="dxa"/>
            <w:vAlign w:val="bottom"/>
            <w:gridSpan w:val="9"/>
          </w:tcPr>
          <w:p>
            <w:pPr>
              <w:ind w:left="20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95">
              <w:r>
                <w:rPr>
                  <w:rFonts w:ascii="Arial" w:cs="Arial" w:eastAsia="Arial" w:hAnsi="Arial"/>
                  <w:sz w:val="18"/>
                  <w:szCs w:val="18"/>
                  <w:color w:val="0000EE"/>
                  <w:w w:val="93"/>
                </w:rPr>
                <w:t>Registration Rights, Lock-Up and Standstill Agreement, dated April 2, 2018, by and among Civeo Corporation, Torgerson Family Trust</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95">
              <w:r>
                <w:rPr>
                  <w:rFonts w:ascii="Arial" w:cs="Arial" w:eastAsia="Arial" w:hAnsi="Arial"/>
                  <w:sz w:val="18"/>
                  <w:szCs w:val="18"/>
                  <w:color w:val="0000EE"/>
                  <w:w w:val="93"/>
                </w:rPr>
                <w:t>and 989677 Alberta Ltd. (incorporated by reference to Exhibit 4.1 to Civeo Corporation’s Current Report on Form 8-K (File No. 001-</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95">
              <w:r>
                <w:rPr>
                  <w:rFonts w:ascii="Arial" w:cs="Arial" w:eastAsia="Arial" w:hAnsi="Arial"/>
                  <w:sz w:val="18"/>
                  <w:szCs w:val="18"/>
                  <w:color w:val="0000EE"/>
                  <w:w w:val="93"/>
                </w:rPr>
                <w:t>36246) filed on April 2, 2018).</w:t>
              </w:r>
            </w:hyperlink>
          </w:p>
        </w:tc>
        <w:tc>
          <w:tcPr>
            <w:tcW w:w="7580" w:type="dxa"/>
            <w:vAlign w:val="bottom"/>
            <w:gridSpan w:val="6"/>
          </w:tcPr>
          <w:p>
            <w:pPr>
              <w:spacing w:after="0"/>
              <w:rPr>
                <w:sz w:val="17"/>
                <w:szCs w:val="17"/>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10460" w:type="dxa"/>
            <w:vAlign w:val="bottom"/>
            <w:gridSpan w:val="9"/>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96">
              <w:r>
                <w:rPr>
                  <w:rFonts w:ascii="Arial" w:cs="Arial" w:eastAsia="Arial" w:hAnsi="Arial"/>
                  <w:sz w:val="18"/>
                  <w:szCs w:val="18"/>
                  <w:color w:val="0000EE"/>
                  <w:w w:val="92"/>
                </w:rPr>
                <w:t>Amended and Restated Syndicated Facility Agreement, dated April 2, 2018, among Civeo Corporation and certain of its subsidiaries, as</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r:id="rId96">
              <w:r>
                <w:rPr>
                  <w:rFonts w:ascii="Arial" w:cs="Arial" w:eastAsia="Arial" w:hAnsi="Arial"/>
                  <w:sz w:val="18"/>
                  <w:szCs w:val="18"/>
                  <w:color w:val="0000EE"/>
                  <w:w w:val="94"/>
                </w:rPr>
                <w:t>borrowers, the guarantors party thereto, the lenders named therein, Royal Bank of Canada, as Administrative Agent, and the other</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r:id="rId96">
              <w:r>
                <w:rPr>
                  <w:rFonts w:ascii="Arial" w:cs="Arial" w:eastAsia="Arial" w:hAnsi="Arial"/>
                  <w:sz w:val="18"/>
                  <w:szCs w:val="18"/>
                  <w:color w:val="0000EE"/>
                  <w:w w:val="95"/>
                </w:rPr>
                <w:t>agents party thereto (incorporated by reference to Exhibit 10.1 to Civeo Corporation’s Current Report on Form 8-K (File No. 001-</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6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96">
              <w:r>
                <w:rPr>
                  <w:rFonts w:ascii="Arial" w:cs="Arial" w:eastAsia="Arial" w:hAnsi="Arial"/>
                  <w:sz w:val="18"/>
                  <w:szCs w:val="18"/>
                  <w:color w:val="0000EE"/>
                  <w:w w:val="94"/>
                </w:rPr>
                <w:t>36246) filed on April 2, 2018).</w:t>
              </w:r>
            </w:hyperlink>
          </w:p>
        </w:tc>
        <w:tc>
          <w:tcPr>
            <w:tcW w:w="7540" w:type="dxa"/>
            <w:vAlign w:val="bottom"/>
            <w:gridSpan w:val="5"/>
          </w:tcPr>
          <w:p>
            <w:pPr>
              <w:spacing w:after="0"/>
              <w:rPr>
                <w:sz w:val="17"/>
                <w:szCs w:val="17"/>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10460" w:type="dxa"/>
            <w:vAlign w:val="bottom"/>
            <w:gridSpan w:val="9"/>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6">
              <w:r>
                <w:rPr>
                  <w:rFonts w:ascii="Arial" w:cs="Arial" w:eastAsia="Arial" w:hAnsi="Arial"/>
                  <w:sz w:val="18"/>
                  <w:szCs w:val="18"/>
                  <w:color w:val="0000EE"/>
                </w:rPr>
                <w:t>Amendment No. 2 to Civeo Corporation 2014 Equity Participation Plan.</w:t>
              </w:r>
            </w:hyperlink>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300" w:type="dxa"/>
            <w:vAlign w:val="bottom"/>
            <w:gridSpan w:val="4"/>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gridSpan w:val="9"/>
          </w:tcPr>
          <w:p>
            <w:pPr>
              <w:ind w:left="20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47">
              <w:r>
                <w:rPr>
                  <w:rFonts w:ascii="Arial" w:cs="Arial" w:eastAsia="Arial" w:hAnsi="Arial"/>
                  <w:sz w:val="18"/>
                  <w:szCs w:val="18"/>
                  <w:color w:val="0000EE"/>
                  <w:w w:val="93"/>
                </w:rPr>
                <w:t>Certification of Chief Executive Officer of Civeo Corporation pursuant to Rules 13a-14(a) or 15d-14(a) under the Securities Exchange</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Act of 1934.</w:t>
              </w:r>
            </w:hyperlink>
          </w:p>
        </w:tc>
        <w:tc>
          <w:tcPr>
            <w:tcW w:w="8900" w:type="dxa"/>
            <w:vAlign w:val="bottom"/>
            <w:tcBorders>
              <w:top w:val="single" w:sz="8" w:color="0000EE"/>
            </w:tcBorders>
            <w:gridSpan w:val="7"/>
          </w:tcPr>
          <w:p>
            <w:pPr>
              <w:spacing w:after="0"/>
              <w:rPr>
                <w:sz w:val="17"/>
                <w:szCs w:val="17"/>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gridSpan w:val="9"/>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48">
              <w:r>
                <w:rPr>
                  <w:rFonts w:ascii="Arial" w:cs="Arial" w:eastAsia="Arial" w:hAnsi="Arial"/>
                  <w:sz w:val="18"/>
                  <w:szCs w:val="18"/>
                  <w:color w:val="0000EE"/>
                  <w:w w:val="94"/>
                </w:rPr>
                <w:t>Certification of Chief Financial Officer of Civeo Corporation pursuant to Rules 13a-14(a) or 15d-14(a) under the Securities Exchange</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Act of 1934.</w:t>
              </w:r>
            </w:hyperlink>
          </w:p>
        </w:tc>
        <w:tc>
          <w:tcPr>
            <w:tcW w:w="8900" w:type="dxa"/>
            <w:vAlign w:val="bottom"/>
            <w:tcBorders>
              <w:top w:val="single" w:sz="8" w:color="0000EE"/>
            </w:tcBorders>
            <w:gridSpan w:val="7"/>
          </w:tcPr>
          <w:p>
            <w:pPr>
              <w:spacing w:after="0"/>
              <w:rPr>
                <w:sz w:val="17"/>
                <w:szCs w:val="17"/>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gridSpan w:val="9"/>
          </w:tcPr>
          <w:p>
            <w:pPr>
              <w:ind w:left="20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49">
              <w:r>
                <w:rPr>
                  <w:rFonts w:ascii="Arial" w:cs="Arial" w:eastAsia="Arial" w:hAnsi="Arial"/>
                  <w:sz w:val="18"/>
                  <w:szCs w:val="18"/>
                  <w:color w:val="0000EE"/>
                  <w:w w:val="93"/>
                </w:rPr>
                <w:t>Certification of Chief Executive Officer of Civeo Corporation pursuant to Rules 13a-14(b) or 15d-14(b) under the Securities Exchange</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Act of 1934.</w:t>
              </w:r>
            </w:hyperlink>
          </w:p>
        </w:tc>
        <w:tc>
          <w:tcPr>
            <w:tcW w:w="8900" w:type="dxa"/>
            <w:vAlign w:val="bottom"/>
            <w:tcBorders>
              <w:top w:val="single" w:sz="8" w:color="0000EE"/>
            </w:tcBorders>
            <w:gridSpan w:val="7"/>
          </w:tcPr>
          <w:p>
            <w:pPr>
              <w:spacing w:after="0"/>
              <w:rPr>
                <w:sz w:val="17"/>
                <w:szCs w:val="17"/>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10460" w:type="dxa"/>
            <w:vAlign w:val="bottom"/>
            <w:gridSpan w:val="9"/>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50">
              <w:r>
                <w:rPr>
                  <w:rFonts w:ascii="Arial" w:cs="Arial" w:eastAsia="Arial" w:hAnsi="Arial"/>
                  <w:sz w:val="18"/>
                  <w:szCs w:val="18"/>
                  <w:color w:val="0000EE"/>
                  <w:w w:val="94"/>
                </w:rPr>
                <w:t>Certification of Chief Financial Officer of Civeo Corporation pursuant to Rules 13a-14(b) or 15d-14(b) under the Securities Exchange</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Act of 1934.</w:t>
              </w:r>
            </w:hyperlink>
          </w:p>
        </w:tc>
        <w:tc>
          <w:tcPr>
            <w:tcW w:w="888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gridSpan w:val="9"/>
          </w:tcPr>
          <w:p>
            <w:pPr>
              <w:ind w:left="200"/>
              <w:spacing w:after="0"/>
              <w:rPr>
                <w:sz w:val="20"/>
                <w:szCs w:val="20"/>
                <w:color w:val="auto"/>
              </w:rPr>
            </w:pPr>
            <w:r>
              <w:rPr>
                <w:rFonts w:ascii="Arial" w:cs="Arial" w:eastAsia="Arial" w:hAnsi="Arial"/>
                <w:sz w:val="18"/>
                <w:szCs w:val="18"/>
                <w:color w:val="auto"/>
              </w:rPr>
              <w:t>—   XBRL Instance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gridSpan w:val="9"/>
          </w:tcPr>
          <w:p>
            <w:pPr>
              <w:ind w:left="20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gridSpan w:val="9"/>
          </w:tcPr>
          <w:p>
            <w:pPr>
              <w:ind w:left="20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gridSpan w:val="9"/>
          </w:tcPr>
          <w:p>
            <w:pPr>
              <w:ind w:left="20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gridSpan w:val="9"/>
          </w:tcPr>
          <w:p>
            <w:pPr>
              <w:ind w:left="200"/>
              <w:spacing w:after="0"/>
              <w:rPr>
                <w:sz w:val="20"/>
                <w:szCs w:val="20"/>
                <w:color w:val="auto"/>
              </w:rPr>
            </w:pPr>
            <w:r>
              <w:rPr>
                <w:rFonts w:ascii="Arial" w:cs="Arial" w:eastAsia="Arial" w:hAnsi="Arial"/>
                <w:sz w:val="18"/>
                <w:szCs w:val="18"/>
                <w:color w:val="auto"/>
              </w:rPr>
              <w:t>—   XBRL Taxonomy Extension Label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gridSpan w:val="9"/>
          </w:tcPr>
          <w:p>
            <w:pPr>
              <w:ind w:left="20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ind w:right="6280" w:firstLine="8"/>
        <w:spacing w:after="0" w:line="250" w:lineRule="auto"/>
        <w:tabs>
          <w:tab w:leader="none" w:pos="3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20" w:type="dxa"/>
            <w:vAlign w:val="bottom"/>
            <w:gridSpan w:val="3"/>
          </w:tcPr>
          <w:p>
            <w:pPr>
              <w:ind w:left="80"/>
              <w:spacing w:after="0"/>
              <w:rPr>
                <w:sz w:val="20"/>
                <w:szCs w:val="20"/>
                <w:color w:val="auto"/>
              </w:rPr>
            </w:pPr>
            <w:r>
              <w:rPr>
                <w:rFonts w:ascii="Arial" w:cs="Arial" w:eastAsia="Arial" w:hAnsi="Arial"/>
                <w:sz w:val="18"/>
                <w:szCs w:val="18"/>
                <w:color w:val="auto"/>
              </w:rPr>
              <w:t>CIVEO CORPORATION</w:t>
            </w:r>
          </w:p>
        </w:tc>
        <w:tc>
          <w:tcPr>
            <w:tcW w:w="3120" w:type="dxa"/>
            <w:vAlign w:val="bottom"/>
          </w:tcPr>
          <w:p>
            <w:pPr>
              <w:spacing w:after="0"/>
              <w:rPr>
                <w:sz w:val="20"/>
                <w:szCs w:val="20"/>
                <w:color w:val="auto"/>
              </w:rPr>
            </w:pP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1620" w:type="dxa"/>
            <w:vAlign w:val="bottom"/>
          </w:tcPr>
          <w:p>
            <w:pPr>
              <w:ind w:left="580"/>
              <w:spacing w:after="0"/>
              <w:rPr>
                <w:sz w:val="20"/>
                <w:szCs w:val="20"/>
                <w:color w:val="auto"/>
              </w:rPr>
            </w:pPr>
            <w:r>
              <w:rPr>
                <w:rFonts w:ascii="Arial" w:cs="Arial" w:eastAsia="Arial" w:hAnsi="Arial"/>
                <w:sz w:val="18"/>
                <w:szCs w:val="18"/>
                <w:color w:val="auto"/>
                <w:w w:val="95"/>
              </w:rPr>
              <w:t>July 27, 2018</w:t>
            </w:r>
          </w:p>
        </w:tc>
        <w:tc>
          <w:tcPr>
            <w:tcW w:w="660" w:type="dxa"/>
            <w:vAlign w:val="bottom"/>
          </w:tcPr>
          <w:p>
            <w:pPr>
              <w:spacing w:after="0"/>
              <w:rPr>
                <w:sz w:val="24"/>
                <w:szCs w:val="24"/>
                <w:color w:val="auto"/>
              </w:rPr>
            </w:pPr>
          </w:p>
        </w:tc>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By</w:t>
            </w:r>
          </w:p>
        </w:tc>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/s/ Frank C. Steininger</w:t>
            </w:r>
          </w:p>
        </w:tc>
      </w:tr>
      <w:tr>
        <w:trPr>
          <w:trHeight w:val="237"/>
        </w:trPr>
        <w:tc>
          <w:tcPr>
            <w:tcW w:w="44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12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Frank C. Steininger</w:t>
            </w:r>
          </w:p>
        </w:tc>
      </w:tr>
    </w:tbl>
    <w:p>
      <w:pPr>
        <w:jc w:val="center"/>
        <w:ind w:left="4520"/>
        <w:spacing w:after="0"/>
        <w:rPr>
          <w:sz w:val="20"/>
          <w:szCs w:val="20"/>
          <w:color w:val="auto"/>
        </w:rPr>
      </w:pPr>
      <w:r>
        <w:rPr>
          <w:rFonts w:ascii="Arial" w:cs="Arial" w:eastAsia="Arial" w:hAnsi="Arial"/>
          <w:sz w:val="18"/>
          <w:szCs w:val="18"/>
          <w:b w:val="1"/>
          <w:bCs w:val="1"/>
          <w:color w:val="auto"/>
        </w:rPr>
        <w:t>Executive Vice President, Chief Financial Officer and</w:t>
      </w:r>
    </w:p>
    <w:p>
      <w:pPr>
        <w:spacing w:after="0" w:line="9" w:lineRule="exact"/>
        <w:rPr>
          <w:sz w:val="20"/>
          <w:szCs w:val="20"/>
          <w:color w:val="auto"/>
        </w:rPr>
      </w:pPr>
    </w:p>
    <w:p>
      <w:pPr>
        <w:jc w:val="center"/>
        <w:ind w:left="4520"/>
        <w:spacing w:after="0"/>
        <w:rPr>
          <w:sz w:val="20"/>
          <w:szCs w:val="20"/>
          <w:color w:val="auto"/>
        </w:rPr>
      </w:pPr>
      <w:r>
        <w:rPr>
          <w:rFonts w:ascii="Arial" w:cs="Arial" w:eastAsia="Arial" w:hAnsi="Arial"/>
          <w:sz w:val="18"/>
          <w:szCs w:val="18"/>
          <w:b w:val="1"/>
          <w:bCs w:val="1"/>
          <w:color w:val="auto"/>
        </w:rPr>
        <w:t>Treasurer (Duly Authorized Officer and Principal</w:t>
      </w:r>
    </w:p>
    <w:p>
      <w:pPr>
        <w:spacing w:after="0" w:line="9" w:lineRule="exact"/>
        <w:rPr>
          <w:sz w:val="20"/>
          <w:szCs w:val="20"/>
          <w:color w:val="auto"/>
        </w:rPr>
      </w:pPr>
    </w:p>
    <w:p>
      <w:pPr>
        <w:jc w:val="center"/>
        <w:ind w:left="4520"/>
        <w:spacing w:after="0"/>
        <w:rPr>
          <w:sz w:val="20"/>
          <w:szCs w:val="20"/>
          <w:color w:val="auto"/>
        </w:rPr>
      </w:pPr>
      <w:r>
        <w:rPr>
          <w:rFonts w:ascii="Arial" w:cs="Arial" w:eastAsia="Arial" w:hAnsi="Arial"/>
          <w:sz w:val="18"/>
          <w:szCs w:val="18"/>
          <w:b w:val="1"/>
          <w:bCs w:val="1"/>
          <w:color w:val="auto"/>
        </w:rPr>
        <w:t>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THE</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2014 EQUITY PARTICIPATION PLAN</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as of May 12, 2016)</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Civeo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maintains the 2014 Equity Participation Plan of Civeo Corporation,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most recently amended and restated as of May 12, 2016 (the “</w:t>
      </w:r>
      <w:r>
        <w:rPr>
          <w:rFonts w:ascii="Arial" w:cs="Arial" w:eastAsia="Arial" w:hAnsi="Arial"/>
          <w:sz w:val="18"/>
          <w:szCs w:val="18"/>
          <w:b w:val="1"/>
          <w:bCs w:val="1"/>
          <w:color w:val="auto"/>
        </w:rPr>
        <w:t>Plan</w:t>
      </w:r>
      <w:r>
        <w:rPr>
          <w:rFonts w:ascii="Arial" w:cs="Arial" w:eastAsia="Arial" w:hAnsi="Arial"/>
          <w:sz w:val="18"/>
          <w:szCs w:val="18"/>
          <w:color w:val="auto"/>
        </w:rPr>
        <w:t>”);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determined that, subject to and effective upon shareholder approval of the same, the Plan should be amended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the aggregate number of common shares of the Company, no par value, which may be issued pursuant to awards granted thereunder by 4,700,000 shares.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subject to and effective upon shareholder approval of the same, the Plan is hereby amended as follows:</w:t>
      </w:r>
    </w:p>
    <w:p>
      <w:pPr>
        <w:spacing w:after="0" w:line="229" w:lineRule="exact"/>
        <w:rPr>
          <w:sz w:val="20"/>
          <w:szCs w:val="20"/>
          <w:color w:val="auto"/>
        </w:rPr>
      </w:pPr>
    </w:p>
    <w:p>
      <w:pPr>
        <w:ind w:left="1020" w:hanging="36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Section 2.1(a) of the Plan is deleted in its entirety and replaced with the following:</w:t>
      </w:r>
    </w:p>
    <w:p>
      <w:pPr>
        <w:spacing w:after="0" w:line="225" w:lineRule="exact"/>
        <w:rPr>
          <w:sz w:val="20"/>
          <w:szCs w:val="20"/>
          <w:color w:val="auto"/>
        </w:rPr>
      </w:pPr>
    </w:p>
    <w:p>
      <w:pPr>
        <w:jc w:val="both"/>
        <w:ind w:left="660" w:right="660"/>
        <w:spacing w:after="0" w:line="257" w:lineRule="auto"/>
        <w:rPr>
          <w:sz w:val="20"/>
          <w:szCs w:val="20"/>
          <w:color w:val="auto"/>
        </w:rPr>
      </w:pPr>
      <w:r>
        <w:rPr>
          <w:rFonts w:ascii="Arial" w:cs="Arial" w:eastAsia="Arial" w:hAnsi="Arial"/>
          <w:sz w:val="18"/>
          <w:szCs w:val="18"/>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18,700,000, all of which shall be available for Incentive Options. Common Shares issuable upon exercise of such options or rights or upon any such awards may be either previously authorized but unissued shares or treasury shares.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this Amendment to the Plan is executed as of this 26th day of April, 2018, but to be effective as stated above.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554355</wp:posOffset>
            </wp:positionV>
            <wp:extent cx="37217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51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Allan Schoening</w:t>
            </w:r>
          </w:p>
        </w:tc>
      </w:tr>
      <w:tr>
        <w:trPr>
          <w:trHeight w:val="426"/>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Allan Schoening</w:t>
            </w:r>
          </w:p>
        </w:tc>
      </w:tr>
      <w:tr>
        <w:trPr>
          <w:trHeight w:val="42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Senior Vice President, Corporate Affairs</w:t>
            </w:r>
          </w:p>
        </w:tc>
      </w:tr>
    </w:tbl>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Bradley J. Dodson, certify that:</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2018</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Bradley J. Dodson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Frank C. Steininger, certify that:</w:t>
      </w:r>
    </w:p>
    <w:p>
      <w:pPr>
        <w:spacing w:after="0" w:line="225"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2018</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June 30, 2018,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387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Date:</w:t>
        <w:tab/>
        <w:t>July 27, 2018</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June 30, 2018, as filed with the Securities and Exchange Commission on the date hereof (the “Report”), I, Frank C. Steininger, Executive Vice President, Chief Financial Officer and Treasurer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387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6280"/>
        <w:spacing w:after="0"/>
        <w:tabs>
          <w:tab w:leader="none" w:pos="6880" w:val="left"/>
        </w:tabs>
        <w:rPr>
          <w:sz w:val="20"/>
          <w:szCs w:val="20"/>
          <w:color w:val="auto"/>
        </w:rPr>
      </w:pPr>
      <w:r>
        <w:rPr>
          <w:rFonts w:ascii="Arial" w:cs="Arial" w:eastAsia="Arial" w:hAnsi="Arial"/>
          <w:sz w:val="18"/>
          <w:szCs w:val="18"/>
          <w:color w:val="auto"/>
        </w:rPr>
        <w:t>Date:</w:t>
        <w:tab/>
        <w:t>July 27,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upperLetter"/>
      <w:start w:val="24"/>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5"/>
    </w:lvl>
  </w:abstractNum>
  <w:abstractNum w:abstractNumId="7">
    <w:nsid w:val="721DA317"/>
    <w:multiLevelType w:val="hybridMultilevel"/>
    <w:lvl w:ilvl="0">
      <w:lvlJc w:val="left"/>
      <w:lvlText w:val="%1."/>
      <w:numFmt w:val="decimal"/>
      <w:start w:val="6"/>
    </w:lvl>
  </w:abstractNum>
  <w:abstractNum w:abstractNumId="8">
    <w:nsid w:val="2443A858"/>
    <w:multiLevelType w:val="hybridMultilevel"/>
    <w:lvl w:ilvl="0">
      <w:lvlJc w:val="left"/>
      <w:lvlText w:val="%1."/>
      <w:numFmt w:val="decimal"/>
      <w:start w:val="7"/>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8"/>
    </w:lvl>
  </w:abstractNum>
  <w:abstractNum w:abstractNumId="11">
    <w:nsid w:val="75A2A8D4"/>
    <w:multiLevelType w:val="hybridMultilevel"/>
    <w:lvl w:ilvl="0">
      <w:lvlJc w:val="left"/>
      <w:lvlText w:val="%1."/>
      <w:numFmt w:val="decimal"/>
      <w:start w:val="9"/>
    </w:lvl>
  </w:abstractNum>
  <w:abstractNum w:abstractNumId="12">
    <w:nsid w:val="8EDBDAB"/>
    <w:multiLevelType w:val="hybridMultilevel"/>
    <w:lvl w:ilvl="0">
      <w:lvlJc w:val="left"/>
      <w:lvlText w:val="%1."/>
      <w:numFmt w:val="decimal"/>
      <w:start w:val="10"/>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1"/>
    </w:lvl>
  </w:abstractNum>
  <w:abstractNum w:abstractNumId="15">
    <w:nsid w:val="B03E0C6"/>
    <w:multiLevelType w:val="hybridMultilevel"/>
    <w:lvl w:ilvl="0">
      <w:lvlJc w:val="left"/>
      <w:lvlText w:val="(%1)"/>
      <w:numFmt w:val="upperLetter"/>
      <w:start w:val="2"/>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lowerRoman"/>
      <w:start w:val="6"/>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lowerRoman"/>
      <w:start w:val="6"/>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93" Type="http://schemas.openxmlformats.org/officeDocument/2006/relationships/hyperlink" Target="http://www.sec.gov/Archives/edgar/data/1590584/000143774918006074/ex_109485.htm" TargetMode="External"/><Relationship Id="rId94" Type="http://schemas.openxmlformats.org/officeDocument/2006/relationships/hyperlink" Target="http://www.sec.gov/Archives/edgar/data/1590584/000143774918006074/ex_109480.htm" TargetMode="External"/><Relationship Id="rId95" Type="http://schemas.openxmlformats.org/officeDocument/2006/relationships/hyperlink" Target="http://www.sec.gov/Archives/edgar/data/1590584/000143774918006074/ex_109479.htm" TargetMode="External"/><Relationship Id="rId96" Type="http://schemas.openxmlformats.org/officeDocument/2006/relationships/hyperlink" Target="http://www.sec.gov/Archives/edgar/data/1590584/000143774918006074/ex_1095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2019-12-28T21:12:09Z</dcterms:created>
  <dcterms:modified xsi:type="dcterms:W3CDTF">2019-12-28T21:12:09Z</dcterms:modified>
</cp:coreProperties>
</file>