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February 22, 2018</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98-1253716</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333 Clay Street, Suite 4980, Houston, Texas 77002</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(713) 510-2400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00"/>
          </w:cols>
          <w:pgMar w:left="240" w:top="724" w:right="359" w:bottom="144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8"/>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278"/>
        <w:spacing w:after="0" w:line="264" w:lineRule="auto"/>
        <w:rPr>
          <w:sz w:val="20"/>
          <w:szCs w:val="20"/>
          <w:color w:val="auto"/>
        </w:rPr>
      </w:pPr>
      <w:r>
        <w:rPr>
          <w:rFonts w:ascii="Arial" w:cs="Arial" w:eastAsia="Arial" w:hAnsi="Arial"/>
          <w:sz w:val="18"/>
          <w:szCs w:val="18"/>
          <w:color w:val="auto"/>
        </w:rPr>
        <w:t>On February 22, 2018, Civeo Corporation (“Civeo”) issued a press release announcing its financial condition and results of operations as of and for the quarter and year ended December 31, 2017. A copy of the press release is furnished as Exhibit 99.1 to this report on Form 8-K, and is incorporated herein by reference.</w:t>
      </w:r>
    </w:p>
    <w:p>
      <w:pPr>
        <w:spacing w:after="0" w:line="181" w:lineRule="exact"/>
        <w:rPr>
          <w:sz w:val="20"/>
          <w:szCs w:val="20"/>
          <w:color w:val="auto"/>
        </w:rPr>
      </w:pPr>
    </w:p>
    <w:p>
      <w:pPr>
        <w:jc w:val="both"/>
        <w:ind w:firstLine="231"/>
        <w:spacing w:after="0" w:line="259" w:lineRule="auto"/>
        <w:rPr>
          <w:sz w:val="20"/>
          <w:szCs w:val="20"/>
          <w:color w:val="auto"/>
        </w:rPr>
      </w:pPr>
      <w:r>
        <w:rPr>
          <w:rFonts w:ascii="Arial" w:cs="Arial" w:eastAsia="Arial" w:hAnsi="Arial"/>
          <w:sz w:val="18"/>
          <w:szCs w:val="18"/>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60" w:hanging="527"/>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1840" w:type="dxa"/>
            <w:vAlign w:val="bottom"/>
          </w:tcPr>
          <w:p>
            <w:pPr>
              <w:spacing w:after="0"/>
              <w:rPr>
                <w:sz w:val="18"/>
                <w:szCs w:val="18"/>
                <w:color w:val="auto"/>
              </w:rPr>
            </w:pPr>
          </w:p>
        </w:tc>
        <w:tc>
          <w:tcPr>
            <w:tcW w:w="7980" w:type="dxa"/>
            <w:vAlign w:val="bottom"/>
          </w:tcPr>
          <w:p>
            <w:pPr>
              <w:spacing w:after="0"/>
              <w:rPr>
                <w:sz w:val="18"/>
                <w:szCs w:val="18"/>
                <w:color w:val="auto"/>
              </w:rPr>
            </w:pPr>
          </w:p>
        </w:tc>
      </w:tr>
      <w:tr>
        <w:trPr>
          <w:trHeight w:val="190"/>
        </w:trPr>
        <w:tc>
          <w:tcPr>
            <w:tcW w:w="100" w:type="dxa"/>
            <w:vAlign w:val="bottom"/>
          </w:tcPr>
          <w:p>
            <w:pPr>
              <w:spacing w:after="0"/>
              <w:rPr>
                <w:sz w:val="16"/>
                <w:szCs w:val="16"/>
                <w:color w:val="auto"/>
              </w:rPr>
            </w:pPr>
          </w:p>
        </w:tc>
        <w:tc>
          <w:tcPr>
            <w:tcW w:w="60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0"/>
              </w:rPr>
              <w:t>Number</w:t>
            </w:r>
          </w:p>
        </w:tc>
        <w:tc>
          <w:tcPr>
            <w:tcW w:w="900" w:type="dxa"/>
            <w:vAlign w:val="bottom"/>
          </w:tcPr>
          <w:p>
            <w:pPr>
              <w:spacing w:after="0"/>
              <w:rPr>
                <w:sz w:val="16"/>
                <w:szCs w:val="16"/>
                <w:color w:val="auto"/>
              </w:rPr>
            </w:pPr>
          </w:p>
        </w:tc>
        <w:tc>
          <w:tcPr>
            <w:tcW w:w="18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2"/>
              </w:rPr>
              <w:t>Description of Document</w:t>
            </w:r>
          </w:p>
        </w:tc>
        <w:tc>
          <w:tcPr>
            <w:tcW w:w="7980" w:type="dxa"/>
            <w:vAlign w:val="bottom"/>
          </w:tcPr>
          <w:p>
            <w:pPr>
              <w:spacing w:after="0"/>
              <w:rPr>
                <w:sz w:val="16"/>
                <w:szCs w:val="16"/>
                <w:color w:val="auto"/>
              </w:rPr>
            </w:pPr>
          </w:p>
        </w:tc>
      </w:tr>
      <w:tr>
        <w:trPr>
          <w:trHeight w:val="412"/>
        </w:trPr>
        <w:tc>
          <w:tcPr>
            <w:tcW w:w="700" w:type="dxa"/>
            <w:vAlign w:val="bottom"/>
            <w:gridSpan w:val="3"/>
          </w:tcPr>
          <w:p>
            <w:pPr>
              <w:ind w:left="100"/>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90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8"/>
                <w:szCs w:val="18"/>
                <w:color w:val="auto"/>
              </w:rPr>
              <w:t>Press Release dated February 22, 2018</w:t>
            </w:r>
          </w:p>
        </w:tc>
      </w:tr>
      <w:tr>
        <w:trPr>
          <w:trHeight w:val="247"/>
        </w:trPr>
        <w:tc>
          <w:tcPr>
            <w:tcW w:w="100" w:type="dxa"/>
            <w:vAlign w:val="bottom"/>
            <w:tcBorders>
              <w:bottom w:val="single" w:sz="8" w:color="808080"/>
            </w:tcBorders>
          </w:tcPr>
          <w:p>
            <w:pPr>
              <w:spacing w:after="0"/>
              <w:rPr>
                <w:sz w:val="21"/>
                <w:szCs w:val="21"/>
                <w:color w:val="auto"/>
              </w:rPr>
            </w:pPr>
          </w:p>
        </w:tc>
        <w:tc>
          <w:tcPr>
            <w:tcW w:w="320" w:type="dxa"/>
            <w:vAlign w:val="bottom"/>
            <w:tcBorders>
              <w:top w:val="single" w:sz="8" w:color="0000EE"/>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900" w:type="dxa"/>
            <w:vAlign w:val="bottom"/>
            <w:tcBorders>
              <w:bottom w:val="single" w:sz="8" w:color="808080"/>
            </w:tcBorders>
          </w:tcPr>
          <w:p>
            <w:pPr>
              <w:spacing w:after="0"/>
              <w:rPr>
                <w:sz w:val="21"/>
                <w:szCs w:val="21"/>
                <w:color w:val="auto"/>
              </w:rPr>
            </w:pPr>
          </w:p>
        </w:tc>
        <w:tc>
          <w:tcPr>
            <w:tcW w:w="1840" w:type="dxa"/>
            <w:vAlign w:val="bottom"/>
            <w:tcBorders>
              <w:bottom w:val="single" w:sz="8" w:color="808080"/>
            </w:tcBorders>
          </w:tcPr>
          <w:p>
            <w:pPr>
              <w:spacing w:after="0"/>
              <w:rPr>
                <w:sz w:val="21"/>
                <w:szCs w:val="21"/>
                <w:color w:val="auto"/>
              </w:rPr>
            </w:pPr>
          </w:p>
        </w:tc>
        <w:tc>
          <w:tcPr>
            <w:tcW w:w="79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960" w:type="dxa"/>
            <w:vAlign w:val="bottom"/>
            <w:gridSpan w:val="3"/>
          </w:tcPr>
          <w:p>
            <w:pPr>
              <w:ind w:left="1880"/>
              <w:spacing w:after="0"/>
              <w:rPr>
                <w:sz w:val="20"/>
                <w:szCs w:val="20"/>
                <w:color w:val="auto"/>
              </w:rPr>
            </w:pPr>
            <w:r>
              <w:rPr>
                <w:rFonts w:ascii="Arial" w:cs="Arial" w:eastAsia="Arial" w:hAnsi="Arial"/>
                <w:sz w:val="18"/>
                <w:szCs w:val="18"/>
                <w:b w:val="1"/>
                <w:bCs w:val="1"/>
                <w:color w:val="auto"/>
              </w:rPr>
              <w:t>Civeo Corporation</w:t>
            </w: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rPr>
              <w:t>Date: February 22, 2018</w:t>
            </w:r>
          </w:p>
        </w:tc>
        <w:tc>
          <w:tcPr>
            <w:tcW w:w="4960" w:type="dxa"/>
            <w:vAlign w:val="bottom"/>
            <w:gridSpan w:val="3"/>
          </w:tcPr>
          <w:p>
            <w:pPr>
              <w:ind w:left="1880"/>
              <w:spacing w:after="0"/>
              <w:rPr>
                <w:sz w:val="20"/>
                <w:szCs w:val="20"/>
                <w:color w:val="auto"/>
              </w:rPr>
            </w:pPr>
            <w:r>
              <w:rPr>
                <w:rFonts w:ascii="Arial" w:cs="Arial" w:eastAsia="Arial" w:hAnsi="Arial"/>
                <w:sz w:val="18"/>
                <w:szCs w:val="18"/>
                <w:color w:val="auto"/>
              </w:rPr>
              <w:t>By: /s/ Frank C. Steininger</w:t>
            </w:r>
          </w:p>
        </w:tc>
      </w:tr>
      <w:tr>
        <w:trPr>
          <w:trHeight w:val="222"/>
        </w:trPr>
        <w:tc>
          <w:tcPr>
            <w:tcW w:w="36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Frank C. Steininger</w:t>
            </w:r>
          </w:p>
        </w:tc>
        <w:tc>
          <w:tcPr>
            <w:tcW w:w="720" w:type="dxa"/>
            <w:vAlign w:val="bottom"/>
          </w:tcPr>
          <w:p>
            <w:pPr>
              <w:spacing w:after="0"/>
              <w:rPr>
                <w:sz w:val="19"/>
                <w:szCs w:val="19"/>
                <w:color w:val="auto"/>
              </w:rPr>
            </w:pPr>
          </w:p>
        </w:tc>
      </w:tr>
      <w:tr>
        <w:trPr>
          <w:trHeight w:val="216"/>
        </w:trPr>
        <w:tc>
          <w:tcPr>
            <w:tcW w:w="3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0"/>
              </w:rPr>
              <w:t>Senior Vice President, Chief Financial</w:t>
            </w:r>
          </w:p>
        </w:tc>
      </w:tr>
      <w:tr>
        <w:trPr>
          <w:trHeight w:val="230"/>
        </w:trPr>
        <w:tc>
          <w:tcPr>
            <w:tcW w:w="36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Officer &amp; Treasurer</w:t>
            </w:r>
          </w:p>
        </w:tc>
      </w:tr>
    </w:tbl>
    <w:p>
      <w:pPr>
        <w:sectPr>
          <w:pgSz w:w="11900" w:h="16838" w:orient="portrait"/>
          <w:cols w:equalWidth="0" w:num="1">
            <w:col w:w="11220"/>
          </w:cols>
          <w:pgMar w:left="240" w:top="33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Reports Fourth Quarter and Full Year 2017 Results</w:t>
      </w:r>
    </w:p>
    <w:p>
      <w:pPr>
        <w:spacing w:after="0" w:line="212"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HOUSTON, Feb. 22, 2018 (GLOBE NEWSWIRE) -- Civeo Corporation (NYSE:CVEO) today reported financial and operating results for the fourth quarter and year ended December 31, 2017.</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Highlights include:</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Delivered fourth quarter revenues of $101.3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Generated $11.3 million in operating cash flow and $8.4 million in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right="860"/>
        <w:spacing w:after="0" w:line="251" w:lineRule="auto"/>
        <w:rPr>
          <w:sz w:val="20"/>
          <w:szCs w:val="20"/>
          <w:color w:val="auto"/>
        </w:rPr>
      </w:pPr>
      <w:r>
        <w:rPr>
          <w:rFonts w:ascii="Arial" w:cs="Arial" w:eastAsia="Arial" w:hAnsi="Arial"/>
          <w:sz w:val="22"/>
          <w:szCs w:val="22"/>
          <w:color w:val="auto"/>
        </w:rPr>
        <w:t>Announced acquisition of Noralta Lodge, a premier accommodations provider in the Canadian Oil Sands region, on November 27, 2017, which is expected to close in the second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40"/>
        <w:spacing w:after="0"/>
        <w:rPr>
          <w:sz w:val="20"/>
          <w:szCs w:val="20"/>
          <w:color w:val="auto"/>
        </w:rPr>
      </w:pPr>
      <w:r>
        <w:rPr>
          <w:rFonts w:ascii="Arial" w:cs="Arial" w:eastAsia="Arial" w:hAnsi="Arial"/>
          <w:sz w:val="22"/>
          <w:szCs w:val="22"/>
          <w:color w:val="auto"/>
        </w:rPr>
        <w:t>Repaid $29 million of debt in the fourth quarter, making $81 million of total debt repayments for the full year. Total debt was reduced to $298 million as of December 31, 2017, including an increase of $21 million in foreign exchange adjustments, down from $357 million at the end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“Our goal at the start of 2017 was to position the company for success through and beyond the downturn by maximizing free cash flow, deleveraging the balance sheet, and pursuing our strategic direction. Looking back on the year, our accomplishments to further these objectives included a successful public equity offering, an amendment to our revolving credit facility, meaningful debt reduction and the pending Noralta acquisition.</w:t>
      </w:r>
    </w:p>
    <w:p>
      <w:pPr>
        <w:spacing w:after="0" w:line="185" w:lineRule="exact"/>
        <w:rPr>
          <w:sz w:val="20"/>
          <w:szCs w:val="20"/>
          <w:color w:val="auto"/>
        </w:rPr>
      </w:pPr>
    </w:p>
    <w:p>
      <w:pPr>
        <w:jc w:val="both"/>
        <w:ind w:right="240"/>
        <w:spacing w:after="0" w:line="238" w:lineRule="auto"/>
        <w:rPr>
          <w:sz w:val="20"/>
          <w:szCs w:val="20"/>
          <w:color w:val="auto"/>
        </w:rPr>
      </w:pPr>
      <w:r>
        <w:rPr>
          <w:rFonts w:ascii="Arial" w:cs="Arial" w:eastAsia="Arial" w:hAnsi="Arial"/>
          <w:sz w:val="22"/>
          <w:szCs w:val="22"/>
          <w:color w:val="auto"/>
        </w:rPr>
        <w:t>“The improving commodity price environment at the start of 2018 should present Civeo with increased occupancy and additional growth opportunities across our core end markets. As we navigate this transitional phase of the cycle, our strategic priorities will not change. We remain committed to the operational execution and financial discipline that have seen us through the worst of the downturn.</w:t>
      </w:r>
    </w:p>
    <w:p>
      <w:pPr>
        <w:spacing w:after="0" w:line="185"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“The fourth quarter of 2017 was consistent with our expectations. We were pleased to announce the Noralta acquisition, enhancing our footprint in the Canadian market and our ability to deliver a complete outsourced accommodations solution. This transaction will help Civeo expand its position as the partner of choice for workforce accommodation services in the Canadian Oil Sands region. While there is still work to be done, including obtaining shareholder approval, we are targeting to close the acquisition in the second quarter,” said Bradley J. Dodson, President and Chief Executive Officer.</w:t>
      </w:r>
    </w:p>
    <w:p>
      <w:pPr>
        <w:spacing w:after="0" w:line="148"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Mr. Dodson continued, “During the fourth quarter, we saw good occupancy in our Canadian segment as market conditions continued to stabilize. Our U.S. segment benefited from more robust activity in the unconventional plays and fabrication work for Gulf of Mexico customer projects. In Australia, we generated consistent occupancy and solid margin performance despite headwinds associated with the holidays towards the end of the year. Looking ahead to 2018, we remain focused on providing best in class service quality while prudently deploying capital, de-levering our balance sheet, and continuing to generate free cash flow.”</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Fourth Quarter 2017 Results</w:t>
      </w:r>
    </w:p>
    <w:p>
      <w:pPr>
        <w:spacing w:after="0" w:line="206"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In the fourth quarter of 2017, Civeo generated revenues of $101.3 million and reported a net loss of $47.6 million, or $0.36 per share. The loss represents a $51.1 million pre-tax loss resulting in part from $27.2 million in impairment charges and $2.3 million in costs associated with Civeo’s announced acquisition of Noralta Lodge. During the fourth quarter of 2017, Civeo produced operating cash flow of $11.3 million, Adjusted EBITDA of $13.3 million, and free cash flow of $8.4 million.</w:t>
      </w:r>
    </w:p>
    <w:p>
      <w:pPr>
        <w:spacing w:after="0" w:line="143"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(EBITDA is a non-GAAP financial measure that is defined as net income plus interest, taxes, depreciation and amortization, and Adjusted EBITDA is defined as EBITDA adjusted to exclude impairment charges and certain other costs. Free cash flow is a non-GAAP financial measure that is defined as net cash flows provided by operating activities less capital expenditures plus proceeds from asset sales. Please see the reconciliations to GAAP measures at the end of this news release.)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By comparison, in the fourth quarter of 2016, Civeo generated revenues of $90.9 million and reported a net loss of $15.9 million, or $0.15 per share. During the fourth quarter of 2016, Civeo generated operating cash flow of $13.3 million, Adjusted EBITDA of $17.7 million and free cash flow of $10.1 million.</w:t>
      </w:r>
    </w:p>
    <w:p>
      <w:pPr>
        <w:spacing w:after="0" w:line="186" w:lineRule="exact"/>
        <w:rPr>
          <w:sz w:val="20"/>
          <w:szCs w:val="20"/>
          <w:color w:val="auto"/>
        </w:rPr>
      </w:pPr>
    </w:p>
    <w:p>
      <w:pPr>
        <w:jc w:val="both"/>
        <w:ind w:right="160"/>
        <w:spacing w:after="0" w:line="328" w:lineRule="auto"/>
        <w:rPr>
          <w:sz w:val="20"/>
          <w:szCs w:val="20"/>
          <w:color w:val="auto"/>
        </w:rPr>
      </w:pPr>
      <w:r>
        <w:rPr>
          <w:rFonts w:ascii="Arial" w:cs="Arial" w:eastAsia="Arial" w:hAnsi="Arial"/>
          <w:sz w:val="19"/>
          <w:szCs w:val="19"/>
          <w:color w:val="auto"/>
        </w:rPr>
        <w:t>The decline in Adjusted EBITDA and the increase in net loss in the fourth quarter of 2017 compared to 2016 was primarily due to lower average daily rates in Canada and continued lower mobile camp activity, partially offset by increased occupancy in Canada.</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Full Year 2017 Results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For the full year 2017, the Company reported revenues of $382.3 million and a net loss of $105.7 million, or $0.82 per share.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Adjusted EBITDA was $63.2 million.</w:t>
      </w:r>
    </w:p>
    <w:p>
      <w:pPr>
        <w:spacing w:after="0" w:line="188"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In 2016, the Company reported revenues of $397.2 million and a net loss of $96.4 million, or $0.90 per share. Adjusted EBITDA was $86.7 million.</w:t>
      </w:r>
    </w:p>
    <w:p>
      <w:pPr>
        <w:sectPr>
          <w:pgSz w:w="11900" w:h="16838" w:orient="portrait"/>
          <w:cols w:equalWidth="0" w:num="1">
            <w:col w:w="11420"/>
          </w:cols>
          <w:pgMar w:left="240" w:top="112" w:right="239" w:bottom="14"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The decline in revenues and Adjusted EBITDA and increase in net loss in 2017 as compared to 2016 was primarily due to the Ft.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McMurray fire-related revenue in 2016 and lower average daily rates in Canada.</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ind w:right="60"/>
        <w:spacing w:after="0"/>
        <w:rPr>
          <w:sz w:val="20"/>
          <w:szCs w:val="20"/>
          <w:color w:val="auto"/>
        </w:rPr>
      </w:pPr>
      <w:r>
        <w:rPr>
          <w:rFonts w:ascii="Arial" w:cs="Arial" w:eastAsia="Arial" w:hAnsi="Arial"/>
          <w:sz w:val="22"/>
          <w:szCs w:val="22"/>
          <w:color w:val="auto"/>
        </w:rPr>
        <w:t>(Unless otherwise noted, the following discussion compares the quarterly results for the fourth quarter of 2017 to the results for the fourth quarter of 2016. The Adjusted EBITDA amounts discussed below exclude the fixed asset impairment and Noralta-related expenses noted above.)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During the fourth quarter of 2017, the Canadian segment generated revenues of $63.6 million, operating loss of $36.9 million and Adjusted EBITDA of $11.4 million, compared to revenues of $62.3 million, operating loss of $5.6 million and Adjusted EBITDA of $14.1 million in the fourth quarter of 2016. The fourth quarter of 2017 results reflect the impact of a strengthened Canadian dollar relative to the U.S. dollar, which increased revenues by $3.0 million. On a constant currency basis, revenues were lower primarily due a decrease in average daily rates, which was partially offset by an increase in average lodge occupancy.</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financial performance of the Australian segment for the fourth quarter of 2017 was relatively flat compared to the fourth quarter of 2016. Revenue was $28.1 million, operating loss was $3.2 million and Adjusted EBITDA was $10.3 million in the fourth quarter of 2017, compared to revenues of $26.1 million, operating loss of $2.4 million and Adjusted EBITDA of $10.4 million in the fourth quarter of 2016, respectively.</w:t>
      </w:r>
    </w:p>
    <w:p>
      <w:pPr>
        <w:spacing w:after="0" w:line="185"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The fourth quarter of 2017 results reflect the impact of a strengthened Australian dollar relative to the U.S. dollar, which increased revenues by $0.7 million. On a constant currency basis, the Australian segment experienced a 4.8% period-over-period increase in revenues due to increased occupancy at villages in the Bowen Basin partially offset by lower rates resulting from the impact of a contract termination payment in 2016.</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U.S. segment generated revenues of $9.7 million, operating loss of $4.1 million and an Adjusted EBITDA loss of $1.2 million in the fourth quarter of 2017, compared to revenues of $2.5 million, operating loss of $4.0 million and an Adjusted EBITDA loss of $1.5 million in the fourth quarter of 2016, respectively. The revenue increase was primarily due to higher activity in the Gulf of Mexico offshore business.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Civeo recognized an income tax benefit of $3.6 million, which resulted in an effective tax rate of 7% in the fourth quarter of 2017. During the fourth quarter of 2016, Civeo recognized an income tax benefit of $2.9 million, which resulted in an effective tax rate of 15%.</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As of December 31, 2017, Civeo had total liquidity of approximately $140.0 million, consisting of $107.4 million available under its revolving credit facilities and $32.6 million of cash on hand.</w:t>
      </w:r>
    </w:p>
    <w:p>
      <w:pPr>
        <w:spacing w:after="0" w:line="173"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Civeo’s total debt outstanding on December 31, 2017 was $298 million, a $30 million decrease since September 30, 2017. The decrease resulted primarily from the repayment of the U.S. term loan.</w:t>
      </w:r>
    </w:p>
    <w:p>
      <w:pPr>
        <w:spacing w:after="0" w:line="17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During the fourth quarter of 2017, Civeo invested $3.2 million in maintenance related capital expenditures, down from $4.5 million during the fourth quarter of 2016, which included investments in an enterprise information system.</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2018 Guidance</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For full year 2018, Civeo expects Adjusted EBITDA to be flat or slightly increased compared to 2017. For the first quarter of 2018, Civeo expects revenues of $100 million to $105 million and Adjusted EBITDA of $11 million to $13 million. Guidance does not account for the impact from the acquisition of Noralta Lodge. The Company will provide an additional full-year 2018 outlook upon close of the Noralta transaction, currently expected to occur in the second quarter of 2018.</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Conference Call</w:t>
      </w:r>
    </w:p>
    <w:p>
      <w:pPr>
        <w:spacing w:after="0" w:line="206"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Civeo will host a conference call to discuss its fourth quarter 2017 financial results today at 11:00 a.m. Eastern time. This call is being webcast and can be accessed at Civeo's website at www.civeo.com. Participants may also join the conference call by dialing (800)-239-9838 in the United States or (323)-794-2551 internationally and using the conference ID 2677202. A replay will be available after the call by dialing (844) 512-2921 in the United States or (412) 317-6671 internationally and using the conference ID 2677202#.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ectPr>
          <w:pgSz w:w="11900" w:h="16838" w:orient="portrait"/>
          <w:cols w:equalWidth="0" w:num="1">
            <w:col w:w="11400"/>
          </w:cols>
          <w:pgMar w:left="240" w:top="118" w:right="259" w:bottom="0" w:gutter="0" w:footer="0" w:header="0"/>
        </w:sectPr>
      </w:pPr>
    </w:p>
    <w:bookmarkStart w:id="5" w:name="page6"/>
    <w:bookmarkEnd w:id="5"/>
    <w:p>
      <w:pPr>
        <w:ind w:right="140"/>
        <w:spacing w:after="0" w:line="248" w:lineRule="auto"/>
        <w:rPr>
          <w:sz w:val="20"/>
          <w:szCs w:val="20"/>
          <w:color w:val="auto"/>
        </w:rPr>
      </w:pPr>
      <w:r>
        <w:rPr>
          <w:rFonts w:ascii="Arial" w:cs="Arial" w:eastAsia="Arial" w:hAnsi="Arial"/>
          <w:sz w:val="21"/>
          <w:szCs w:val="21"/>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19 lodges and villages in operation in Canada and Australia, with an aggregate of more than 24,000 rooms. Civeo is publicly traded under the symbol CVEO on the New York Stock Exchange. For more information, please visit Civeo's website at www.civeo.com.</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 looking statements in this news release include the statements regarding Civeo’s: views regarding broadening stabilization in its core end markets; growth opportunities; benefits and timing of the Noralta acquisition; optimism about market demand in 2018; and first quarter and full year 2018 guidance. The forward-looking statements included herein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and developments in the Canadian oil sands, the level of demand for coal and other natural resources from Australia, and fluctuations in the current and future prices of oil, coal, iron ore and other minerals, risks associated with currency exchange rates, risks associated with the Noralta acquisition, risks associated with the development of new projects, including whether such projects will continue in the future, and other factors discussed in the " Management’s Discussion and Analysis of Financial Condition and Results of Operations " and "Risk Factors" sections of Civeo’s annual report on Form 10-K for the year ended December 31, 2016, Civeo’s proxy statement on schedule 14A for the special meeting of shareholders on March 28, 2018 and other reports the Company may file from time to time with the U.S. Securities and Exchange Commission. Each forward-looking statement contained in this news release speaks only as of the date of this release. Except as required by law, Civeo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 Financial Schedules Follow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UNAUDITED CONSOLIDATED STATEMENTS OF OPERATIONS</w:t>
      </w:r>
    </w:p>
    <w:p>
      <w:pPr>
        <w:jc w:val="center"/>
        <w:ind w:right="60"/>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620" w:type="dxa"/>
            <w:vAlign w:val="bottom"/>
          </w:tcPr>
          <w:p>
            <w:pPr>
              <w:spacing w:after="0"/>
              <w:rPr>
                <w:sz w:val="21"/>
                <w:szCs w:val="21"/>
                <w:color w:val="auto"/>
              </w:rPr>
            </w:pPr>
          </w:p>
        </w:tc>
        <w:tc>
          <w:tcPr>
            <w:tcW w:w="2780" w:type="dxa"/>
            <w:vAlign w:val="bottom"/>
            <w:gridSpan w:val="6"/>
          </w:tcPr>
          <w:p>
            <w:pPr>
              <w:jc w:val="center"/>
              <w:ind w:right="80"/>
              <w:spacing w:after="0"/>
              <w:rPr>
                <w:sz w:val="20"/>
                <w:szCs w:val="20"/>
                <w:color w:val="auto"/>
              </w:rPr>
            </w:pPr>
            <w:r>
              <w:rPr>
                <w:rFonts w:ascii="Arial" w:cs="Arial" w:eastAsia="Arial" w:hAnsi="Arial"/>
                <w:sz w:val="22"/>
                <w:szCs w:val="22"/>
                <w:b w:val="1"/>
                <w:bCs w:val="1"/>
                <w:color w:val="auto"/>
                <w:w w:val="99"/>
              </w:rPr>
              <w:t>THREE MONTHS ENDED</w:t>
            </w:r>
          </w:p>
        </w:tc>
        <w:tc>
          <w:tcPr>
            <w:tcW w:w="2900" w:type="dxa"/>
            <w:vAlign w:val="bottom"/>
            <w:gridSpan w:val="5"/>
          </w:tcPr>
          <w:p>
            <w:pPr>
              <w:jc w:val="right"/>
              <w:spacing w:after="0"/>
              <w:rPr>
                <w:sz w:val="20"/>
                <w:szCs w:val="20"/>
                <w:color w:val="auto"/>
              </w:rPr>
            </w:pPr>
            <w:r>
              <w:rPr>
                <w:rFonts w:ascii="Arial" w:cs="Arial" w:eastAsia="Arial" w:hAnsi="Arial"/>
                <w:sz w:val="22"/>
                <w:szCs w:val="22"/>
                <w:b w:val="1"/>
                <w:bCs w:val="1"/>
                <w:color w:val="auto"/>
              </w:rPr>
              <w:t>TWELVE MONTHS ENDED</w:t>
            </w:r>
          </w:p>
        </w:tc>
      </w:tr>
      <w:tr>
        <w:trPr>
          <w:trHeight w:val="270"/>
        </w:trPr>
        <w:tc>
          <w:tcPr>
            <w:tcW w:w="5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80" w:type="dxa"/>
            <w:vAlign w:val="bottom"/>
            <w:gridSpan w:val="5"/>
          </w:tcPr>
          <w:p>
            <w:pPr>
              <w:jc w:val="center"/>
              <w:ind w:right="380"/>
              <w:spacing w:after="0"/>
              <w:rPr>
                <w:sz w:val="20"/>
                <w:szCs w:val="20"/>
                <w:color w:val="auto"/>
              </w:rPr>
            </w:pPr>
            <w:r>
              <w:rPr>
                <w:rFonts w:ascii="Arial" w:cs="Arial" w:eastAsia="Arial" w:hAnsi="Arial"/>
                <w:sz w:val="22"/>
                <w:szCs w:val="22"/>
                <w:b w:val="1"/>
                <w:bCs w:val="1"/>
                <w:color w:val="auto"/>
                <w:w w:val="97"/>
              </w:rPr>
              <w:t>DECEMBER 31,</w:t>
            </w:r>
          </w:p>
        </w:tc>
        <w:tc>
          <w:tcPr>
            <w:tcW w:w="300" w:type="dxa"/>
            <w:vAlign w:val="bottom"/>
          </w:tcPr>
          <w:p>
            <w:pPr>
              <w:spacing w:after="0"/>
              <w:rPr>
                <w:sz w:val="23"/>
                <w:szCs w:val="23"/>
                <w:color w:val="auto"/>
              </w:rPr>
            </w:pPr>
          </w:p>
        </w:tc>
        <w:tc>
          <w:tcPr>
            <w:tcW w:w="2600" w:type="dxa"/>
            <w:vAlign w:val="bottom"/>
            <w:gridSpan w:val="4"/>
          </w:tcPr>
          <w:p>
            <w:pPr>
              <w:jc w:val="right"/>
              <w:ind w:right="552"/>
              <w:spacing w:after="0"/>
              <w:rPr>
                <w:sz w:val="20"/>
                <w:szCs w:val="20"/>
                <w:color w:val="auto"/>
              </w:rPr>
            </w:pPr>
            <w:r>
              <w:rPr>
                <w:rFonts w:ascii="Arial" w:cs="Arial" w:eastAsia="Arial" w:hAnsi="Arial"/>
                <w:sz w:val="22"/>
                <w:szCs w:val="22"/>
                <w:b w:val="1"/>
                <w:bCs w:val="1"/>
                <w:color w:val="auto"/>
              </w:rPr>
              <w:t>DECEMBER 31,</w:t>
            </w:r>
          </w:p>
        </w:tc>
      </w:tr>
      <w:tr>
        <w:trPr>
          <w:trHeight w:val="282"/>
        </w:trPr>
        <w:tc>
          <w:tcPr>
            <w:tcW w:w="5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2016</w:t>
            </w:r>
          </w:p>
        </w:tc>
      </w:tr>
      <w:tr>
        <w:trPr>
          <w:trHeight w:val="532"/>
        </w:trPr>
        <w:tc>
          <w:tcPr>
            <w:tcW w:w="5620" w:type="dxa"/>
            <w:vAlign w:val="bottom"/>
          </w:tcPr>
          <w:p>
            <w:pPr>
              <w:spacing w:after="0"/>
              <w:rPr>
                <w:sz w:val="20"/>
                <w:szCs w:val="20"/>
                <w:color w:val="auto"/>
              </w:rPr>
            </w:pPr>
            <w:r>
              <w:rPr>
                <w:rFonts w:ascii="Arial" w:cs="Arial" w:eastAsia="Arial" w:hAnsi="Arial"/>
                <w:sz w:val="22"/>
                <w:szCs w:val="22"/>
                <w:color w:val="auto"/>
              </w:rPr>
              <w:t>Revenues</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101,348</w:t>
            </w:r>
          </w:p>
        </w:tc>
        <w:tc>
          <w:tcPr>
            <w:tcW w:w="10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90,921</w:t>
            </w:r>
          </w:p>
        </w:tc>
        <w:tc>
          <w:tcPr>
            <w:tcW w:w="80" w:type="dxa"/>
            <w:vAlign w:val="bottom"/>
          </w:tcPr>
          <w:p>
            <w:pPr>
              <w:spacing w:after="0"/>
              <w:rPr>
                <w:sz w:val="24"/>
                <w:szCs w:val="24"/>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382,276</w:t>
            </w:r>
          </w:p>
        </w:tc>
        <w:tc>
          <w:tcPr>
            <w:tcW w:w="100" w:type="dxa"/>
            <w:vAlign w:val="bottom"/>
          </w:tcPr>
          <w:p>
            <w:pPr>
              <w:spacing w:after="0"/>
              <w:rPr>
                <w:sz w:val="24"/>
                <w:szCs w:val="24"/>
                <w:color w:val="auto"/>
              </w:rPr>
            </w:pPr>
          </w:p>
        </w:tc>
        <w:tc>
          <w:tcPr>
            <w:tcW w:w="340" w:type="dxa"/>
            <w:vAlign w:val="bottom"/>
          </w:tcPr>
          <w:p>
            <w:pPr>
              <w:jc w:val="right"/>
              <w:ind w:right="92"/>
              <w:spacing w:after="0"/>
              <w:rPr>
                <w:sz w:val="20"/>
                <w:szCs w:val="20"/>
                <w:color w:val="auto"/>
              </w:rPr>
            </w:pPr>
            <w:r>
              <w:rPr>
                <w:rFonts w:ascii="Arial" w:cs="Arial" w:eastAsia="Arial" w:hAnsi="Arial"/>
                <w:sz w:val="22"/>
                <w:szCs w:val="22"/>
                <w:color w:val="auto"/>
                <w:w w:val="97"/>
              </w:rPr>
              <w:t>$</w:t>
            </w:r>
          </w:p>
        </w:tc>
        <w:tc>
          <w:tcPr>
            <w:tcW w:w="1100" w:type="dxa"/>
            <w:vAlign w:val="bottom"/>
          </w:tcPr>
          <w:p>
            <w:pPr>
              <w:jc w:val="right"/>
              <w:ind w:right="12"/>
              <w:spacing w:after="0"/>
              <w:rPr>
                <w:sz w:val="20"/>
                <w:szCs w:val="20"/>
                <w:color w:val="auto"/>
              </w:rPr>
            </w:pPr>
            <w:r>
              <w:rPr>
                <w:rFonts w:ascii="Arial" w:cs="Arial" w:eastAsia="Arial" w:hAnsi="Arial"/>
                <w:sz w:val="22"/>
                <w:szCs w:val="22"/>
                <w:color w:val="auto"/>
              </w:rPr>
              <w:t>397,230</w:t>
            </w:r>
          </w:p>
        </w:tc>
      </w:tr>
      <w:tr>
        <w:trPr>
          <w:trHeight w:val="536"/>
        </w:trPr>
        <w:tc>
          <w:tcPr>
            <w:tcW w:w="5620" w:type="dxa"/>
            <w:vAlign w:val="bottom"/>
          </w:tcPr>
          <w:p>
            <w:pPr>
              <w:spacing w:after="0"/>
              <w:rPr>
                <w:sz w:val="20"/>
                <w:szCs w:val="20"/>
                <w:color w:val="auto"/>
              </w:rPr>
            </w:pPr>
            <w:r>
              <w:rPr>
                <w:rFonts w:ascii="Arial" w:cs="Arial" w:eastAsia="Arial" w:hAnsi="Arial"/>
                <w:sz w:val="22"/>
                <w:szCs w:val="22"/>
                <w:color w:val="auto"/>
              </w:rPr>
              <w:t>Costs and expenses: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620" w:type="dxa"/>
            <w:vAlign w:val="bottom"/>
          </w:tcPr>
          <w:p>
            <w:pPr>
              <w:ind w:left="100"/>
              <w:spacing w:after="0"/>
              <w:rPr>
                <w:sz w:val="20"/>
                <w:szCs w:val="20"/>
                <w:color w:val="auto"/>
              </w:rPr>
            </w:pPr>
            <w:r>
              <w:rPr>
                <w:rFonts w:ascii="Arial" w:cs="Arial" w:eastAsia="Arial" w:hAnsi="Arial"/>
                <w:sz w:val="22"/>
                <w:szCs w:val="22"/>
                <w:color w:val="auto"/>
              </w:rPr>
              <w:t>Cost of sales and services</w:t>
            </w:r>
          </w:p>
        </w:tc>
        <w:tc>
          <w:tcPr>
            <w:tcW w:w="3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70,575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61,157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257,258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22"/>
                <w:szCs w:val="22"/>
                <w:color w:val="auto"/>
              </w:rPr>
              <w:t>259,650</w:t>
            </w:r>
          </w:p>
        </w:tc>
      </w:tr>
      <w:tr>
        <w:trPr>
          <w:trHeight w:val="270"/>
        </w:trPr>
        <w:tc>
          <w:tcPr>
            <w:tcW w:w="5620" w:type="dxa"/>
            <w:vAlign w:val="bottom"/>
          </w:tcPr>
          <w:p>
            <w:pPr>
              <w:ind w:left="100"/>
              <w:spacing w:after="0"/>
              <w:rPr>
                <w:sz w:val="20"/>
                <w:szCs w:val="20"/>
                <w:color w:val="auto"/>
              </w:rPr>
            </w:pPr>
            <w:r>
              <w:rPr>
                <w:rFonts w:ascii="Arial" w:cs="Arial" w:eastAsia="Arial" w:hAnsi="Arial"/>
                <w:sz w:val="22"/>
                <w:szCs w:val="22"/>
                <w:color w:val="auto"/>
              </w:rPr>
              <w:t>Selling, general and administrative expenses</w:t>
            </w:r>
          </w:p>
        </w:tc>
        <w:tc>
          <w:tcPr>
            <w:tcW w:w="3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19,290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13,241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63,431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22"/>
                <w:szCs w:val="22"/>
                <w:color w:val="auto"/>
              </w:rPr>
              <w:t>55,297</w:t>
            </w:r>
          </w:p>
        </w:tc>
      </w:tr>
      <w:tr>
        <w:trPr>
          <w:trHeight w:val="270"/>
        </w:trPr>
        <w:tc>
          <w:tcPr>
            <w:tcW w:w="5620" w:type="dxa"/>
            <w:vAlign w:val="bottom"/>
          </w:tcPr>
          <w:p>
            <w:pPr>
              <w:ind w:left="100"/>
              <w:spacing w:after="0"/>
              <w:rPr>
                <w:sz w:val="20"/>
                <w:szCs w:val="20"/>
                <w:color w:val="auto"/>
              </w:rPr>
            </w:pPr>
            <w:r>
              <w:rPr>
                <w:rFonts w:ascii="Arial" w:cs="Arial" w:eastAsia="Arial" w:hAnsi="Arial"/>
                <w:sz w:val="22"/>
                <w:szCs w:val="22"/>
                <w:color w:val="auto"/>
              </w:rPr>
              <w:t>Depreciation and amortization expense</w:t>
            </w:r>
          </w:p>
        </w:tc>
        <w:tc>
          <w:tcPr>
            <w:tcW w:w="3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29,360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30,858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126,443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22"/>
                <w:szCs w:val="22"/>
                <w:color w:val="auto"/>
              </w:rPr>
              <w:t>131,302</w:t>
            </w:r>
          </w:p>
        </w:tc>
      </w:tr>
      <w:tr>
        <w:trPr>
          <w:trHeight w:val="270"/>
        </w:trPr>
        <w:tc>
          <w:tcPr>
            <w:tcW w:w="5620" w:type="dxa"/>
            <w:vAlign w:val="bottom"/>
          </w:tcPr>
          <w:p>
            <w:pPr>
              <w:ind w:left="100"/>
              <w:spacing w:after="0"/>
              <w:rPr>
                <w:sz w:val="20"/>
                <w:szCs w:val="20"/>
                <w:color w:val="auto"/>
              </w:rPr>
            </w:pPr>
            <w:r>
              <w:rPr>
                <w:rFonts w:ascii="Arial" w:cs="Arial" w:eastAsia="Arial" w:hAnsi="Arial"/>
                <w:sz w:val="22"/>
                <w:szCs w:val="22"/>
                <w:color w:val="auto"/>
              </w:rPr>
              <w:t>Impairment expense</w:t>
            </w:r>
          </w:p>
        </w:tc>
        <w:tc>
          <w:tcPr>
            <w:tcW w:w="3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27,244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31,604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22"/>
                <w:szCs w:val="22"/>
                <w:color w:val="auto"/>
              </w:rPr>
              <w:t>46,129</w:t>
            </w:r>
          </w:p>
        </w:tc>
      </w:tr>
      <w:tr>
        <w:trPr>
          <w:trHeight w:val="276"/>
        </w:trPr>
        <w:tc>
          <w:tcPr>
            <w:tcW w:w="5620" w:type="dxa"/>
            <w:vAlign w:val="bottom"/>
          </w:tcPr>
          <w:p>
            <w:pPr>
              <w:ind w:left="100"/>
              <w:spacing w:after="0"/>
              <w:rPr>
                <w:sz w:val="20"/>
                <w:szCs w:val="20"/>
                <w:color w:val="auto"/>
              </w:rPr>
            </w:pPr>
            <w:r>
              <w:rPr>
                <w:rFonts w:ascii="Arial" w:cs="Arial" w:eastAsia="Arial" w:hAnsi="Arial"/>
                <w:sz w:val="22"/>
                <w:szCs w:val="22"/>
                <w:color w:val="auto"/>
              </w:rPr>
              <w:t>Other operating expense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407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256</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1,511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612</w:t>
            </w:r>
          </w:p>
        </w:tc>
      </w:tr>
      <w:tr>
        <w:trPr>
          <w:trHeight w:val="265"/>
        </w:trPr>
        <w:tc>
          <w:tcPr>
            <w:tcW w:w="56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146,876</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105,512</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480,247</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492,990</w:t>
            </w:r>
          </w:p>
        </w:tc>
      </w:tr>
      <w:tr>
        <w:trPr>
          <w:trHeight w:val="268"/>
        </w:trPr>
        <w:tc>
          <w:tcPr>
            <w:tcW w:w="5620" w:type="dxa"/>
            <w:vAlign w:val="bottom"/>
          </w:tcPr>
          <w:p>
            <w:pPr>
              <w:spacing w:after="0"/>
              <w:rPr>
                <w:sz w:val="20"/>
                <w:szCs w:val="20"/>
                <w:color w:val="auto"/>
              </w:rPr>
            </w:pPr>
            <w:r>
              <w:rPr>
                <w:rFonts w:ascii="Arial" w:cs="Arial" w:eastAsia="Arial" w:hAnsi="Arial"/>
                <w:sz w:val="22"/>
                <w:szCs w:val="22"/>
                <w:color w:val="auto"/>
              </w:rPr>
              <w:t>Operating loss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(45,528)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(14,591)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(97,971)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(95,760)</w:t>
            </w:r>
          </w:p>
        </w:tc>
      </w:tr>
      <w:tr>
        <w:trPr>
          <w:trHeight w:val="528"/>
        </w:trPr>
        <w:tc>
          <w:tcPr>
            <w:tcW w:w="5620" w:type="dxa"/>
            <w:vAlign w:val="bottom"/>
          </w:tcPr>
          <w:p>
            <w:pPr>
              <w:spacing w:after="0"/>
              <w:rPr>
                <w:sz w:val="20"/>
                <w:szCs w:val="20"/>
                <w:color w:val="auto"/>
              </w:rPr>
            </w:pPr>
            <w:r>
              <w:rPr>
                <w:rFonts w:ascii="Arial" w:cs="Arial" w:eastAsia="Arial" w:hAnsi="Arial"/>
                <w:sz w:val="22"/>
                <w:szCs w:val="22"/>
                <w:color w:val="auto"/>
                <w:w w:val="99"/>
              </w:rPr>
              <w:t>Interest expense to third parties, net of capitalized interest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(5,742)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(5,726)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(21,439)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(22,667)</w:t>
            </w:r>
          </w:p>
        </w:tc>
      </w:tr>
      <w:tr>
        <w:trPr>
          <w:trHeight w:val="270"/>
        </w:trPr>
        <w:tc>
          <w:tcPr>
            <w:tcW w:w="562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30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(842)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(302)</w:t>
            </w:r>
          </w:p>
        </w:tc>
      </w:tr>
      <w:tr>
        <w:trPr>
          <w:trHeight w:val="270"/>
        </w:trPr>
        <w:tc>
          <w:tcPr>
            <w:tcW w:w="5620" w:type="dxa"/>
            <w:vAlign w:val="bottom"/>
          </w:tcPr>
          <w:p>
            <w:pPr>
              <w:spacing w:after="0"/>
              <w:rPr>
                <w:sz w:val="20"/>
                <w:szCs w:val="20"/>
                <w:color w:val="auto"/>
              </w:rPr>
            </w:pPr>
            <w:r>
              <w:rPr>
                <w:rFonts w:ascii="Arial" w:cs="Arial" w:eastAsia="Arial" w:hAnsi="Arial"/>
                <w:sz w:val="22"/>
                <w:szCs w:val="22"/>
                <w:color w:val="auto"/>
              </w:rPr>
              <w:t>Interest income</w:t>
            </w:r>
          </w:p>
        </w:tc>
        <w:tc>
          <w:tcPr>
            <w:tcW w:w="3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color w:val="auto"/>
              </w:rPr>
              <w:t>131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22"/>
                <w:szCs w:val="22"/>
                <w:color w:val="auto"/>
              </w:rPr>
              <w:t>152</w:t>
            </w:r>
          </w:p>
        </w:tc>
      </w:tr>
      <w:tr>
        <w:trPr>
          <w:trHeight w:val="275"/>
        </w:trPr>
        <w:tc>
          <w:tcPr>
            <w:tcW w:w="5620" w:type="dxa"/>
            <w:vAlign w:val="bottom"/>
          </w:tcPr>
          <w:p>
            <w:pPr>
              <w:spacing w:after="0"/>
              <w:rPr>
                <w:sz w:val="20"/>
                <w:szCs w:val="20"/>
                <w:color w:val="auto"/>
              </w:rPr>
            </w:pPr>
            <w:r>
              <w:rPr>
                <w:rFonts w:ascii="Arial" w:cs="Arial" w:eastAsia="Arial" w:hAnsi="Arial"/>
                <w:sz w:val="22"/>
                <w:szCs w:val="22"/>
                <w:color w:val="auto"/>
              </w:rPr>
              <w:t>Other income (expense)</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61</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1,587</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1,308</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2,645</w:t>
            </w:r>
          </w:p>
        </w:tc>
      </w:tr>
      <w:tr>
        <w:trPr>
          <w:trHeight w:val="259"/>
        </w:trPr>
        <w:tc>
          <w:tcPr>
            <w:tcW w:w="5620" w:type="dxa"/>
            <w:vAlign w:val="bottom"/>
          </w:tcPr>
          <w:p>
            <w:pPr>
              <w:ind w:left="100"/>
              <w:spacing w:after="0"/>
              <w:rPr>
                <w:sz w:val="20"/>
                <w:szCs w:val="20"/>
                <w:color w:val="auto"/>
              </w:rPr>
            </w:pPr>
            <w:r>
              <w:rPr>
                <w:rFonts w:ascii="Arial" w:cs="Arial" w:eastAsia="Arial" w:hAnsi="Arial"/>
                <w:sz w:val="22"/>
                <w:szCs w:val="22"/>
                <w:color w:val="auto"/>
              </w:rPr>
              <w:t>Loss before income taxes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(51,078)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(18,718)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(118,744)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(115,932)</w:t>
            </w:r>
          </w:p>
        </w:tc>
      </w:tr>
      <w:tr>
        <w:trPr>
          <w:trHeight w:val="275"/>
        </w:trPr>
        <w:tc>
          <w:tcPr>
            <w:tcW w:w="5620" w:type="dxa"/>
            <w:vAlign w:val="bottom"/>
          </w:tcPr>
          <w:p>
            <w:pPr>
              <w:spacing w:after="0"/>
              <w:rPr>
                <w:sz w:val="20"/>
                <w:szCs w:val="20"/>
                <w:color w:val="auto"/>
              </w:rPr>
            </w:pPr>
            <w:r>
              <w:rPr>
                <w:rFonts w:ascii="Arial" w:cs="Arial" w:eastAsia="Arial" w:hAnsi="Arial"/>
                <w:sz w:val="22"/>
                <w:szCs w:val="22"/>
                <w:color w:val="auto"/>
              </w:rPr>
              <w:t>Income tax benefit</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3,615</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2,888</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13,490</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20,105</w:t>
            </w:r>
          </w:p>
        </w:tc>
      </w:tr>
      <w:tr>
        <w:trPr>
          <w:trHeight w:val="259"/>
        </w:trPr>
        <w:tc>
          <w:tcPr>
            <w:tcW w:w="5620" w:type="dxa"/>
            <w:vAlign w:val="bottom"/>
          </w:tcPr>
          <w:p>
            <w:pPr>
              <w:spacing w:after="0"/>
              <w:rPr>
                <w:sz w:val="20"/>
                <w:szCs w:val="20"/>
                <w:color w:val="auto"/>
              </w:rPr>
            </w:pPr>
            <w:r>
              <w:rPr>
                <w:rFonts w:ascii="Arial" w:cs="Arial" w:eastAsia="Arial" w:hAnsi="Arial"/>
                <w:sz w:val="22"/>
                <w:szCs w:val="22"/>
                <w:color w:val="auto"/>
              </w:rPr>
              <w:t>Net loss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(47,463)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(15,830)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(105,254)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(95,827)</w:t>
            </w:r>
          </w:p>
        </w:tc>
      </w:tr>
      <w:tr>
        <w:trPr>
          <w:trHeight w:val="276"/>
        </w:trPr>
        <w:tc>
          <w:tcPr>
            <w:tcW w:w="5620" w:type="dxa"/>
            <w:vAlign w:val="bottom"/>
          </w:tcPr>
          <w:p>
            <w:pPr>
              <w:ind w:left="100"/>
              <w:spacing w:after="0"/>
              <w:rPr>
                <w:sz w:val="20"/>
                <w:szCs w:val="20"/>
                <w:color w:val="auto"/>
              </w:rPr>
            </w:pPr>
            <w:r>
              <w:rPr>
                <w:rFonts w:ascii="Arial" w:cs="Arial" w:eastAsia="Arial" w:hAnsi="Arial"/>
                <w:sz w:val="22"/>
                <w:szCs w:val="22"/>
                <w:color w:val="auto"/>
              </w:rPr>
              <w:t>Less: Net income attributable to noncontrolling interest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119</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561</w:t>
            </w:r>
          </w:p>
        </w:tc>
      </w:tr>
      <w:tr>
        <w:trPr>
          <w:trHeight w:val="265"/>
        </w:trPr>
        <w:tc>
          <w:tcPr>
            <w:tcW w:w="5620" w:type="dxa"/>
            <w:vAlign w:val="bottom"/>
          </w:tcPr>
          <w:p>
            <w:pPr>
              <w:spacing w:after="0"/>
              <w:rPr>
                <w:sz w:val="20"/>
                <w:szCs w:val="20"/>
                <w:color w:val="auto"/>
              </w:rPr>
            </w:pPr>
            <w:r>
              <w:rPr>
                <w:rFonts w:ascii="Arial" w:cs="Arial" w:eastAsia="Arial" w:hAnsi="Arial"/>
                <w:sz w:val="22"/>
                <w:szCs w:val="22"/>
                <w:color w:val="auto"/>
              </w:rPr>
              <w:t>Net loss attributable to Civeo Corporation</w:t>
            </w: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(47,579)</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(15,949)</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(105,713)</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(96,388)</w:t>
            </w:r>
          </w:p>
        </w:tc>
      </w:tr>
      <w:tr>
        <w:trPr>
          <w:trHeight w:val="21"/>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20"/>
        <w:spacing w:after="0"/>
        <w:rPr>
          <w:sz w:val="20"/>
          <w:szCs w:val="20"/>
          <w:color w:val="auto"/>
        </w:rPr>
      </w:pPr>
      <w:r>
        <w:rPr>
          <w:rFonts w:ascii="Arial" w:cs="Arial" w:eastAsia="Arial" w:hAnsi="Arial"/>
          <w:sz w:val="22"/>
          <w:szCs w:val="22"/>
          <w:color w:val="auto"/>
        </w:rPr>
        <w:t>Net loss per share attributable to Civeo Corporation common shareholders:</w:t>
      </w:r>
    </w:p>
    <w:p>
      <w:pPr>
        <w:sectPr>
          <w:pgSz w:w="11900" w:h="16838" w:orient="portrait"/>
          <w:cols w:equalWidth="0" w:num="1">
            <w:col w:w="11380"/>
          </w:cols>
          <w:pgMar w:left="240" w:top="118" w:right="27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1"/>
        </w:trPr>
        <w:tc>
          <w:tcPr>
            <w:tcW w:w="5340" w:type="dxa"/>
            <w:vAlign w:val="bottom"/>
          </w:tcPr>
          <w:p>
            <w:pPr>
              <w:ind w:left="100"/>
              <w:spacing w:after="0"/>
              <w:rPr>
                <w:sz w:val="20"/>
                <w:szCs w:val="20"/>
                <w:color w:val="auto"/>
              </w:rPr>
            </w:pPr>
            <w:r>
              <w:rPr>
                <w:rFonts w:ascii="Arial" w:cs="Arial" w:eastAsia="Arial" w:hAnsi="Arial"/>
                <w:sz w:val="22"/>
                <w:szCs w:val="22"/>
                <w:color w:val="auto"/>
              </w:rPr>
              <w:t>Basic</w:t>
            </w:r>
          </w:p>
        </w:tc>
        <w:tc>
          <w:tcPr>
            <w:tcW w:w="6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(0.36)</w:t>
            </w:r>
          </w:p>
        </w:tc>
        <w:tc>
          <w:tcPr>
            <w:tcW w:w="3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(0.15)</w:t>
            </w:r>
          </w:p>
        </w:tc>
        <w:tc>
          <w:tcPr>
            <w:tcW w:w="38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(0.82)</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(0.90)</w:t>
            </w:r>
          </w:p>
        </w:tc>
      </w:tr>
      <w:tr>
        <w:trPr>
          <w:trHeight w:val="275"/>
        </w:trPr>
        <w:tc>
          <w:tcPr>
            <w:tcW w:w="5340" w:type="dxa"/>
            <w:vAlign w:val="bottom"/>
          </w:tcPr>
          <w:p>
            <w:pPr>
              <w:ind w:left="100"/>
              <w:spacing w:after="0"/>
              <w:rPr>
                <w:sz w:val="20"/>
                <w:szCs w:val="20"/>
                <w:color w:val="auto"/>
              </w:rPr>
            </w:pPr>
            <w:r>
              <w:rPr>
                <w:rFonts w:ascii="Arial" w:cs="Arial" w:eastAsia="Arial" w:hAnsi="Arial"/>
                <w:sz w:val="22"/>
                <w:szCs w:val="22"/>
                <w:color w:val="auto"/>
              </w:rPr>
              <w:t>Diluted</w:t>
            </w:r>
          </w:p>
        </w:tc>
        <w:tc>
          <w:tcPr>
            <w:tcW w:w="60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(0.36)</w:t>
            </w:r>
          </w:p>
        </w:tc>
        <w:tc>
          <w:tcPr>
            <w:tcW w:w="3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(0.15)</w:t>
            </w:r>
          </w:p>
        </w:tc>
        <w:tc>
          <w:tcPr>
            <w:tcW w:w="38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(0.82)</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00" w:type="dxa"/>
            <w:vAlign w:val="bottom"/>
          </w:tcPr>
          <w:p>
            <w:pPr>
              <w:jc w:val="right"/>
              <w:spacing w:after="0"/>
              <w:rPr>
                <w:sz w:val="20"/>
                <w:szCs w:val="20"/>
                <w:color w:val="auto"/>
              </w:rPr>
            </w:pPr>
            <w:r>
              <w:rPr>
                <w:rFonts w:ascii="Arial" w:cs="Arial" w:eastAsia="Arial" w:hAnsi="Arial"/>
                <w:sz w:val="22"/>
                <w:szCs w:val="22"/>
                <w:color w:val="auto"/>
              </w:rPr>
              <w:t>(0.90)</w:t>
            </w:r>
          </w:p>
        </w:tc>
      </w:tr>
      <w:tr>
        <w:trPr>
          <w:trHeight w:val="536"/>
        </w:trPr>
        <w:tc>
          <w:tcPr>
            <w:tcW w:w="5340" w:type="dxa"/>
            <w:vAlign w:val="bottom"/>
          </w:tcPr>
          <w:p>
            <w:pPr>
              <w:spacing w:after="0"/>
              <w:rPr>
                <w:sz w:val="20"/>
                <w:szCs w:val="20"/>
                <w:color w:val="auto"/>
              </w:rPr>
            </w:pPr>
            <w:r>
              <w:rPr>
                <w:rFonts w:ascii="Arial" w:cs="Arial" w:eastAsia="Arial" w:hAnsi="Arial"/>
                <w:sz w:val="22"/>
                <w:szCs w:val="22"/>
                <w:color w:val="auto"/>
                <w:w w:val="92"/>
              </w:rPr>
              <w:t>Weighted average number of common shares outstanding:</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5340" w:type="dxa"/>
            <w:vAlign w:val="bottom"/>
          </w:tcPr>
          <w:p>
            <w:pPr>
              <w:ind w:left="100"/>
              <w:spacing w:after="0"/>
              <w:rPr>
                <w:sz w:val="20"/>
                <w:szCs w:val="20"/>
                <w:color w:val="auto"/>
              </w:rPr>
            </w:pPr>
            <w:r>
              <w:rPr>
                <w:rFonts w:ascii="Arial" w:cs="Arial" w:eastAsia="Arial" w:hAnsi="Arial"/>
                <w:sz w:val="22"/>
                <w:szCs w:val="22"/>
                <w:color w:val="auto"/>
              </w:rPr>
              <w:t>Basic</w:t>
            </w:r>
          </w:p>
        </w:tc>
        <w:tc>
          <w:tcPr>
            <w:tcW w:w="60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130,894</w:t>
            </w:r>
          </w:p>
        </w:tc>
        <w:tc>
          <w:tcPr>
            <w:tcW w:w="36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107,128</w:t>
            </w:r>
          </w:p>
        </w:tc>
        <w:tc>
          <w:tcPr>
            <w:tcW w:w="38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22"/>
                <w:szCs w:val="22"/>
                <w:color w:val="auto"/>
              </w:rPr>
              <w:t>128,365</w:t>
            </w: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107,024</w:t>
            </w:r>
          </w:p>
        </w:tc>
      </w:tr>
      <w:tr>
        <w:trPr>
          <w:trHeight w:val="275"/>
        </w:trPr>
        <w:tc>
          <w:tcPr>
            <w:tcW w:w="5340" w:type="dxa"/>
            <w:vAlign w:val="bottom"/>
          </w:tcPr>
          <w:p>
            <w:pPr>
              <w:ind w:left="100"/>
              <w:spacing w:after="0"/>
              <w:rPr>
                <w:sz w:val="20"/>
                <w:szCs w:val="20"/>
                <w:color w:val="auto"/>
              </w:rPr>
            </w:pPr>
            <w:r>
              <w:rPr>
                <w:rFonts w:ascii="Arial" w:cs="Arial" w:eastAsia="Arial" w:hAnsi="Arial"/>
                <w:sz w:val="22"/>
                <w:szCs w:val="22"/>
                <w:color w:val="auto"/>
              </w:rPr>
              <w:t>Diluted</w:t>
            </w:r>
          </w:p>
        </w:tc>
        <w:tc>
          <w:tcPr>
            <w:tcW w:w="60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130,894</w:t>
            </w:r>
          </w:p>
        </w:tc>
        <w:tc>
          <w:tcPr>
            <w:tcW w:w="36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107,128</w:t>
            </w:r>
          </w:p>
        </w:tc>
        <w:tc>
          <w:tcPr>
            <w:tcW w:w="38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22"/>
                <w:szCs w:val="22"/>
                <w:color w:val="auto"/>
              </w:rPr>
              <w:t>128,365</w:t>
            </w: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107,024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0" w:type="dxa"/>
            <w:vAlign w:val="bottom"/>
            <w:gridSpan w:val="2"/>
          </w:tcPr>
          <w:p>
            <w:pPr>
              <w:ind w:left="100"/>
              <w:spacing w:after="0"/>
              <w:rPr>
                <w:sz w:val="20"/>
                <w:szCs w:val="20"/>
                <w:color w:val="auto"/>
              </w:rPr>
            </w:pPr>
            <w:r>
              <w:rPr>
                <w:rFonts w:ascii="Arial" w:cs="Arial" w:eastAsia="Arial" w:hAnsi="Arial"/>
                <w:sz w:val="22"/>
                <w:szCs w:val="22"/>
                <w:b w:val="1"/>
                <w:bCs w:val="1"/>
                <w:color w:val="auto"/>
              </w:rPr>
              <w:t>DECEMBER 31,</w:t>
            </w:r>
          </w:p>
        </w:tc>
        <w:tc>
          <w:tcPr>
            <w:tcW w:w="340" w:type="dxa"/>
            <w:vAlign w:val="bottom"/>
          </w:tcPr>
          <w:p>
            <w:pPr>
              <w:spacing w:after="0"/>
              <w:rPr>
                <w:sz w:val="21"/>
                <w:szCs w:val="21"/>
                <w:color w:val="auto"/>
              </w:rPr>
            </w:pPr>
          </w:p>
        </w:tc>
        <w:tc>
          <w:tcPr>
            <w:tcW w:w="2080" w:type="dxa"/>
            <w:vAlign w:val="bottom"/>
          </w:tcPr>
          <w:p>
            <w:pPr>
              <w:jc w:val="right"/>
              <w:ind w:right="312"/>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81"/>
        </w:trPr>
        <w:tc>
          <w:tcPr>
            <w:tcW w:w="6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85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852"/>
              <w:spacing w:after="0"/>
              <w:rPr>
                <w:sz w:val="20"/>
                <w:szCs w:val="20"/>
                <w:color w:val="auto"/>
              </w:rPr>
            </w:pPr>
            <w:r>
              <w:rPr>
                <w:rFonts w:ascii="Arial" w:cs="Arial" w:eastAsia="Arial" w:hAnsi="Arial"/>
                <w:sz w:val="22"/>
                <w:szCs w:val="22"/>
                <w:b w:val="1"/>
                <w:bCs w:val="1"/>
                <w:color w:val="auto"/>
              </w:rPr>
              <w:t>2016</w:t>
            </w:r>
          </w:p>
        </w:tc>
        <w:tc>
          <w:tcPr>
            <w:tcW w:w="0" w:type="dxa"/>
            <w:vAlign w:val="bottom"/>
          </w:tcPr>
          <w:p>
            <w:pPr>
              <w:spacing w:after="0"/>
              <w:rPr>
                <w:sz w:val="1"/>
                <w:szCs w:val="1"/>
                <w:color w:val="auto"/>
              </w:rPr>
            </w:pPr>
          </w:p>
        </w:tc>
      </w:tr>
      <w:tr>
        <w:trPr>
          <w:trHeight w:val="278"/>
        </w:trPr>
        <w:tc>
          <w:tcPr>
            <w:tcW w:w="6320" w:type="dxa"/>
            <w:vAlign w:val="bottom"/>
            <w:vMerge w:val="restart"/>
          </w:tcPr>
          <w:p>
            <w:pPr>
              <w:spacing w:after="0"/>
              <w:rPr>
                <w:sz w:val="20"/>
                <w:szCs w:val="20"/>
                <w:color w:val="auto"/>
              </w:rPr>
            </w:pPr>
            <w:r>
              <w:rPr>
                <w:rFonts w:ascii="Arial" w:cs="Arial" w:eastAsia="Arial" w:hAnsi="Arial"/>
                <w:sz w:val="22"/>
                <w:szCs w:val="22"/>
                <w:color w:val="auto"/>
              </w:rPr>
              <w:t>Current assets:</w:t>
            </w:r>
          </w:p>
        </w:tc>
        <w:tc>
          <w:tcPr>
            <w:tcW w:w="320" w:type="dxa"/>
            <w:vAlign w:val="bottom"/>
          </w:tcPr>
          <w:p>
            <w:pPr>
              <w:spacing w:after="0"/>
              <w:rPr>
                <w:sz w:val="24"/>
                <w:szCs w:val="24"/>
                <w:color w:val="auto"/>
              </w:rPr>
            </w:pPr>
          </w:p>
        </w:tc>
        <w:tc>
          <w:tcPr>
            <w:tcW w:w="2080" w:type="dxa"/>
            <w:vAlign w:val="bottom"/>
          </w:tcPr>
          <w:p>
            <w:pPr>
              <w:jc w:val="right"/>
              <w:ind w:right="352"/>
              <w:spacing w:after="0"/>
              <w:rPr>
                <w:sz w:val="20"/>
                <w:szCs w:val="20"/>
                <w:color w:val="auto"/>
              </w:rPr>
            </w:pPr>
            <w:r>
              <w:rPr>
                <w:rFonts w:ascii="Arial" w:cs="Arial" w:eastAsia="Arial" w:hAnsi="Arial"/>
                <w:sz w:val="22"/>
                <w:szCs w:val="22"/>
                <w:b w:val="1"/>
                <w:bCs w:val="1"/>
                <w:color w:val="auto"/>
              </w:rPr>
              <w:t>(UNAUDITED)</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3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320" w:type="dxa"/>
            <w:vAlign w:val="bottom"/>
          </w:tcPr>
          <w:p>
            <w:pPr>
              <w:ind w:left="100"/>
              <w:spacing w:after="0"/>
              <w:rPr>
                <w:sz w:val="20"/>
                <w:szCs w:val="20"/>
                <w:color w:val="auto"/>
              </w:rPr>
            </w:pPr>
            <w:r>
              <w:rPr>
                <w:rFonts w:ascii="Arial" w:cs="Arial" w:eastAsia="Arial" w:hAnsi="Arial"/>
                <w:sz w:val="22"/>
                <w:szCs w:val="22"/>
                <w:color w:val="auto"/>
              </w:rPr>
              <w:t>Cash and cash equivalents</w:t>
            </w: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32,647</w:t>
            </w:r>
          </w:p>
        </w:tc>
        <w:tc>
          <w:tcPr>
            <w:tcW w:w="1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1,785</w:t>
            </w:r>
          </w:p>
        </w:tc>
        <w:tc>
          <w:tcPr>
            <w:tcW w:w="0" w:type="dxa"/>
            <w:vAlign w:val="bottom"/>
          </w:tcPr>
          <w:p>
            <w:pPr>
              <w:spacing w:after="0"/>
              <w:rPr>
                <w:sz w:val="1"/>
                <w:szCs w:val="1"/>
                <w:color w:val="auto"/>
              </w:rPr>
            </w:pPr>
          </w:p>
        </w:tc>
      </w:tr>
      <w:tr>
        <w:trPr>
          <w:trHeight w:val="270"/>
        </w:trPr>
        <w:tc>
          <w:tcPr>
            <w:tcW w:w="6320" w:type="dxa"/>
            <w:vAlign w:val="bottom"/>
          </w:tcPr>
          <w:p>
            <w:pPr>
              <w:ind w:left="100"/>
              <w:spacing w:after="0"/>
              <w:rPr>
                <w:sz w:val="20"/>
                <w:szCs w:val="20"/>
                <w:color w:val="auto"/>
              </w:rPr>
            </w:pPr>
            <w:r>
              <w:rPr>
                <w:rFonts w:ascii="Arial" w:cs="Arial" w:eastAsia="Arial" w:hAnsi="Arial"/>
                <w:sz w:val="22"/>
                <w:szCs w:val="22"/>
                <w:color w:val="auto"/>
              </w:rPr>
              <w:t>Accounts receivable, net</w:t>
            </w:r>
          </w:p>
        </w:tc>
        <w:tc>
          <w:tcPr>
            <w:tcW w:w="32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66,823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56,302</w:t>
            </w:r>
          </w:p>
        </w:tc>
        <w:tc>
          <w:tcPr>
            <w:tcW w:w="0" w:type="dxa"/>
            <w:vAlign w:val="bottom"/>
          </w:tcPr>
          <w:p>
            <w:pPr>
              <w:spacing w:after="0"/>
              <w:rPr>
                <w:sz w:val="1"/>
                <w:szCs w:val="1"/>
                <w:color w:val="auto"/>
              </w:rPr>
            </w:pPr>
          </w:p>
        </w:tc>
      </w:tr>
      <w:tr>
        <w:trPr>
          <w:trHeight w:val="270"/>
        </w:trPr>
        <w:tc>
          <w:tcPr>
            <w:tcW w:w="6320" w:type="dxa"/>
            <w:vAlign w:val="bottom"/>
          </w:tcPr>
          <w:p>
            <w:pPr>
              <w:ind w:left="100"/>
              <w:spacing w:after="0"/>
              <w:rPr>
                <w:sz w:val="20"/>
                <w:szCs w:val="20"/>
                <w:color w:val="auto"/>
              </w:rPr>
            </w:pPr>
            <w:r>
              <w:rPr>
                <w:rFonts w:ascii="Arial" w:cs="Arial" w:eastAsia="Arial" w:hAnsi="Arial"/>
                <w:sz w:val="22"/>
                <w:szCs w:val="22"/>
                <w:color w:val="auto"/>
              </w:rPr>
              <w:t>Inventories</w:t>
            </w:r>
          </w:p>
        </w:tc>
        <w:tc>
          <w:tcPr>
            <w:tcW w:w="32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7,246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3,112</w:t>
            </w:r>
          </w:p>
        </w:tc>
        <w:tc>
          <w:tcPr>
            <w:tcW w:w="0" w:type="dxa"/>
            <w:vAlign w:val="bottom"/>
          </w:tcPr>
          <w:p>
            <w:pPr>
              <w:spacing w:after="0"/>
              <w:rPr>
                <w:sz w:val="1"/>
                <w:szCs w:val="1"/>
                <w:color w:val="auto"/>
              </w:rPr>
            </w:pPr>
          </w:p>
        </w:tc>
      </w:tr>
      <w:tr>
        <w:trPr>
          <w:trHeight w:val="270"/>
        </w:trPr>
        <w:tc>
          <w:tcPr>
            <w:tcW w:w="6320" w:type="dxa"/>
            <w:vAlign w:val="bottom"/>
          </w:tcPr>
          <w:p>
            <w:pPr>
              <w:ind w:left="100"/>
              <w:spacing w:after="0"/>
              <w:rPr>
                <w:sz w:val="20"/>
                <w:szCs w:val="20"/>
                <w:color w:val="auto"/>
              </w:rPr>
            </w:pPr>
            <w:r>
              <w:rPr>
                <w:rFonts w:ascii="Arial" w:cs="Arial" w:eastAsia="Arial" w:hAnsi="Arial"/>
                <w:sz w:val="22"/>
                <w:szCs w:val="22"/>
                <w:color w:val="auto"/>
              </w:rPr>
              <w:t>Assets held for sale</w:t>
            </w:r>
          </w:p>
        </w:tc>
        <w:tc>
          <w:tcPr>
            <w:tcW w:w="32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9,462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4,419</w:t>
            </w:r>
          </w:p>
        </w:tc>
        <w:tc>
          <w:tcPr>
            <w:tcW w:w="0" w:type="dxa"/>
            <w:vAlign w:val="bottom"/>
          </w:tcPr>
          <w:p>
            <w:pPr>
              <w:spacing w:after="0"/>
              <w:rPr>
                <w:sz w:val="1"/>
                <w:szCs w:val="1"/>
                <w:color w:val="auto"/>
              </w:rPr>
            </w:pPr>
          </w:p>
        </w:tc>
      </w:tr>
      <w:tr>
        <w:trPr>
          <w:trHeight w:val="275"/>
        </w:trPr>
        <w:tc>
          <w:tcPr>
            <w:tcW w:w="6320" w:type="dxa"/>
            <w:vAlign w:val="bottom"/>
          </w:tcPr>
          <w:p>
            <w:pPr>
              <w:ind w:left="100"/>
              <w:spacing w:after="0"/>
              <w:rPr>
                <w:sz w:val="20"/>
                <w:szCs w:val="20"/>
                <w:color w:val="auto"/>
              </w:rPr>
            </w:pPr>
            <w:r>
              <w:rPr>
                <w:rFonts w:ascii="Arial" w:cs="Arial" w:eastAsia="Arial" w:hAnsi="Arial"/>
                <w:sz w:val="22"/>
                <w:szCs w:val="22"/>
                <w:color w:val="auto"/>
              </w:rPr>
              <w:t>Prepaid expenses and other current assets</w:t>
            </w:r>
          </w:p>
        </w:tc>
        <w:tc>
          <w:tcPr>
            <w:tcW w:w="3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16,034</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16,950</w:t>
            </w:r>
          </w:p>
        </w:tc>
        <w:tc>
          <w:tcPr>
            <w:tcW w:w="0" w:type="dxa"/>
            <w:vAlign w:val="bottom"/>
          </w:tcPr>
          <w:p>
            <w:pPr>
              <w:spacing w:after="0"/>
              <w:rPr>
                <w:sz w:val="1"/>
                <w:szCs w:val="1"/>
                <w:color w:val="auto"/>
              </w:rPr>
            </w:pPr>
          </w:p>
        </w:tc>
      </w:tr>
      <w:tr>
        <w:trPr>
          <w:trHeight w:val="272"/>
        </w:trPr>
        <w:tc>
          <w:tcPr>
            <w:tcW w:w="6320" w:type="dxa"/>
            <w:vAlign w:val="bottom"/>
          </w:tcPr>
          <w:p>
            <w:pPr>
              <w:ind w:left="240"/>
              <w:spacing w:after="0"/>
              <w:rPr>
                <w:sz w:val="20"/>
                <w:szCs w:val="20"/>
                <w:color w:val="auto"/>
              </w:rPr>
            </w:pPr>
            <w:r>
              <w:rPr>
                <w:rFonts w:ascii="Arial" w:cs="Arial" w:eastAsia="Arial" w:hAnsi="Arial"/>
                <w:sz w:val="22"/>
                <w:szCs w:val="22"/>
                <w:color w:val="auto"/>
              </w:rPr>
              <w:t>Total current assets</w:t>
            </w:r>
          </w:p>
        </w:tc>
        <w:tc>
          <w:tcPr>
            <w:tcW w:w="32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132,212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82,568</w:t>
            </w:r>
          </w:p>
        </w:tc>
        <w:tc>
          <w:tcPr>
            <w:tcW w:w="0" w:type="dxa"/>
            <w:vAlign w:val="bottom"/>
          </w:tcPr>
          <w:p>
            <w:pPr>
              <w:spacing w:after="0"/>
              <w:rPr>
                <w:sz w:val="1"/>
                <w:szCs w:val="1"/>
                <w:color w:val="auto"/>
              </w:rPr>
            </w:pPr>
          </w:p>
        </w:tc>
      </w:tr>
      <w:tr>
        <w:trPr>
          <w:trHeight w:val="528"/>
        </w:trPr>
        <w:tc>
          <w:tcPr>
            <w:tcW w:w="6320" w:type="dxa"/>
            <w:vAlign w:val="bottom"/>
          </w:tcPr>
          <w:p>
            <w:pPr>
              <w:spacing w:after="0"/>
              <w:rPr>
                <w:sz w:val="20"/>
                <w:szCs w:val="20"/>
                <w:color w:val="auto"/>
              </w:rPr>
            </w:pPr>
            <w:r>
              <w:rPr>
                <w:rFonts w:ascii="Arial" w:cs="Arial" w:eastAsia="Arial" w:hAnsi="Arial"/>
                <w:sz w:val="22"/>
                <w:szCs w:val="22"/>
                <w:color w:val="auto"/>
              </w:rPr>
              <w:t>Property, plant and equipment, net</w:t>
            </w:r>
          </w:p>
        </w:tc>
        <w:tc>
          <w:tcPr>
            <w:tcW w:w="320" w:type="dxa"/>
            <w:vAlign w:val="bottom"/>
          </w:tcPr>
          <w:p>
            <w:pPr>
              <w:spacing w:after="0"/>
              <w:rPr>
                <w:sz w:val="24"/>
                <w:szCs w:val="24"/>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693,833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789,710</w:t>
            </w:r>
          </w:p>
        </w:tc>
        <w:tc>
          <w:tcPr>
            <w:tcW w:w="0" w:type="dxa"/>
            <w:vAlign w:val="bottom"/>
          </w:tcPr>
          <w:p>
            <w:pPr>
              <w:spacing w:after="0"/>
              <w:rPr>
                <w:sz w:val="1"/>
                <w:szCs w:val="1"/>
                <w:color w:val="auto"/>
              </w:rPr>
            </w:pPr>
          </w:p>
        </w:tc>
      </w:tr>
      <w:tr>
        <w:trPr>
          <w:trHeight w:val="270"/>
        </w:trPr>
        <w:tc>
          <w:tcPr>
            <w:tcW w:w="6320" w:type="dxa"/>
            <w:vAlign w:val="bottom"/>
          </w:tcPr>
          <w:p>
            <w:pPr>
              <w:spacing w:after="0"/>
              <w:rPr>
                <w:sz w:val="20"/>
                <w:szCs w:val="20"/>
                <w:color w:val="auto"/>
              </w:rPr>
            </w:pPr>
            <w:r>
              <w:rPr>
                <w:rFonts w:ascii="Arial" w:cs="Arial" w:eastAsia="Arial" w:hAnsi="Arial"/>
                <w:sz w:val="22"/>
                <w:szCs w:val="22"/>
                <w:color w:val="auto"/>
              </w:rPr>
              <w:t>Other intangible assets, net</w:t>
            </w:r>
          </w:p>
        </w:tc>
        <w:tc>
          <w:tcPr>
            <w:tcW w:w="32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22,753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28,039</w:t>
            </w:r>
          </w:p>
        </w:tc>
        <w:tc>
          <w:tcPr>
            <w:tcW w:w="0" w:type="dxa"/>
            <w:vAlign w:val="bottom"/>
          </w:tcPr>
          <w:p>
            <w:pPr>
              <w:spacing w:after="0"/>
              <w:rPr>
                <w:sz w:val="1"/>
                <w:szCs w:val="1"/>
                <w:color w:val="auto"/>
              </w:rPr>
            </w:pPr>
          </w:p>
        </w:tc>
      </w:tr>
      <w:tr>
        <w:trPr>
          <w:trHeight w:val="276"/>
        </w:trPr>
        <w:tc>
          <w:tcPr>
            <w:tcW w:w="632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5,114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10,129</w:t>
            </w:r>
          </w:p>
        </w:tc>
        <w:tc>
          <w:tcPr>
            <w:tcW w:w="0" w:type="dxa"/>
            <w:vAlign w:val="bottom"/>
          </w:tcPr>
          <w:p>
            <w:pPr>
              <w:spacing w:after="0"/>
              <w:rPr>
                <w:sz w:val="1"/>
                <w:szCs w:val="1"/>
                <w:color w:val="auto"/>
              </w:rPr>
            </w:pPr>
          </w:p>
        </w:tc>
      </w:tr>
      <w:tr>
        <w:trPr>
          <w:trHeight w:val="265"/>
        </w:trPr>
        <w:tc>
          <w:tcPr>
            <w:tcW w:w="6320" w:type="dxa"/>
            <w:vAlign w:val="bottom"/>
          </w:tcPr>
          <w:p>
            <w:pPr>
              <w:ind w:left="240"/>
              <w:spacing w:after="0"/>
              <w:rPr>
                <w:sz w:val="20"/>
                <w:szCs w:val="20"/>
                <w:color w:val="auto"/>
              </w:rPr>
            </w:pPr>
            <w:r>
              <w:rPr>
                <w:rFonts w:ascii="Arial" w:cs="Arial" w:eastAsia="Arial" w:hAnsi="Arial"/>
                <w:sz w:val="22"/>
                <w:szCs w:val="22"/>
                <w:color w:val="auto"/>
              </w:rPr>
              <w:t>Total assets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853,912</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910,446</w:t>
            </w:r>
          </w:p>
        </w:tc>
        <w:tc>
          <w:tcPr>
            <w:tcW w:w="0" w:type="dxa"/>
            <w:vAlign w:val="bottom"/>
          </w:tcPr>
          <w:p>
            <w:pPr>
              <w:spacing w:after="0"/>
              <w:rPr>
                <w:sz w:val="1"/>
                <w:szCs w:val="1"/>
                <w:color w:val="auto"/>
              </w:rPr>
            </w:pPr>
          </w:p>
        </w:tc>
      </w:tr>
      <w:tr>
        <w:trPr>
          <w:trHeight w:val="21"/>
        </w:trPr>
        <w:tc>
          <w:tcPr>
            <w:tcW w:w="6320" w:type="dxa"/>
            <w:vAlign w:val="bottom"/>
            <w:vMerge w:val="restart"/>
          </w:tcPr>
          <w:p>
            <w:pPr>
              <w:spacing w:after="0"/>
              <w:rPr>
                <w:sz w:val="20"/>
                <w:szCs w:val="20"/>
                <w:color w:val="auto"/>
              </w:rPr>
            </w:pPr>
            <w:r>
              <w:rPr>
                <w:rFonts w:ascii="Arial" w:cs="Arial" w:eastAsia="Arial" w:hAnsi="Arial"/>
                <w:sz w:val="22"/>
                <w:szCs w:val="22"/>
                <w:color w:val="auto"/>
              </w:rPr>
              <w:t>Current liabilities:</w:t>
            </w: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63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20" w:type="dxa"/>
            <w:vAlign w:val="bottom"/>
          </w:tcPr>
          <w:p>
            <w:pPr>
              <w:ind w:left="100"/>
              <w:spacing w:after="0"/>
              <w:rPr>
                <w:sz w:val="20"/>
                <w:szCs w:val="20"/>
                <w:color w:val="auto"/>
              </w:rPr>
            </w:pPr>
            <w:r>
              <w:rPr>
                <w:rFonts w:ascii="Arial" w:cs="Arial" w:eastAsia="Arial" w:hAnsi="Arial"/>
                <w:sz w:val="22"/>
                <w:szCs w:val="22"/>
                <w:color w:val="auto"/>
              </w:rPr>
              <w:t>Accounts payable</w:t>
            </w: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27,812</w:t>
            </w:r>
          </w:p>
        </w:tc>
        <w:tc>
          <w:tcPr>
            <w:tcW w:w="1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20,675</w:t>
            </w:r>
          </w:p>
        </w:tc>
        <w:tc>
          <w:tcPr>
            <w:tcW w:w="0" w:type="dxa"/>
            <w:vAlign w:val="bottom"/>
          </w:tcPr>
          <w:p>
            <w:pPr>
              <w:spacing w:after="0"/>
              <w:rPr>
                <w:sz w:val="1"/>
                <w:szCs w:val="1"/>
                <w:color w:val="auto"/>
              </w:rPr>
            </w:pPr>
          </w:p>
        </w:tc>
      </w:tr>
      <w:tr>
        <w:trPr>
          <w:trHeight w:val="270"/>
        </w:trPr>
        <w:tc>
          <w:tcPr>
            <w:tcW w:w="6320" w:type="dxa"/>
            <w:vAlign w:val="bottom"/>
          </w:tcPr>
          <w:p>
            <w:pPr>
              <w:ind w:left="100"/>
              <w:spacing w:after="0"/>
              <w:rPr>
                <w:sz w:val="20"/>
                <w:szCs w:val="20"/>
                <w:color w:val="auto"/>
              </w:rPr>
            </w:pPr>
            <w:r>
              <w:rPr>
                <w:rFonts w:ascii="Arial" w:cs="Arial" w:eastAsia="Arial" w:hAnsi="Arial"/>
                <w:sz w:val="22"/>
                <w:szCs w:val="22"/>
                <w:color w:val="auto"/>
              </w:rPr>
              <w:t>Accrued liabilities</w:t>
            </w:r>
          </w:p>
        </w:tc>
        <w:tc>
          <w:tcPr>
            <w:tcW w:w="32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22,208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14,822</w:t>
            </w:r>
          </w:p>
        </w:tc>
        <w:tc>
          <w:tcPr>
            <w:tcW w:w="0" w:type="dxa"/>
            <w:vAlign w:val="bottom"/>
          </w:tcPr>
          <w:p>
            <w:pPr>
              <w:spacing w:after="0"/>
              <w:rPr>
                <w:sz w:val="1"/>
                <w:szCs w:val="1"/>
                <w:color w:val="auto"/>
              </w:rPr>
            </w:pPr>
          </w:p>
        </w:tc>
      </w:tr>
      <w:tr>
        <w:trPr>
          <w:trHeight w:val="270"/>
        </w:trPr>
        <w:tc>
          <w:tcPr>
            <w:tcW w:w="6320" w:type="dxa"/>
            <w:vAlign w:val="bottom"/>
          </w:tcPr>
          <w:p>
            <w:pPr>
              <w:ind w:left="100"/>
              <w:spacing w:after="0"/>
              <w:rPr>
                <w:sz w:val="20"/>
                <w:szCs w:val="20"/>
                <w:color w:val="auto"/>
              </w:rPr>
            </w:pPr>
            <w:r>
              <w:rPr>
                <w:rFonts w:ascii="Arial" w:cs="Arial" w:eastAsia="Arial" w:hAnsi="Arial"/>
                <w:sz w:val="22"/>
                <w:szCs w:val="22"/>
                <w:color w:val="auto"/>
              </w:rPr>
              <w:t>Income taxes</w:t>
            </w:r>
          </w:p>
        </w:tc>
        <w:tc>
          <w:tcPr>
            <w:tcW w:w="32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1,728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111</w:t>
            </w:r>
          </w:p>
        </w:tc>
        <w:tc>
          <w:tcPr>
            <w:tcW w:w="0" w:type="dxa"/>
            <w:vAlign w:val="bottom"/>
          </w:tcPr>
          <w:p>
            <w:pPr>
              <w:spacing w:after="0"/>
              <w:rPr>
                <w:sz w:val="1"/>
                <w:szCs w:val="1"/>
                <w:color w:val="auto"/>
              </w:rPr>
            </w:pPr>
          </w:p>
        </w:tc>
      </w:tr>
      <w:tr>
        <w:trPr>
          <w:trHeight w:val="270"/>
        </w:trPr>
        <w:tc>
          <w:tcPr>
            <w:tcW w:w="6320" w:type="dxa"/>
            <w:vAlign w:val="bottom"/>
          </w:tcPr>
          <w:p>
            <w:pPr>
              <w:ind w:left="100"/>
              <w:spacing w:after="0"/>
              <w:rPr>
                <w:sz w:val="20"/>
                <w:szCs w:val="20"/>
                <w:color w:val="auto"/>
              </w:rPr>
            </w:pPr>
            <w:r>
              <w:rPr>
                <w:rFonts w:ascii="Arial" w:cs="Arial" w:eastAsia="Arial" w:hAnsi="Arial"/>
                <w:sz w:val="22"/>
                <w:szCs w:val="22"/>
                <w:color w:val="auto"/>
              </w:rPr>
              <w:t>Current portion of long-term debt</w:t>
            </w:r>
          </w:p>
        </w:tc>
        <w:tc>
          <w:tcPr>
            <w:tcW w:w="32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16,596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15,471</w:t>
            </w:r>
          </w:p>
        </w:tc>
        <w:tc>
          <w:tcPr>
            <w:tcW w:w="0" w:type="dxa"/>
            <w:vAlign w:val="bottom"/>
          </w:tcPr>
          <w:p>
            <w:pPr>
              <w:spacing w:after="0"/>
              <w:rPr>
                <w:sz w:val="1"/>
                <w:szCs w:val="1"/>
                <w:color w:val="auto"/>
              </w:rPr>
            </w:pPr>
          </w:p>
        </w:tc>
      </w:tr>
      <w:tr>
        <w:trPr>
          <w:trHeight w:val="270"/>
        </w:trPr>
        <w:tc>
          <w:tcPr>
            <w:tcW w:w="6320" w:type="dxa"/>
            <w:vAlign w:val="bottom"/>
          </w:tcPr>
          <w:p>
            <w:pPr>
              <w:ind w:left="100"/>
              <w:spacing w:after="0"/>
              <w:rPr>
                <w:sz w:val="20"/>
                <w:szCs w:val="20"/>
                <w:color w:val="auto"/>
              </w:rPr>
            </w:pPr>
            <w:r>
              <w:rPr>
                <w:rFonts w:ascii="Arial" w:cs="Arial" w:eastAsia="Arial" w:hAnsi="Arial"/>
                <w:sz w:val="22"/>
                <w:szCs w:val="22"/>
                <w:color w:val="auto"/>
              </w:rPr>
              <w:t>Deferred revenue</w:t>
            </w:r>
          </w:p>
        </w:tc>
        <w:tc>
          <w:tcPr>
            <w:tcW w:w="32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5,442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6,792</w:t>
            </w:r>
          </w:p>
        </w:tc>
        <w:tc>
          <w:tcPr>
            <w:tcW w:w="0" w:type="dxa"/>
            <w:vAlign w:val="bottom"/>
          </w:tcPr>
          <w:p>
            <w:pPr>
              <w:spacing w:after="0"/>
              <w:rPr>
                <w:sz w:val="1"/>
                <w:szCs w:val="1"/>
                <w:color w:val="auto"/>
              </w:rPr>
            </w:pPr>
          </w:p>
        </w:tc>
      </w:tr>
      <w:tr>
        <w:trPr>
          <w:trHeight w:val="275"/>
        </w:trPr>
        <w:tc>
          <w:tcPr>
            <w:tcW w:w="6320" w:type="dxa"/>
            <w:vAlign w:val="bottom"/>
          </w:tcPr>
          <w:p>
            <w:pPr>
              <w:ind w:left="100"/>
              <w:spacing w:after="0"/>
              <w:rPr>
                <w:sz w:val="20"/>
                <w:szCs w:val="20"/>
                <w:color w:val="auto"/>
              </w:rPr>
            </w:pPr>
            <w:r>
              <w:rPr>
                <w:rFonts w:ascii="Arial" w:cs="Arial" w:eastAsia="Arial" w:hAnsi="Arial"/>
                <w:sz w:val="22"/>
                <w:szCs w:val="22"/>
                <w:color w:val="auto"/>
              </w:rPr>
              <w:t>Other current liabilities</w:t>
            </w:r>
          </w:p>
        </w:tc>
        <w:tc>
          <w:tcPr>
            <w:tcW w:w="3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1,843</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2,572</w:t>
            </w:r>
          </w:p>
        </w:tc>
        <w:tc>
          <w:tcPr>
            <w:tcW w:w="0" w:type="dxa"/>
            <w:vAlign w:val="bottom"/>
          </w:tcPr>
          <w:p>
            <w:pPr>
              <w:spacing w:after="0"/>
              <w:rPr>
                <w:sz w:val="1"/>
                <w:szCs w:val="1"/>
                <w:color w:val="auto"/>
              </w:rPr>
            </w:pPr>
          </w:p>
        </w:tc>
      </w:tr>
      <w:tr>
        <w:trPr>
          <w:trHeight w:val="272"/>
        </w:trPr>
        <w:tc>
          <w:tcPr>
            <w:tcW w:w="6320" w:type="dxa"/>
            <w:vAlign w:val="bottom"/>
          </w:tcPr>
          <w:p>
            <w:pPr>
              <w:ind w:left="240"/>
              <w:spacing w:after="0"/>
              <w:rPr>
                <w:sz w:val="20"/>
                <w:szCs w:val="20"/>
                <w:color w:val="auto"/>
              </w:rPr>
            </w:pPr>
            <w:r>
              <w:rPr>
                <w:rFonts w:ascii="Arial" w:cs="Arial" w:eastAsia="Arial" w:hAnsi="Arial"/>
                <w:sz w:val="22"/>
                <w:szCs w:val="22"/>
                <w:color w:val="auto"/>
              </w:rPr>
              <w:t>Total current liabilities</w:t>
            </w:r>
          </w:p>
        </w:tc>
        <w:tc>
          <w:tcPr>
            <w:tcW w:w="32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75,629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60,443</w:t>
            </w:r>
          </w:p>
        </w:tc>
        <w:tc>
          <w:tcPr>
            <w:tcW w:w="0" w:type="dxa"/>
            <w:vAlign w:val="bottom"/>
          </w:tcPr>
          <w:p>
            <w:pPr>
              <w:spacing w:after="0"/>
              <w:rPr>
                <w:sz w:val="1"/>
                <w:szCs w:val="1"/>
                <w:color w:val="auto"/>
              </w:rPr>
            </w:pPr>
          </w:p>
        </w:tc>
      </w:tr>
      <w:tr>
        <w:trPr>
          <w:trHeight w:val="528"/>
        </w:trPr>
        <w:tc>
          <w:tcPr>
            <w:tcW w:w="6320" w:type="dxa"/>
            <w:vAlign w:val="bottom"/>
          </w:tcPr>
          <w:p>
            <w:pPr>
              <w:spacing w:after="0"/>
              <w:rPr>
                <w:sz w:val="20"/>
                <w:szCs w:val="20"/>
                <w:color w:val="auto"/>
              </w:rPr>
            </w:pPr>
            <w:r>
              <w:rPr>
                <w:rFonts w:ascii="Arial" w:cs="Arial" w:eastAsia="Arial" w:hAnsi="Arial"/>
                <w:sz w:val="22"/>
                <w:szCs w:val="22"/>
                <w:color w:val="auto"/>
              </w:rPr>
              <w:t>Long-term debt to third-parties</w:t>
            </w:r>
          </w:p>
        </w:tc>
        <w:tc>
          <w:tcPr>
            <w:tcW w:w="320" w:type="dxa"/>
            <w:vAlign w:val="bottom"/>
          </w:tcPr>
          <w:p>
            <w:pPr>
              <w:spacing w:after="0"/>
              <w:rPr>
                <w:sz w:val="24"/>
                <w:szCs w:val="24"/>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277,990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337,800</w:t>
            </w:r>
          </w:p>
        </w:tc>
        <w:tc>
          <w:tcPr>
            <w:tcW w:w="0" w:type="dxa"/>
            <w:vAlign w:val="bottom"/>
          </w:tcPr>
          <w:p>
            <w:pPr>
              <w:spacing w:after="0"/>
              <w:rPr>
                <w:sz w:val="1"/>
                <w:szCs w:val="1"/>
                <w:color w:val="auto"/>
              </w:rPr>
            </w:pPr>
          </w:p>
        </w:tc>
      </w:tr>
      <w:tr>
        <w:trPr>
          <w:trHeight w:val="270"/>
        </w:trPr>
        <w:tc>
          <w:tcPr>
            <w:tcW w:w="6320" w:type="dxa"/>
            <w:vAlign w:val="bottom"/>
          </w:tcPr>
          <w:p>
            <w:pPr>
              <w:spacing w:after="0"/>
              <w:rPr>
                <w:sz w:val="20"/>
                <w:szCs w:val="20"/>
                <w:color w:val="auto"/>
              </w:rPr>
            </w:pPr>
            <w:r>
              <w:rPr>
                <w:rFonts w:ascii="Arial" w:cs="Arial" w:eastAsia="Arial" w:hAnsi="Arial"/>
                <w:sz w:val="22"/>
                <w:szCs w:val="22"/>
                <w:color w:val="auto"/>
              </w:rPr>
              <w:t>Deferred income taxes</w:t>
            </w:r>
          </w:p>
        </w:tc>
        <w:tc>
          <w:tcPr>
            <w:tcW w:w="32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9,194</w:t>
            </w:r>
          </w:p>
        </w:tc>
        <w:tc>
          <w:tcPr>
            <w:tcW w:w="0" w:type="dxa"/>
            <w:vAlign w:val="bottom"/>
          </w:tcPr>
          <w:p>
            <w:pPr>
              <w:spacing w:after="0"/>
              <w:rPr>
                <w:sz w:val="1"/>
                <w:szCs w:val="1"/>
                <w:color w:val="auto"/>
              </w:rPr>
            </w:pPr>
          </w:p>
        </w:tc>
      </w:tr>
      <w:tr>
        <w:trPr>
          <w:trHeight w:val="275"/>
        </w:trPr>
        <w:tc>
          <w:tcPr>
            <w:tcW w:w="632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3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23,926</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27,019</w:t>
            </w:r>
          </w:p>
        </w:tc>
        <w:tc>
          <w:tcPr>
            <w:tcW w:w="0" w:type="dxa"/>
            <w:vAlign w:val="bottom"/>
          </w:tcPr>
          <w:p>
            <w:pPr>
              <w:spacing w:after="0"/>
              <w:rPr>
                <w:sz w:val="1"/>
                <w:szCs w:val="1"/>
                <w:color w:val="auto"/>
              </w:rPr>
            </w:pPr>
          </w:p>
        </w:tc>
      </w:tr>
      <w:tr>
        <w:trPr>
          <w:trHeight w:val="272"/>
        </w:trPr>
        <w:tc>
          <w:tcPr>
            <w:tcW w:w="6320" w:type="dxa"/>
            <w:vAlign w:val="bottom"/>
          </w:tcPr>
          <w:p>
            <w:pPr>
              <w:ind w:left="240"/>
              <w:spacing w:after="0"/>
              <w:rPr>
                <w:sz w:val="20"/>
                <w:szCs w:val="20"/>
                <w:color w:val="auto"/>
              </w:rPr>
            </w:pPr>
            <w:r>
              <w:rPr>
                <w:rFonts w:ascii="Arial" w:cs="Arial" w:eastAsia="Arial" w:hAnsi="Arial"/>
                <w:sz w:val="22"/>
                <w:szCs w:val="22"/>
                <w:color w:val="auto"/>
              </w:rPr>
              <w:t>Total liabilities</w:t>
            </w:r>
          </w:p>
        </w:tc>
        <w:tc>
          <w:tcPr>
            <w:tcW w:w="32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377,545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434,456</w:t>
            </w:r>
          </w:p>
        </w:tc>
        <w:tc>
          <w:tcPr>
            <w:tcW w:w="0" w:type="dxa"/>
            <w:vAlign w:val="bottom"/>
          </w:tcPr>
          <w:p>
            <w:pPr>
              <w:spacing w:after="0"/>
              <w:rPr>
                <w:sz w:val="1"/>
                <w:szCs w:val="1"/>
                <w:color w:val="auto"/>
              </w:rPr>
            </w:pPr>
          </w:p>
        </w:tc>
      </w:tr>
      <w:tr>
        <w:trPr>
          <w:trHeight w:val="528"/>
        </w:trPr>
        <w:tc>
          <w:tcPr>
            <w:tcW w:w="6320" w:type="dxa"/>
            <w:vAlign w:val="bottom"/>
          </w:tcPr>
          <w:p>
            <w:pPr>
              <w:spacing w:after="0"/>
              <w:rPr>
                <w:sz w:val="20"/>
                <w:szCs w:val="20"/>
                <w:color w:val="auto"/>
              </w:rPr>
            </w:pPr>
            <w:r>
              <w:rPr>
                <w:rFonts w:ascii="Arial" w:cs="Arial" w:eastAsia="Arial" w:hAnsi="Arial"/>
                <w:sz w:val="22"/>
                <w:szCs w:val="22"/>
                <w:color w:val="auto"/>
              </w:rPr>
              <w:t>Shareholders' equity:</w:t>
            </w:r>
          </w:p>
        </w:tc>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20" w:type="dxa"/>
            <w:vAlign w:val="bottom"/>
          </w:tcPr>
          <w:p>
            <w:pPr>
              <w:ind w:left="100"/>
              <w:spacing w:after="0"/>
              <w:rPr>
                <w:sz w:val="20"/>
                <w:szCs w:val="20"/>
                <w:color w:val="auto"/>
              </w:rPr>
            </w:pPr>
            <w:r>
              <w:rPr>
                <w:rFonts w:ascii="Arial" w:cs="Arial" w:eastAsia="Arial" w:hAnsi="Arial"/>
                <w:sz w:val="22"/>
                <w:szCs w:val="22"/>
                <w:color w:val="auto"/>
              </w:rPr>
              <w:t>Common shares</w:t>
            </w:r>
          </w:p>
        </w:tc>
        <w:tc>
          <w:tcPr>
            <w:tcW w:w="32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6320" w:type="dxa"/>
            <w:vAlign w:val="bottom"/>
          </w:tcPr>
          <w:p>
            <w:pPr>
              <w:ind w:left="100"/>
              <w:spacing w:after="0"/>
              <w:rPr>
                <w:sz w:val="20"/>
                <w:szCs w:val="20"/>
                <w:color w:val="auto"/>
              </w:rPr>
            </w:pPr>
            <w:r>
              <w:rPr>
                <w:rFonts w:ascii="Arial" w:cs="Arial" w:eastAsia="Arial" w:hAnsi="Arial"/>
                <w:sz w:val="22"/>
                <w:szCs w:val="22"/>
                <w:color w:val="auto"/>
              </w:rPr>
              <w:t>Additional paid-in capital</w:t>
            </w:r>
          </w:p>
        </w:tc>
        <w:tc>
          <w:tcPr>
            <w:tcW w:w="32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1,383,934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1,311,226</w:t>
            </w:r>
          </w:p>
        </w:tc>
        <w:tc>
          <w:tcPr>
            <w:tcW w:w="0" w:type="dxa"/>
            <w:vAlign w:val="bottom"/>
          </w:tcPr>
          <w:p>
            <w:pPr>
              <w:spacing w:after="0"/>
              <w:rPr>
                <w:sz w:val="1"/>
                <w:szCs w:val="1"/>
                <w:color w:val="auto"/>
              </w:rPr>
            </w:pPr>
          </w:p>
        </w:tc>
      </w:tr>
      <w:tr>
        <w:trPr>
          <w:trHeight w:val="270"/>
        </w:trPr>
        <w:tc>
          <w:tcPr>
            <w:tcW w:w="6320" w:type="dxa"/>
            <w:vAlign w:val="bottom"/>
          </w:tcPr>
          <w:p>
            <w:pPr>
              <w:ind w:left="100"/>
              <w:spacing w:after="0"/>
              <w:rPr>
                <w:sz w:val="20"/>
                <w:szCs w:val="20"/>
                <w:color w:val="auto"/>
              </w:rPr>
            </w:pPr>
            <w:r>
              <w:rPr>
                <w:rFonts w:ascii="Arial" w:cs="Arial" w:eastAsia="Arial" w:hAnsi="Arial"/>
                <w:sz w:val="22"/>
                <w:szCs w:val="22"/>
                <w:color w:val="auto"/>
              </w:rPr>
              <w:t>Accumulated deficit</w:t>
            </w:r>
          </w:p>
        </w:tc>
        <w:tc>
          <w:tcPr>
            <w:tcW w:w="320" w:type="dxa"/>
            <w:vAlign w:val="bottom"/>
          </w:tcPr>
          <w:p>
            <w:pPr>
              <w:spacing w:after="0"/>
              <w:rPr>
                <w:sz w:val="23"/>
                <w:szCs w:val="23"/>
                <w:color w:val="auto"/>
              </w:rPr>
            </w:pPr>
          </w:p>
        </w:tc>
        <w:tc>
          <w:tcPr>
            <w:tcW w:w="2080" w:type="dxa"/>
            <w:vAlign w:val="bottom"/>
          </w:tcPr>
          <w:p>
            <w:pPr>
              <w:jc w:val="right"/>
              <w:ind w:right="12"/>
              <w:spacing w:after="0"/>
              <w:rPr>
                <w:sz w:val="20"/>
                <w:szCs w:val="20"/>
                <w:color w:val="auto"/>
              </w:rPr>
            </w:pPr>
            <w:r>
              <w:rPr>
                <w:rFonts w:ascii="Arial" w:cs="Arial" w:eastAsia="Arial" w:hAnsi="Arial"/>
                <w:sz w:val="22"/>
                <w:szCs w:val="22"/>
                <w:color w:val="auto"/>
              </w:rPr>
              <w:t>(579,113)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12"/>
              <w:spacing w:after="0"/>
              <w:rPr>
                <w:sz w:val="20"/>
                <w:szCs w:val="20"/>
                <w:color w:val="auto"/>
              </w:rPr>
            </w:pPr>
            <w:r>
              <w:rPr>
                <w:rFonts w:ascii="Arial" w:cs="Arial" w:eastAsia="Arial" w:hAnsi="Arial"/>
                <w:sz w:val="22"/>
                <w:szCs w:val="22"/>
                <w:color w:val="auto"/>
              </w:rPr>
              <w:t>(472,764)</w:t>
            </w:r>
          </w:p>
        </w:tc>
        <w:tc>
          <w:tcPr>
            <w:tcW w:w="0" w:type="dxa"/>
            <w:vAlign w:val="bottom"/>
          </w:tcPr>
          <w:p>
            <w:pPr>
              <w:spacing w:after="0"/>
              <w:rPr>
                <w:sz w:val="1"/>
                <w:szCs w:val="1"/>
                <w:color w:val="auto"/>
              </w:rPr>
            </w:pPr>
          </w:p>
        </w:tc>
      </w:tr>
      <w:tr>
        <w:trPr>
          <w:trHeight w:val="270"/>
        </w:trPr>
        <w:tc>
          <w:tcPr>
            <w:tcW w:w="6320" w:type="dxa"/>
            <w:vAlign w:val="bottom"/>
          </w:tcPr>
          <w:p>
            <w:pPr>
              <w:ind w:left="100"/>
              <w:spacing w:after="0"/>
              <w:rPr>
                <w:sz w:val="20"/>
                <w:szCs w:val="20"/>
                <w:color w:val="auto"/>
              </w:rPr>
            </w:pPr>
            <w:r>
              <w:rPr>
                <w:rFonts w:ascii="Arial" w:cs="Arial" w:eastAsia="Arial" w:hAnsi="Arial"/>
                <w:sz w:val="22"/>
                <w:szCs w:val="22"/>
                <w:color w:val="auto"/>
              </w:rPr>
              <w:t>Treasury stock</w:t>
            </w:r>
          </w:p>
        </w:tc>
        <w:tc>
          <w:tcPr>
            <w:tcW w:w="320" w:type="dxa"/>
            <w:vAlign w:val="bottom"/>
          </w:tcPr>
          <w:p>
            <w:pPr>
              <w:spacing w:after="0"/>
              <w:rPr>
                <w:sz w:val="23"/>
                <w:szCs w:val="23"/>
                <w:color w:val="auto"/>
              </w:rPr>
            </w:pPr>
          </w:p>
        </w:tc>
        <w:tc>
          <w:tcPr>
            <w:tcW w:w="2080" w:type="dxa"/>
            <w:vAlign w:val="bottom"/>
          </w:tcPr>
          <w:p>
            <w:pPr>
              <w:jc w:val="right"/>
              <w:ind w:right="12"/>
              <w:spacing w:after="0"/>
              <w:rPr>
                <w:sz w:val="20"/>
                <w:szCs w:val="20"/>
                <w:color w:val="auto"/>
              </w:rPr>
            </w:pPr>
            <w:r>
              <w:rPr>
                <w:rFonts w:ascii="Arial" w:cs="Arial" w:eastAsia="Arial" w:hAnsi="Arial"/>
                <w:sz w:val="22"/>
                <w:szCs w:val="22"/>
                <w:color w:val="auto"/>
              </w:rPr>
              <w:t>(358)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12"/>
              <w:spacing w:after="0"/>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75"/>
        </w:trPr>
        <w:tc>
          <w:tcPr>
            <w:tcW w:w="6320" w:type="dxa"/>
            <w:vAlign w:val="bottom"/>
          </w:tcPr>
          <w:p>
            <w:pPr>
              <w:ind w:left="100"/>
              <w:spacing w:after="0"/>
              <w:rPr>
                <w:sz w:val="20"/>
                <w:szCs w:val="20"/>
                <w:color w:val="auto"/>
              </w:rPr>
            </w:pPr>
            <w:r>
              <w:rPr>
                <w:rFonts w:ascii="Arial" w:cs="Arial" w:eastAsia="Arial" w:hAnsi="Arial"/>
                <w:sz w:val="22"/>
                <w:szCs w:val="22"/>
                <w:color w:val="auto"/>
              </w:rPr>
              <w:t>Accumulated other comprehensive loss</w:t>
            </w:r>
          </w:p>
        </w:tc>
        <w:tc>
          <w:tcPr>
            <w:tcW w:w="3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(328,213)</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(362,930)</w:t>
            </w:r>
          </w:p>
        </w:tc>
        <w:tc>
          <w:tcPr>
            <w:tcW w:w="0" w:type="dxa"/>
            <w:vAlign w:val="bottom"/>
          </w:tcPr>
          <w:p>
            <w:pPr>
              <w:spacing w:after="0"/>
              <w:rPr>
                <w:sz w:val="1"/>
                <w:szCs w:val="1"/>
                <w:color w:val="auto"/>
              </w:rPr>
            </w:pPr>
          </w:p>
        </w:tc>
      </w:tr>
      <w:tr>
        <w:trPr>
          <w:trHeight w:val="267"/>
        </w:trPr>
        <w:tc>
          <w:tcPr>
            <w:tcW w:w="6320" w:type="dxa"/>
            <w:vAlign w:val="bottom"/>
          </w:tcPr>
          <w:p>
            <w:pPr>
              <w:ind w:left="240"/>
              <w:spacing w:after="0"/>
              <w:rPr>
                <w:sz w:val="20"/>
                <w:szCs w:val="20"/>
                <w:color w:val="auto"/>
              </w:rPr>
            </w:pPr>
            <w:r>
              <w:rPr>
                <w:rFonts w:ascii="Arial" w:cs="Arial" w:eastAsia="Arial" w:hAnsi="Arial"/>
                <w:sz w:val="22"/>
                <w:szCs w:val="22"/>
                <w:color w:val="auto"/>
              </w:rPr>
              <w:t>Total Civeo Corporation shareholders' equity</w:t>
            </w:r>
          </w:p>
        </w:tc>
        <w:tc>
          <w:tcPr>
            <w:tcW w:w="3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476,250</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475,467</w:t>
            </w:r>
          </w:p>
        </w:tc>
        <w:tc>
          <w:tcPr>
            <w:tcW w:w="0" w:type="dxa"/>
            <w:vAlign w:val="bottom"/>
          </w:tcPr>
          <w:p>
            <w:pPr>
              <w:spacing w:after="0"/>
              <w:rPr>
                <w:sz w:val="1"/>
                <w:szCs w:val="1"/>
                <w:color w:val="auto"/>
              </w:rPr>
            </w:pPr>
          </w:p>
        </w:tc>
      </w:tr>
      <w:tr>
        <w:trPr>
          <w:trHeight w:val="264"/>
        </w:trPr>
        <w:tc>
          <w:tcPr>
            <w:tcW w:w="6320" w:type="dxa"/>
            <w:vAlign w:val="bottom"/>
          </w:tcPr>
          <w:p>
            <w:pPr>
              <w:spacing w:after="0"/>
              <w:rPr>
                <w:sz w:val="20"/>
                <w:szCs w:val="20"/>
                <w:color w:val="auto"/>
              </w:rPr>
            </w:pPr>
            <w:r>
              <w:rPr>
                <w:rFonts w:ascii="Arial" w:cs="Arial" w:eastAsia="Arial" w:hAnsi="Arial"/>
                <w:sz w:val="22"/>
                <w:szCs w:val="22"/>
                <w:color w:val="auto"/>
              </w:rPr>
              <w:t>Noncontrolling interest</w:t>
            </w:r>
          </w:p>
        </w:tc>
        <w:tc>
          <w:tcPr>
            <w:tcW w:w="3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117</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523</w:t>
            </w:r>
          </w:p>
        </w:tc>
        <w:tc>
          <w:tcPr>
            <w:tcW w:w="0" w:type="dxa"/>
            <w:vAlign w:val="bottom"/>
          </w:tcPr>
          <w:p>
            <w:pPr>
              <w:spacing w:after="0"/>
              <w:rPr>
                <w:sz w:val="1"/>
                <w:szCs w:val="1"/>
                <w:color w:val="auto"/>
              </w:rPr>
            </w:pPr>
          </w:p>
        </w:tc>
      </w:tr>
      <w:tr>
        <w:trPr>
          <w:trHeight w:val="264"/>
        </w:trPr>
        <w:tc>
          <w:tcPr>
            <w:tcW w:w="6320" w:type="dxa"/>
            <w:vAlign w:val="bottom"/>
          </w:tcPr>
          <w:p>
            <w:pPr>
              <w:ind w:left="100"/>
              <w:spacing w:after="0"/>
              <w:rPr>
                <w:sz w:val="20"/>
                <w:szCs w:val="20"/>
                <w:color w:val="auto"/>
              </w:rPr>
            </w:pPr>
            <w:r>
              <w:rPr>
                <w:rFonts w:ascii="Arial" w:cs="Arial" w:eastAsia="Arial" w:hAnsi="Arial"/>
                <w:sz w:val="22"/>
                <w:szCs w:val="22"/>
                <w:color w:val="auto"/>
              </w:rPr>
              <w:t>Total shareholders' equity</w:t>
            </w:r>
          </w:p>
        </w:tc>
        <w:tc>
          <w:tcPr>
            <w:tcW w:w="3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476,367</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475,990</w:t>
            </w:r>
          </w:p>
        </w:tc>
        <w:tc>
          <w:tcPr>
            <w:tcW w:w="0" w:type="dxa"/>
            <w:vAlign w:val="bottom"/>
          </w:tcPr>
          <w:p>
            <w:pPr>
              <w:spacing w:after="0"/>
              <w:rPr>
                <w:sz w:val="1"/>
                <w:szCs w:val="1"/>
                <w:color w:val="auto"/>
              </w:rPr>
            </w:pPr>
          </w:p>
        </w:tc>
      </w:tr>
      <w:tr>
        <w:trPr>
          <w:trHeight w:val="264"/>
        </w:trPr>
        <w:tc>
          <w:tcPr>
            <w:tcW w:w="6320" w:type="dxa"/>
            <w:vAlign w:val="bottom"/>
          </w:tcPr>
          <w:p>
            <w:pPr>
              <w:ind w:left="240"/>
              <w:spacing w:after="0"/>
              <w:rPr>
                <w:sz w:val="20"/>
                <w:szCs w:val="20"/>
                <w:color w:val="auto"/>
              </w:rPr>
            </w:pPr>
            <w:r>
              <w:rPr>
                <w:rFonts w:ascii="Arial" w:cs="Arial" w:eastAsia="Arial" w:hAnsi="Arial"/>
                <w:sz w:val="22"/>
                <w:szCs w:val="22"/>
                <w:color w:val="auto"/>
              </w:rPr>
              <w:t>Total liabilities and shareholders' equity</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853,912</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910,446</w:t>
            </w:r>
          </w:p>
        </w:tc>
        <w:tc>
          <w:tcPr>
            <w:tcW w:w="0" w:type="dxa"/>
            <w:vAlign w:val="bottom"/>
          </w:tcPr>
          <w:p>
            <w:pPr>
              <w:spacing w:after="0"/>
              <w:rPr>
                <w:sz w:val="1"/>
                <w:szCs w:val="1"/>
                <w:color w:val="auto"/>
              </w:rPr>
            </w:pPr>
          </w:p>
        </w:tc>
      </w:tr>
      <w:tr>
        <w:trPr>
          <w:trHeight w:val="21"/>
        </w:trPr>
        <w:tc>
          <w:tcPr>
            <w:tcW w:w="6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 CONSOLIDATED STATEMENTS OF CASH FLOWS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w:t>
      </w:r>
    </w:p>
    <w:p>
      <w:pPr>
        <w:sectPr>
          <w:pgSz w:w="11900" w:h="16838" w:orient="portrait"/>
          <w:cols w:equalWidth="0" w:num="1">
            <w:col w:w="11260"/>
          </w:cols>
          <w:pgMar w:left="260" w:top="118" w:right="37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8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60" w:type="dxa"/>
            <w:vAlign w:val="bottom"/>
            <w:gridSpan w:val="4"/>
          </w:tcPr>
          <w:p>
            <w:pPr>
              <w:jc w:val="right"/>
              <w:ind w:right="152"/>
              <w:spacing w:after="0"/>
              <w:rPr>
                <w:sz w:val="20"/>
                <w:szCs w:val="20"/>
                <w:color w:val="auto"/>
              </w:rPr>
            </w:pPr>
            <w:r>
              <w:rPr>
                <w:rFonts w:ascii="Arial" w:cs="Arial" w:eastAsia="Arial" w:hAnsi="Arial"/>
                <w:sz w:val="22"/>
                <w:szCs w:val="22"/>
                <w:b w:val="1"/>
                <w:bCs w:val="1"/>
                <w:color w:val="auto"/>
              </w:rPr>
              <w:t>TWELVE MONTHS ENDED</w:t>
            </w:r>
          </w:p>
        </w:tc>
      </w:tr>
      <w:tr>
        <w:trPr>
          <w:trHeight w:val="270"/>
        </w:trPr>
        <w:tc>
          <w:tcPr>
            <w:tcW w:w="8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60" w:type="dxa"/>
            <w:vAlign w:val="bottom"/>
            <w:gridSpan w:val="4"/>
          </w:tcPr>
          <w:p>
            <w:pPr>
              <w:jc w:val="right"/>
              <w:ind w:right="752"/>
              <w:spacing w:after="0"/>
              <w:rPr>
                <w:sz w:val="20"/>
                <w:szCs w:val="20"/>
                <w:color w:val="auto"/>
              </w:rPr>
            </w:pPr>
            <w:r>
              <w:rPr>
                <w:rFonts w:ascii="Arial" w:cs="Arial" w:eastAsia="Arial" w:hAnsi="Arial"/>
                <w:sz w:val="22"/>
                <w:szCs w:val="22"/>
                <w:b w:val="1"/>
                <w:bCs w:val="1"/>
                <w:color w:val="auto"/>
              </w:rPr>
              <w:t>DECEMBER 31,</w:t>
            </w:r>
          </w:p>
        </w:tc>
      </w:tr>
      <w:tr>
        <w:trPr>
          <w:trHeight w:val="281"/>
        </w:trPr>
        <w:tc>
          <w:tcPr>
            <w:tcW w:w="8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b w:val="1"/>
                <w:bCs w:val="1"/>
                <w:color w:val="auto"/>
              </w:rPr>
              <w:t>2016</w:t>
            </w:r>
          </w:p>
        </w:tc>
      </w:tr>
      <w:tr>
        <w:trPr>
          <w:trHeight w:val="529"/>
        </w:trPr>
        <w:tc>
          <w:tcPr>
            <w:tcW w:w="8020" w:type="dxa"/>
            <w:vAlign w:val="bottom"/>
          </w:tcPr>
          <w:p>
            <w:pPr>
              <w:spacing w:after="0"/>
              <w:rPr>
                <w:sz w:val="20"/>
                <w:szCs w:val="20"/>
                <w:color w:val="auto"/>
              </w:rPr>
            </w:pPr>
            <w:r>
              <w:rPr>
                <w:rFonts w:ascii="Arial" w:cs="Arial" w:eastAsia="Arial" w:hAnsi="Arial"/>
                <w:sz w:val="22"/>
                <w:szCs w:val="22"/>
                <w:color w:val="auto"/>
              </w:rPr>
              <w:t>Cash flows from operating activities: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8020" w:type="dxa"/>
            <w:vAlign w:val="bottom"/>
          </w:tcPr>
          <w:p>
            <w:pPr>
              <w:spacing w:after="0"/>
              <w:rPr>
                <w:sz w:val="20"/>
                <w:szCs w:val="20"/>
                <w:color w:val="auto"/>
              </w:rPr>
            </w:pPr>
            <w:r>
              <w:rPr>
                <w:rFonts w:ascii="Arial" w:cs="Arial" w:eastAsia="Arial" w:hAnsi="Arial"/>
                <w:sz w:val="22"/>
                <w:szCs w:val="22"/>
                <w:color w:val="auto"/>
              </w:rPr>
              <w:t>Net loss</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1400" w:type="dxa"/>
            <w:vAlign w:val="bottom"/>
          </w:tcPr>
          <w:p>
            <w:pPr>
              <w:jc w:val="right"/>
              <w:spacing w:after="0"/>
              <w:rPr>
                <w:sz w:val="20"/>
                <w:szCs w:val="20"/>
                <w:color w:val="auto"/>
              </w:rPr>
            </w:pPr>
            <w:r>
              <w:rPr>
                <w:rFonts w:ascii="Arial" w:cs="Arial" w:eastAsia="Arial" w:hAnsi="Arial"/>
                <w:sz w:val="22"/>
                <w:szCs w:val="22"/>
                <w:color w:val="auto"/>
              </w:rPr>
              <w:t>(105,254)</w:t>
            </w:r>
          </w:p>
        </w:tc>
        <w:tc>
          <w:tcPr>
            <w:tcW w:w="100" w:type="dxa"/>
            <w:vAlign w:val="bottom"/>
          </w:tcPr>
          <w:p>
            <w:pPr>
              <w:spacing w:after="0"/>
              <w:rPr>
                <w:sz w:val="23"/>
                <w:szCs w:val="23"/>
                <w:color w:val="auto"/>
              </w:rPr>
            </w:pPr>
          </w:p>
        </w:tc>
        <w:tc>
          <w:tcPr>
            <w:tcW w:w="38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(95,827)</w:t>
            </w:r>
          </w:p>
        </w:tc>
      </w:tr>
      <w:tr>
        <w:trPr>
          <w:trHeight w:val="270"/>
        </w:trPr>
        <w:tc>
          <w:tcPr>
            <w:tcW w:w="8020" w:type="dxa"/>
            <w:vAlign w:val="bottom"/>
          </w:tcPr>
          <w:p>
            <w:pPr>
              <w:spacing w:after="0"/>
              <w:rPr>
                <w:sz w:val="20"/>
                <w:szCs w:val="20"/>
                <w:color w:val="auto"/>
              </w:rPr>
            </w:pPr>
            <w:r>
              <w:rPr>
                <w:rFonts w:ascii="Arial" w:cs="Arial" w:eastAsia="Arial" w:hAnsi="Arial"/>
                <w:sz w:val="22"/>
                <w:szCs w:val="22"/>
                <w:color w:val="auto"/>
              </w:rPr>
              <w:t>Adjustments to reconcile net loss to net cash provided by operating activities:</w:t>
            </w: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8020" w:type="dxa"/>
            <w:vAlign w:val="bottom"/>
          </w:tcPr>
          <w:p>
            <w:pPr>
              <w:ind w:left="100"/>
              <w:spacing w:after="0"/>
              <w:rPr>
                <w:sz w:val="20"/>
                <w:szCs w:val="20"/>
                <w:color w:val="auto"/>
              </w:rPr>
            </w:pPr>
            <w:r>
              <w:rPr>
                <w:rFonts w:ascii="Arial" w:cs="Arial" w:eastAsia="Arial" w:hAnsi="Arial"/>
                <w:sz w:val="22"/>
                <w:szCs w:val="22"/>
                <w:color w:val="auto"/>
              </w:rPr>
              <w:t>Depreciation and amortization</w:t>
            </w:r>
          </w:p>
        </w:tc>
        <w:tc>
          <w:tcPr>
            <w:tcW w:w="22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126,443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131,302</w:t>
            </w:r>
          </w:p>
        </w:tc>
      </w:tr>
      <w:tr>
        <w:trPr>
          <w:trHeight w:val="270"/>
        </w:trPr>
        <w:tc>
          <w:tcPr>
            <w:tcW w:w="8020" w:type="dxa"/>
            <w:vAlign w:val="bottom"/>
          </w:tcPr>
          <w:p>
            <w:pPr>
              <w:ind w:left="100"/>
              <w:spacing w:after="0"/>
              <w:rPr>
                <w:sz w:val="20"/>
                <w:szCs w:val="20"/>
                <w:color w:val="auto"/>
              </w:rPr>
            </w:pPr>
            <w:r>
              <w:rPr>
                <w:rFonts w:ascii="Arial" w:cs="Arial" w:eastAsia="Arial" w:hAnsi="Arial"/>
                <w:sz w:val="22"/>
                <w:szCs w:val="22"/>
                <w:color w:val="auto"/>
              </w:rPr>
              <w:t>Impairment charges</w:t>
            </w:r>
          </w:p>
        </w:tc>
        <w:tc>
          <w:tcPr>
            <w:tcW w:w="22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31,604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46,129</w:t>
            </w:r>
          </w:p>
        </w:tc>
      </w:tr>
      <w:tr>
        <w:trPr>
          <w:trHeight w:val="270"/>
        </w:trPr>
        <w:tc>
          <w:tcPr>
            <w:tcW w:w="8020" w:type="dxa"/>
            <w:vAlign w:val="bottom"/>
          </w:tcPr>
          <w:p>
            <w:pPr>
              <w:ind w:left="100"/>
              <w:spacing w:after="0"/>
              <w:rPr>
                <w:sz w:val="20"/>
                <w:szCs w:val="20"/>
                <w:color w:val="auto"/>
              </w:rPr>
            </w:pPr>
            <w:r>
              <w:rPr>
                <w:rFonts w:ascii="Arial" w:cs="Arial" w:eastAsia="Arial" w:hAnsi="Arial"/>
                <w:sz w:val="22"/>
                <w:szCs w:val="22"/>
                <w:color w:val="auto"/>
              </w:rPr>
              <w:t>Inventory write-down</w:t>
            </w:r>
          </w:p>
        </w:tc>
        <w:tc>
          <w:tcPr>
            <w:tcW w:w="22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525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850</w:t>
            </w:r>
          </w:p>
        </w:tc>
      </w:tr>
      <w:tr>
        <w:trPr>
          <w:trHeight w:val="270"/>
        </w:trPr>
        <w:tc>
          <w:tcPr>
            <w:tcW w:w="8020" w:type="dxa"/>
            <w:vAlign w:val="bottom"/>
          </w:tcPr>
          <w:p>
            <w:pPr>
              <w:ind w:left="100"/>
              <w:spacing w:after="0"/>
              <w:rPr>
                <w:sz w:val="20"/>
                <w:szCs w:val="20"/>
                <w:color w:val="auto"/>
              </w:rPr>
            </w:pPr>
            <w:r>
              <w:rPr>
                <w:rFonts w:ascii="Arial" w:cs="Arial" w:eastAsia="Arial" w:hAnsi="Arial"/>
                <w:sz w:val="22"/>
                <w:szCs w:val="22"/>
                <w:color w:val="auto"/>
              </w:rPr>
              <w:t>Loss on extinguishment of debt</w:t>
            </w:r>
          </w:p>
        </w:tc>
        <w:tc>
          <w:tcPr>
            <w:tcW w:w="22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842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302</w:t>
            </w:r>
          </w:p>
        </w:tc>
      </w:tr>
      <w:tr>
        <w:trPr>
          <w:trHeight w:val="270"/>
        </w:trPr>
        <w:tc>
          <w:tcPr>
            <w:tcW w:w="8020" w:type="dxa"/>
            <w:vAlign w:val="bottom"/>
          </w:tcPr>
          <w:p>
            <w:pPr>
              <w:ind w:left="100"/>
              <w:spacing w:after="0"/>
              <w:rPr>
                <w:sz w:val="20"/>
                <w:szCs w:val="20"/>
                <w:color w:val="auto"/>
              </w:rPr>
            </w:pPr>
            <w:r>
              <w:rPr>
                <w:rFonts w:ascii="Arial" w:cs="Arial" w:eastAsia="Arial" w:hAnsi="Arial"/>
                <w:sz w:val="22"/>
                <w:szCs w:val="22"/>
                <w:color w:val="auto"/>
              </w:rPr>
              <w:t>Deferred income tax benefit</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(8,976)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(13,208)</w:t>
            </w:r>
          </w:p>
        </w:tc>
      </w:tr>
      <w:tr>
        <w:trPr>
          <w:trHeight w:val="270"/>
        </w:trPr>
        <w:tc>
          <w:tcPr>
            <w:tcW w:w="8020" w:type="dxa"/>
            <w:vAlign w:val="bottom"/>
          </w:tcPr>
          <w:p>
            <w:pPr>
              <w:ind w:left="100"/>
              <w:spacing w:after="0"/>
              <w:rPr>
                <w:sz w:val="20"/>
                <w:szCs w:val="20"/>
                <w:color w:val="auto"/>
              </w:rPr>
            </w:pPr>
            <w:r>
              <w:rPr>
                <w:rFonts w:ascii="Arial" w:cs="Arial" w:eastAsia="Arial" w:hAnsi="Arial"/>
                <w:sz w:val="22"/>
                <w:szCs w:val="22"/>
                <w:color w:val="auto"/>
              </w:rPr>
              <w:t>Non-cash compensation charge</w:t>
            </w:r>
          </w:p>
        </w:tc>
        <w:tc>
          <w:tcPr>
            <w:tcW w:w="22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7,338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5,296</w:t>
            </w:r>
          </w:p>
        </w:tc>
      </w:tr>
      <w:tr>
        <w:trPr>
          <w:trHeight w:val="270"/>
        </w:trPr>
        <w:tc>
          <w:tcPr>
            <w:tcW w:w="8020" w:type="dxa"/>
            <w:vAlign w:val="bottom"/>
          </w:tcPr>
          <w:p>
            <w:pPr>
              <w:ind w:left="100"/>
              <w:spacing w:after="0"/>
              <w:rPr>
                <w:sz w:val="20"/>
                <w:szCs w:val="20"/>
                <w:color w:val="auto"/>
              </w:rPr>
            </w:pPr>
            <w:r>
              <w:rPr>
                <w:rFonts w:ascii="Arial" w:cs="Arial" w:eastAsia="Arial" w:hAnsi="Arial"/>
                <w:sz w:val="22"/>
                <w:szCs w:val="22"/>
                <w:color w:val="auto"/>
              </w:rPr>
              <w:t>Losses (gains) on disposals of assets</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(825)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29</w:t>
            </w:r>
          </w:p>
        </w:tc>
      </w:tr>
      <w:tr>
        <w:trPr>
          <w:trHeight w:val="270"/>
        </w:trPr>
        <w:tc>
          <w:tcPr>
            <w:tcW w:w="8020" w:type="dxa"/>
            <w:vAlign w:val="bottom"/>
          </w:tcPr>
          <w:p>
            <w:pPr>
              <w:ind w:left="100"/>
              <w:spacing w:after="0"/>
              <w:rPr>
                <w:sz w:val="20"/>
                <w:szCs w:val="20"/>
                <w:color w:val="auto"/>
              </w:rPr>
            </w:pPr>
            <w:r>
              <w:rPr>
                <w:rFonts w:ascii="Arial" w:cs="Arial" w:eastAsia="Arial" w:hAnsi="Arial"/>
                <w:sz w:val="22"/>
                <w:szCs w:val="22"/>
                <w:color w:val="auto"/>
              </w:rPr>
              <w:t>Provision (benefit) for loss on receivables, net of recoveries</w:t>
            </w:r>
          </w:p>
        </w:tc>
        <w:tc>
          <w:tcPr>
            <w:tcW w:w="22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51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70"/>
        </w:trPr>
        <w:tc>
          <w:tcPr>
            <w:tcW w:w="8020" w:type="dxa"/>
            <w:vAlign w:val="bottom"/>
          </w:tcPr>
          <w:p>
            <w:pPr>
              <w:ind w:left="100"/>
              <w:spacing w:after="0"/>
              <w:rPr>
                <w:sz w:val="20"/>
                <w:szCs w:val="20"/>
                <w:color w:val="auto"/>
              </w:rPr>
            </w:pPr>
            <w:r>
              <w:rPr>
                <w:rFonts w:ascii="Arial" w:cs="Arial" w:eastAsia="Arial" w:hAnsi="Arial"/>
                <w:sz w:val="22"/>
                <w:szCs w:val="22"/>
                <w:color w:val="auto"/>
              </w:rPr>
              <w:t>Other, net</w:t>
            </w:r>
          </w:p>
        </w:tc>
        <w:tc>
          <w:tcPr>
            <w:tcW w:w="22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3,871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868</w:t>
            </w:r>
          </w:p>
        </w:tc>
      </w:tr>
      <w:tr>
        <w:trPr>
          <w:trHeight w:val="270"/>
        </w:trPr>
        <w:tc>
          <w:tcPr>
            <w:tcW w:w="8020" w:type="dxa"/>
            <w:vAlign w:val="bottom"/>
          </w:tcPr>
          <w:p>
            <w:pPr>
              <w:ind w:left="100"/>
              <w:spacing w:after="0"/>
              <w:rPr>
                <w:sz w:val="20"/>
                <w:szCs w:val="20"/>
                <w:color w:val="auto"/>
              </w:rPr>
            </w:pPr>
            <w:r>
              <w:rPr>
                <w:rFonts w:ascii="Arial" w:cs="Arial" w:eastAsia="Arial" w:hAnsi="Arial"/>
                <w:sz w:val="22"/>
                <w:szCs w:val="22"/>
                <w:color w:val="auto"/>
              </w:rPr>
              <w:t>Changes in operating assets and liabilities:</w:t>
            </w: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8020" w:type="dxa"/>
            <w:vAlign w:val="bottom"/>
          </w:tcPr>
          <w:p>
            <w:pPr>
              <w:ind w:left="240"/>
              <w:spacing w:after="0"/>
              <w:rPr>
                <w:sz w:val="20"/>
                <w:szCs w:val="20"/>
                <w:color w:val="auto"/>
              </w:rPr>
            </w:pPr>
            <w:r>
              <w:rPr>
                <w:rFonts w:ascii="Arial" w:cs="Arial" w:eastAsia="Arial" w:hAnsi="Arial"/>
                <w:sz w:val="22"/>
                <w:szCs w:val="22"/>
                <w:color w:val="auto"/>
              </w:rPr>
              <w:t>Accounts receivable</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(6,896)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6,680</w:t>
            </w:r>
          </w:p>
        </w:tc>
      </w:tr>
      <w:tr>
        <w:trPr>
          <w:trHeight w:val="270"/>
        </w:trPr>
        <w:tc>
          <w:tcPr>
            <w:tcW w:w="8020" w:type="dxa"/>
            <w:vAlign w:val="bottom"/>
          </w:tcPr>
          <w:p>
            <w:pPr>
              <w:ind w:left="240"/>
              <w:spacing w:after="0"/>
              <w:rPr>
                <w:sz w:val="20"/>
                <w:szCs w:val="20"/>
                <w:color w:val="auto"/>
              </w:rPr>
            </w:pPr>
            <w:r>
              <w:rPr>
                <w:rFonts w:ascii="Arial" w:cs="Arial" w:eastAsia="Arial" w:hAnsi="Arial"/>
                <w:sz w:val="22"/>
                <w:szCs w:val="22"/>
                <w:color w:val="auto"/>
              </w:rPr>
              <w:t>Inventories</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(4,463)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1,773</w:t>
            </w:r>
          </w:p>
        </w:tc>
      </w:tr>
      <w:tr>
        <w:trPr>
          <w:trHeight w:val="270"/>
        </w:trPr>
        <w:tc>
          <w:tcPr>
            <w:tcW w:w="8020" w:type="dxa"/>
            <w:vAlign w:val="bottom"/>
          </w:tcPr>
          <w:p>
            <w:pPr>
              <w:ind w:left="240"/>
              <w:spacing w:after="0"/>
              <w:rPr>
                <w:sz w:val="20"/>
                <w:szCs w:val="20"/>
                <w:color w:val="auto"/>
              </w:rPr>
            </w:pPr>
            <w:r>
              <w:rPr>
                <w:rFonts w:ascii="Arial" w:cs="Arial" w:eastAsia="Arial" w:hAnsi="Arial"/>
                <w:sz w:val="22"/>
                <w:szCs w:val="22"/>
                <w:color w:val="auto"/>
              </w:rPr>
              <w:t>Accounts payable and accrued liabilities</w:t>
            </w:r>
          </w:p>
        </w:tc>
        <w:tc>
          <w:tcPr>
            <w:tcW w:w="22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12,674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(4,398)</w:t>
            </w:r>
          </w:p>
        </w:tc>
      </w:tr>
      <w:tr>
        <w:trPr>
          <w:trHeight w:val="270"/>
        </w:trPr>
        <w:tc>
          <w:tcPr>
            <w:tcW w:w="8020" w:type="dxa"/>
            <w:vAlign w:val="bottom"/>
          </w:tcPr>
          <w:p>
            <w:pPr>
              <w:ind w:left="240"/>
              <w:spacing w:after="0"/>
              <w:rPr>
                <w:sz w:val="20"/>
                <w:szCs w:val="20"/>
                <w:color w:val="auto"/>
              </w:rPr>
            </w:pPr>
            <w:r>
              <w:rPr>
                <w:rFonts w:ascii="Arial" w:cs="Arial" w:eastAsia="Arial" w:hAnsi="Arial"/>
                <w:sz w:val="22"/>
                <w:szCs w:val="22"/>
                <w:color w:val="auto"/>
              </w:rPr>
              <w:t>Taxes payable</w:t>
            </w:r>
          </w:p>
        </w:tc>
        <w:tc>
          <w:tcPr>
            <w:tcW w:w="22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3,210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(10,239)</w:t>
            </w:r>
          </w:p>
        </w:tc>
      </w:tr>
      <w:tr>
        <w:trPr>
          <w:trHeight w:val="275"/>
        </w:trPr>
        <w:tc>
          <w:tcPr>
            <w:tcW w:w="8020" w:type="dxa"/>
            <w:vAlign w:val="bottom"/>
          </w:tcPr>
          <w:p>
            <w:pPr>
              <w:ind w:left="240"/>
              <w:spacing w:after="0"/>
              <w:rPr>
                <w:sz w:val="20"/>
                <w:szCs w:val="20"/>
                <w:color w:val="auto"/>
              </w:rPr>
            </w:pPr>
            <w:r>
              <w:rPr>
                <w:rFonts w:ascii="Arial" w:cs="Arial" w:eastAsia="Arial" w:hAnsi="Arial"/>
                <w:sz w:val="22"/>
                <w:szCs w:val="22"/>
                <w:color w:val="auto"/>
              </w:rPr>
              <w:t>Other current assets and liabilities, net</w:t>
            </w:r>
          </w:p>
        </w:tc>
        <w:tc>
          <w:tcPr>
            <w:tcW w:w="2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(3,318)</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(7,334)</w:t>
            </w:r>
          </w:p>
        </w:tc>
      </w:tr>
      <w:tr>
        <w:trPr>
          <w:trHeight w:val="272"/>
        </w:trPr>
        <w:tc>
          <w:tcPr>
            <w:tcW w:w="8020" w:type="dxa"/>
            <w:vAlign w:val="bottom"/>
          </w:tcPr>
          <w:p>
            <w:pPr>
              <w:ind w:left="400"/>
              <w:spacing w:after="0"/>
              <w:rPr>
                <w:sz w:val="20"/>
                <w:szCs w:val="20"/>
                <w:color w:val="auto"/>
              </w:rPr>
            </w:pPr>
            <w:r>
              <w:rPr>
                <w:rFonts w:ascii="Arial" w:cs="Arial" w:eastAsia="Arial" w:hAnsi="Arial"/>
                <w:sz w:val="22"/>
                <w:szCs w:val="22"/>
                <w:color w:val="auto"/>
              </w:rPr>
              <w:t>Net cash flows provided by operating activities</w:t>
            </w:r>
          </w:p>
        </w:tc>
        <w:tc>
          <w:tcPr>
            <w:tcW w:w="22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56,826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62,169</w:t>
            </w:r>
          </w:p>
        </w:tc>
      </w:tr>
      <w:tr>
        <w:trPr>
          <w:trHeight w:val="528"/>
        </w:trPr>
        <w:tc>
          <w:tcPr>
            <w:tcW w:w="8020" w:type="dxa"/>
            <w:vAlign w:val="bottom"/>
          </w:tcPr>
          <w:p>
            <w:pPr>
              <w:spacing w:after="0"/>
              <w:rPr>
                <w:sz w:val="20"/>
                <w:szCs w:val="20"/>
                <w:color w:val="auto"/>
              </w:rPr>
            </w:pPr>
            <w:r>
              <w:rPr>
                <w:rFonts w:ascii="Arial" w:cs="Arial" w:eastAsia="Arial" w:hAnsi="Arial"/>
                <w:sz w:val="22"/>
                <w:szCs w:val="22"/>
                <w:color w:val="auto"/>
              </w:rPr>
              <w:t>Cash flows from investing activities: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8020" w:type="dxa"/>
            <w:vAlign w:val="bottom"/>
          </w:tcPr>
          <w:p>
            <w:pPr>
              <w:ind w:left="100"/>
              <w:spacing w:after="0"/>
              <w:rPr>
                <w:sz w:val="20"/>
                <w:szCs w:val="20"/>
                <w:color w:val="auto"/>
              </w:rPr>
            </w:pPr>
            <w:r>
              <w:rPr>
                <w:rFonts w:ascii="Arial" w:cs="Arial" w:eastAsia="Arial" w:hAnsi="Arial"/>
                <w:sz w:val="22"/>
                <w:szCs w:val="22"/>
                <w:color w:val="auto"/>
              </w:rPr>
              <w:t>Capital expenditures, including capitalized interest</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(11,194)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(19,779)</w:t>
            </w:r>
          </w:p>
        </w:tc>
      </w:tr>
      <w:tr>
        <w:trPr>
          <w:trHeight w:val="270"/>
        </w:trPr>
        <w:tc>
          <w:tcPr>
            <w:tcW w:w="8020" w:type="dxa"/>
            <w:vAlign w:val="bottom"/>
          </w:tcPr>
          <w:p>
            <w:pPr>
              <w:ind w:left="100"/>
              <w:spacing w:after="0"/>
              <w:rPr>
                <w:sz w:val="20"/>
                <w:szCs w:val="20"/>
                <w:color w:val="auto"/>
              </w:rPr>
            </w:pPr>
            <w:r>
              <w:rPr>
                <w:rFonts w:ascii="Arial" w:cs="Arial" w:eastAsia="Arial" w:hAnsi="Arial"/>
                <w:sz w:val="22"/>
                <w:szCs w:val="22"/>
                <w:color w:val="auto"/>
              </w:rPr>
              <w:t>Proceeds from disposition of property, plant and equipment</w:t>
            </w:r>
          </w:p>
        </w:tc>
        <w:tc>
          <w:tcPr>
            <w:tcW w:w="22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1,908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5,775</w:t>
            </w:r>
          </w:p>
        </w:tc>
      </w:tr>
      <w:tr>
        <w:trPr>
          <w:trHeight w:val="275"/>
        </w:trPr>
        <w:tc>
          <w:tcPr>
            <w:tcW w:w="8020" w:type="dxa"/>
            <w:vAlign w:val="bottom"/>
          </w:tcPr>
          <w:p>
            <w:pPr>
              <w:ind w:left="100"/>
              <w:spacing w:after="0"/>
              <w:rPr>
                <w:sz w:val="20"/>
                <w:szCs w:val="20"/>
                <w:color w:val="auto"/>
              </w:rPr>
            </w:pPr>
            <w:r>
              <w:rPr>
                <w:rFonts w:ascii="Arial" w:cs="Arial" w:eastAsia="Arial" w:hAnsi="Arial"/>
                <w:sz w:val="22"/>
                <w:szCs w:val="22"/>
                <w:color w:val="auto"/>
              </w:rPr>
              <w:t>Other, net</w:t>
            </w:r>
          </w:p>
        </w:tc>
        <w:tc>
          <w:tcPr>
            <w:tcW w:w="2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548</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1,315</w:t>
            </w:r>
          </w:p>
        </w:tc>
      </w:tr>
      <w:tr>
        <w:trPr>
          <w:trHeight w:val="272"/>
        </w:trPr>
        <w:tc>
          <w:tcPr>
            <w:tcW w:w="8020" w:type="dxa"/>
            <w:vAlign w:val="bottom"/>
          </w:tcPr>
          <w:p>
            <w:pPr>
              <w:ind w:left="400"/>
              <w:spacing w:after="0"/>
              <w:rPr>
                <w:sz w:val="20"/>
                <w:szCs w:val="20"/>
                <w:color w:val="auto"/>
              </w:rPr>
            </w:pPr>
            <w:r>
              <w:rPr>
                <w:rFonts w:ascii="Arial" w:cs="Arial" w:eastAsia="Arial" w:hAnsi="Arial"/>
                <w:sz w:val="22"/>
                <w:szCs w:val="22"/>
                <w:color w:val="auto"/>
              </w:rPr>
              <w:t>Net cash flows used in investing activities</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(8,738)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(12,689)</w:t>
            </w:r>
          </w:p>
        </w:tc>
      </w:tr>
      <w:tr>
        <w:trPr>
          <w:trHeight w:val="528"/>
        </w:trPr>
        <w:tc>
          <w:tcPr>
            <w:tcW w:w="8020" w:type="dxa"/>
            <w:vAlign w:val="bottom"/>
          </w:tcPr>
          <w:p>
            <w:pPr>
              <w:spacing w:after="0"/>
              <w:rPr>
                <w:sz w:val="20"/>
                <w:szCs w:val="20"/>
                <w:color w:val="auto"/>
              </w:rPr>
            </w:pPr>
            <w:r>
              <w:rPr>
                <w:rFonts w:ascii="Arial" w:cs="Arial" w:eastAsia="Arial" w:hAnsi="Arial"/>
                <w:sz w:val="22"/>
                <w:szCs w:val="22"/>
                <w:color w:val="auto"/>
              </w:rPr>
              <w:t>Cash flows from financing activities: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8020" w:type="dxa"/>
            <w:vAlign w:val="bottom"/>
          </w:tcPr>
          <w:p>
            <w:pPr>
              <w:ind w:left="100"/>
              <w:spacing w:after="0"/>
              <w:rPr>
                <w:sz w:val="20"/>
                <w:szCs w:val="20"/>
                <w:color w:val="auto"/>
              </w:rPr>
            </w:pPr>
            <w:r>
              <w:rPr>
                <w:rFonts w:ascii="Arial" w:cs="Arial" w:eastAsia="Arial" w:hAnsi="Arial"/>
                <w:sz w:val="22"/>
                <w:szCs w:val="22"/>
                <w:color w:val="auto"/>
              </w:rPr>
              <w:t>Proceeds from issuance of common stock</w:t>
            </w:r>
          </w:p>
        </w:tc>
        <w:tc>
          <w:tcPr>
            <w:tcW w:w="22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64,734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w:t>
            </w:r>
          </w:p>
        </w:tc>
      </w:tr>
      <w:tr>
        <w:trPr>
          <w:trHeight w:val="270"/>
        </w:trPr>
        <w:tc>
          <w:tcPr>
            <w:tcW w:w="8020" w:type="dxa"/>
            <w:vAlign w:val="bottom"/>
          </w:tcPr>
          <w:p>
            <w:pPr>
              <w:ind w:left="100"/>
              <w:spacing w:after="0"/>
              <w:rPr>
                <w:sz w:val="20"/>
                <w:szCs w:val="20"/>
                <w:color w:val="auto"/>
              </w:rPr>
            </w:pPr>
            <w:r>
              <w:rPr>
                <w:rFonts w:ascii="Arial" w:cs="Arial" w:eastAsia="Arial" w:hAnsi="Arial"/>
                <w:sz w:val="22"/>
                <w:szCs w:val="22"/>
                <w:color w:val="auto"/>
              </w:rPr>
              <w:t>Term loan repayments</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(40,781)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(41,023)</w:t>
            </w:r>
          </w:p>
        </w:tc>
      </w:tr>
      <w:tr>
        <w:trPr>
          <w:trHeight w:val="270"/>
        </w:trPr>
        <w:tc>
          <w:tcPr>
            <w:tcW w:w="8020" w:type="dxa"/>
            <w:vAlign w:val="bottom"/>
          </w:tcPr>
          <w:p>
            <w:pPr>
              <w:ind w:left="100"/>
              <w:spacing w:after="0"/>
              <w:rPr>
                <w:sz w:val="20"/>
                <w:szCs w:val="20"/>
                <w:color w:val="auto"/>
              </w:rPr>
            </w:pPr>
            <w:r>
              <w:rPr>
                <w:rFonts w:ascii="Arial" w:cs="Arial" w:eastAsia="Arial" w:hAnsi="Arial"/>
                <w:sz w:val="22"/>
                <w:szCs w:val="22"/>
                <w:color w:val="auto"/>
              </w:rPr>
              <w:t>Revolving credit borrowings (repayments), net</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(39,937)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(15,199)</w:t>
            </w:r>
          </w:p>
        </w:tc>
      </w:tr>
      <w:tr>
        <w:trPr>
          <w:trHeight w:val="270"/>
        </w:trPr>
        <w:tc>
          <w:tcPr>
            <w:tcW w:w="8020" w:type="dxa"/>
            <w:vAlign w:val="bottom"/>
          </w:tcPr>
          <w:p>
            <w:pPr>
              <w:ind w:left="100"/>
              <w:spacing w:after="0"/>
              <w:rPr>
                <w:sz w:val="20"/>
                <w:szCs w:val="20"/>
                <w:color w:val="auto"/>
              </w:rPr>
            </w:pPr>
            <w:r>
              <w:rPr>
                <w:rFonts w:ascii="Arial" w:cs="Arial" w:eastAsia="Arial" w:hAnsi="Arial"/>
                <w:sz w:val="22"/>
                <w:szCs w:val="22"/>
                <w:color w:val="auto"/>
              </w:rPr>
              <w:t>Debt issuance costs</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(1,795)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(2,062)</w:t>
            </w:r>
          </w:p>
        </w:tc>
      </w:tr>
      <w:tr>
        <w:trPr>
          <w:trHeight w:val="275"/>
        </w:trPr>
        <w:tc>
          <w:tcPr>
            <w:tcW w:w="8020" w:type="dxa"/>
            <w:vAlign w:val="bottom"/>
          </w:tcPr>
          <w:p>
            <w:pPr>
              <w:ind w:left="100"/>
              <w:spacing w:after="0"/>
              <w:rPr>
                <w:sz w:val="20"/>
                <w:szCs w:val="20"/>
                <w:color w:val="auto"/>
              </w:rPr>
            </w:pPr>
            <w:r>
              <w:rPr>
                <w:rFonts w:ascii="Arial" w:cs="Arial" w:eastAsia="Arial" w:hAnsi="Arial"/>
                <w:sz w:val="22"/>
                <w:szCs w:val="22"/>
                <w:color w:val="auto"/>
              </w:rPr>
              <w:t>Other</w:t>
            </w:r>
          </w:p>
        </w:tc>
        <w:tc>
          <w:tcPr>
            <w:tcW w:w="2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(293)</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(65)</w:t>
            </w:r>
          </w:p>
        </w:tc>
      </w:tr>
      <w:tr>
        <w:trPr>
          <w:trHeight w:val="272"/>
        </w:trPr>
        <w:tc>
          <w:tcPr>
            <w:tcW w:w="8020" w:type="dxa"/>
            <w:vAlign w:val="bottom"/>
          </w:tcPr>
          <w:p>
            <w:pPr>
              <w:ind w:left="400"/>
              <w:spacing w:after="0"/>
              <w:rPr>
                <w:sz w:val="20"/>
                <w:szCs w:val="20"/>
                <w:color w:val="auto"/>
              </w:rPr>
            </w:pPr>
            <w:r>
              <w:rPr>
                <w:rFonts w:ascii="Arial" w:cs="Arial" w:eastAsia="Arial" w:hAnsi="Arial"/>
                <w:sz w:val="22"/>
                <w:szCs w:val="22"/>
                <w:color w:val="auto"/>
              </w:rPr>
              <w:t>Net cash flows used in financing activities</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2"/>
                <w:szCs w:val="22"/>
                <w:color w:val="auto"/>
              </w:rPr>
              <w:t>(18,072)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(58,349)</w:t>
            </w:r>
          </w:p>
        </w:tc>
      </w:tr>
      <w:tr>
        <w:trPr>
          <w:trHeight w:val="532"/>
        </w:trPr>
        <w:tc>
          <w:tcPr>
            <w:tcW w:w="8020" w:type="dxa"/>
            <w:vAlign w:val="bottom"/>
          </w:tcPr>
          <w:p>
            <w:pPr>
              <w:spacing w:after="0"/>
              <w:rPr>
                <w:sz w:val="20"/>
                <w:szCs w:val="20"/>
                <w:color w:val="auto"/>
              </w:rPr>
            </w:pPr>
            <w:r>
              <w:rPr>
                <w:rFonts w:ascii="Arial" w:cs="Arial" w:eastAsia="Arial" w:hAnsi="Arial"/>
                <w:sz w:val="22"/>
                <w:szCs w:val="22"/>
                <w:color w:val="auto"/>
              </w:rPr>
              <w:t>Effect of exchange rate changes on cash</w:t>
            </w: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846</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2,817</w:t>
            </w:r>
          </w:p>
        </w:tc>
      </w:tr>
      <w:tr>
        <w:trPr>
          <w:trHeight w:val="272"/>
        </w:trPr>
        <w:tc>
          <w:tcPr>
            <w:tcW w:w="8020" w:type="dxa"/>
            <w:vAlign w:val="bottom"/>
          </w:tcPr>
          <w:p>
            <w:pPr>
              <w:spacing w:after="0"/>
              <w:rPr>
                <w:sz w:val="20"/>
                <w:szCs w:val="20"/>
                <w:color w:val="auto"/>
              </w:rPr>
            </w:pPr>
            <w:r>
              <w:rPr>
                <w:rFonts w:ascii="Arial" w:cs="Arial" w:eastAsia="Arial" w:hAnsi="Arial"/>
                <w:sz w:val="22"/>
                <w:szCs w:val="22"/>
                <w:color w:val="auto"/>
              </w:rPr>
              <w:t>Net change in cash and cash equivalents</w:t>
            </w:r>
          </w:p>
        </w:tc>
        <w:tc>
          <w:tcPr>
            <w:tcW w:w="22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30,862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(6,052)</w:t>
            </w:r>
          </w:p>
        </w:tc>
      </w:tr>
      <w:tr>
        <w:trPr>
          <w:trHeight w:val="532"/>
        </w:trPr>
        <w:tc>
          <w:tcPr>
            <w:tcW w:w="8020" w:type="dxa"/>
            <w:vAlign w:val="bottom"/>
          </w:tcPr>
          <w:p>
            <w:pPr>
              <w:spacing w:after="0"/>
              <w:rPr>
                <w:sz w:val="20"/>
                <w:szCs w:val="20"/>
                <w:color w:val="auto"/>
              </w:rPr>
            </w:pPr>
            <w:r>
              <w:rPr>
                <w:rFonts w:ascii="Arial" w:cs="Arial" w:eastAsia="Arial" w:hAnsi="Arial"/>
                <w:sz w:val="22"/>
                <w:szCs w:val="22"/>
                <w:color w:val="auto"/>
              </w:rPr>
              <w:t>Cash and cash equivalents, beginning of period</w:t>
            </w:r>
          </w:p>
        </w:tc>
        <w:tc>
          <w:tcPr>
            <w:tcW w:w="220" w:type="dxa"/>
            <w:vAlign w:val="bottom"/>
          </w:tcPr>
          <w:p>
            <w:pPr>
              <w:spacing w:after="0"/>
              <w:rPr>
                <w:sz w:val="24"/>
                <w:szCs w:val="24"/>
                <w:color w:val="auto"/>
              </w:rPr>
            </w:pP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1,785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7,837</w:t>
            </w:r>
          </w:p>
        </w:tc>
      </w:tr>
      <w:tr>
        <w:trPr>
          <w:trHeight w:val="274"/>
        </w:trPr>
        <w:tc>
          <w:tcPr>
            <w:tcW w:w="80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r>
      <w:tr>
        <w:trPr>
          <w:trHeight w:val="264"/>
        </w:trPr>
        <w:tc>
          <w:tcPr>
            <w:tcW w:w="8020" w:type="dxa"/>
            <w:vAlign w:val="bottom"/>
          </w:tcPr>
          <w:p>
            <w:pPr>
              <w:spacing w:after="0"/>
              <w:rPr>
                <w:sz w:val="20"/>
                <w:szCs w:val="20"/>
                <w:color w:val="auto"/>
              </w:rPr>
            </w:pPr>
            <w:r>
              <w:rPr>
                <w:rFonts w:ascii="Arial" w:cs="Arial" w:eastAsia="Arial" w:hAnsi="Arial"/>
                <w:sz w:val="22"/>
                <w:szCs w:val="22"/>
                <w:color w:val="auto"/>
              </w:rPr>
              <w:t>Cash and cash equivalents, end of period</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32,647</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1,785</w:t>
            </w:r>
          </w:p>
        </w:tc>
      </w:tr>
      <w:tr>
        <w:trPr>
          <w:trHeight w:val="21"/>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SEGMENT DATA</w:t>
      </w:r>
    </w:p>
    <w:p>
      <w:pPr>
        <w:jc w:val="center"/>
        <w:ind w:right="40"/>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60" w:type="dxa"/>
            <w:vAlign w:val="bottom"/>
            <w:gridSpan w:val="5"/>
          </w:tcPr>
          <w:p>
            <w:pPr>
              <w:jc w:val="center"/>
              <w:ind w:right="420"/>
              <w:spacing w:after="0"/>
              <w:rPr>
                <w:sz w:val="20"/>
                <w:szCs w:val="20"/>
                <w:color w:val="auto"/>
              </w:rPr>
            </w:pPr>
            <w:r>
              <w:rPr>
                <w:rFonts w:ascii="Arial" w:cs="Arial" w:eastAsia="Arial" w:hAnsi="Arial"/>
                <w:sz w:val="22"/>
                <w:szCs w:val="22"/>
                <w:b w:val="1"/>
                <w:bCs w:val="1"/>
                <w:color w:val="auto"/>
                <w:w w:val="99"/>
              </w:rPr>
              <w:t>THREE MONTHS ENDED</w:t>
            </w:r>
          </w:p>
        </w:tc>
        <w:tc>
          <w:tcPr>
            <w:tcW w:w="300" w:type="dxa"/>
            <w:vAlign w:val="bottom"/>
          </w:tcPr>
          <w:p>
            <w:pPr>
              <w:spacing w:after="0"/>
              <w:rPr>
                <w:sz w:val="21"/>
                <w:szCs w:val="21"/>
                <w:color w:val="auto"/>
              </w:rPr>
            </w:pPr>
          </w:p>
        </w:tc>
        <w:tc>
          <w:tcPr>
            <w:tcW w:w="3340" w:type="dxa"/>
            <w:vAlign w:val="bottom"/>
            <w:gridSpan w:val="4"/>
          </w:tcPr>
          <w:p>
            <w:pPr>
              <w:jc w:val="right"/>
              <w:ind w:right="332"/>
              <w:spacing w:after="0"/>
              <w:rPr>
                <w:sz w:val="20"/>
                <w:szCs w:val="20"/>
                <w:color w:val="auto"/>
              </w:rPr>
            </w:pPr>
            <w:r>
              <w:rPr>
                <w:rFonts w:ascii="Arial" w:cs="Arial" w:eastAsia="Arial" w:hAnsi="Arial"/>
                <w:sz w:val="22"/>
                <w:szCs w:val="22"/>
                <w:b w:val="1"/>
                <w:bCs w:val="1"/>
                <w:color w:val="auto"/>
              </w:rPr>
              <w:t>TWELVE MONTHS ENDED</w:t>
            </w:r>
          </w:p>
        </w:tc>
      </w:tr>
      <w:tr>
        <w:trPr>
          <w:trHeight w:val="270"/>
        </w:trPr>
        <w:tc>
          <w:tcPr>
            <w:tcW w:w="4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160" w:type="dxa"/>
            <w:vAlign w:val="bottom"/>
            <w:gridSpan w:val="5"/>
          </w:tcPr>
          <w:p>
            <w:pPr>
              <w:jc w:val="center"/>
              <w:ind w:right="420"/>
              <w:spacing w:after="0"/>
              <w:rPr>
                <w:sz w:val="20"/>
                <w:szCs w:val="20"/>
                <w:color w:val="auto"/>
              </w:rPr>
            </w:pPr>
            <w:r>
              <w:rPr>
                <w:rFonts w:ascii="Arial" w:cs="Arial" w:eastAsia="Arial" w:hAnsi="Arial"/>
                <w:sz w:val="22"/>
                <w:szCs w:val="22"/>
                <w:b w:val="1"/>
                <w:bCs w:val="1"/>
                <w:color w:val="auto"/>
                <w:w w:val="97"/>
              </w:rPr>
              <w:t>DECEMBER 31,</w:t>
            </w:r>
          </w:p>
        </w:tc>
        <w:tc>
          <w:tcPr>
            <w:tcW w:w="300" w:type="dxa"/>
            <w:vAlign w:val="bottom"/>
          </w:tcPr>
          <w:p>
            <w:pPr>
              <w:spacing w:after="0"/>
              <w:rPr>
                <w:sz w:val="23"/>
                <w:szCs w:val="23"/>
                <w:color w:val="auto"/>
              </w:rPr>
            </w:pPr>
          </w:p>
        </w:tc>
        <w:tc>
          <w:tcPr>
            <w:tcW w:w="3340" w:type="dxa"/>
            <w:vAlign w:val="bottom"/>
            <w:gridSpan w:val="4"/>
          </w:tcPr>
          <w:p>
            <w:pPr>
              <w:jc w:val="right"/>
              <w:ind w:right="932"/>
              <w:spacing w:after="0"/>
              <w:rPr>
                <w:sz w:val="20"/>
                <w:szCs w:val="20"/>
                <w:color w:val="auto"/>
              </w:rPr>
            </w:pPr>
            <w:r>
              <w:rPr>
                <w:rFonts w:ascii="Arial" w:cs="Arial" w:eastAsia="Arial" w:hAnsi="Arial"/>
                <w:sz w:val="22"/>
                <w:szCs w:val="22"/>
                <w:b w:val="1"/>
                <w:bCs w:val="1"/>
                <w:color w:val="auto"/>
              </w:rPr>
              <w:t>DECEMBER 31,</w:t>
            </w:r>
          </w:p>
        </w:tc>
      </w:tr>
      <w:tr>
        <w:trPr>
          <w:trHeight w:val="281"/>
        </w:trPr>
        <w:tc>
          <w:tcPr>
            <w:tcW w:w="4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2016</w:t>
            </w:r>
          </w:p>
        </w:tc>
      </w:tr>
      <w:tr>
        <w:trPr>
          <w:trHeight w:val="259"/>
        </w:trPr>
        <w:tc>
          <w:tcPr>
            <w:tcW w:w="4180" w:type="dxa"/>
            <w:vAlign w:val="bottom"/>
          </w:tcPr>
          <w:p>
            <w:pPr>
              <w:spacing w:after="0"/>
              <w:rPr>
                <w:sz w:val="20"/>
                <w:szCs w:val="20"/>
                <w:color w:val="auto"/>
              </w:rPr>
            </w:pPr>
            <w:r>
              <w:rPr>
                <w:rFonts w:ascii="Arial" w:cs="Arial" w:eastAsia="Arial" w:hAnsi="Arial"/>
                <w:sz w:val="22"/>
                <w:szCs w:val="22"/>
                <w:color w:val="auto"/>
              </w:rPr>
              <w:t>Revenues</w:t>
            </w: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Canada</w:t>
            </w:r>
          </w:p>
        </w:tc>
        <w:tc>
          <w:tcPr>
            <w:tcW w:w="300" w:type="dxa"/>
            <w:vAlign w:val="bottom"/>
          </w:tcPr>
          <w:p>
            <w:pPr>
              <w:jc w:val="right"/>
              <w:spacing w:after="0"/>
              <w:rPr>
                <w:sz w:val="20"/>
                <w:szCs w:val="20"/>
                <w:color w:val="auto"/>
              </w:rPr>
            </w:pPr>
            <w:r>
              <w:rPr>
                <w:rFonts w:ascii="Arial" w:cs="Arial" w:eastAsia="Arial" w:hAnsi="Arial"/>
                <w:sz w:val="22"/>
                <w:szCs w:val="22"/>
                <w:color w:val="auto"/>
              </w:rPr>
              <w:t>$</w:t>
            </w:r>
          </w:p>
        </w:tc>
        <w:tc>
          <w:tcPr>
            <w:tcW w:w="1520" w:type="dxa"/>
            <w:vAlign w:val="bottom"/>
          </w:tcPr>
          <w:p>
            <w:pPr>
              <w:jc w:val="right"/>
              <w:ind w:right="72"/>
              <w:spacing w:after="0"/>
              <w:rPr>
                <w:sz w:val="20"/>
                <w:szCs w:val="20"/>
                <w:color w:val="auto"/>
              </w:rPr>
            </w:pPr>
            <w:r>
              <w:rPr>
                <w:rFonts w:ascii="Arial" w:cs="Arial" w:eastAsia="Arial" w:hAnsi="Arial"/>
                <w:sz w:val="22"/>
                <w:szCs w:val="22"/>
                <w:color w:val="auto"/>
              </w:rPr>
              <w:t>63,589</w:t>
            </w:r>
          </w:p>
        </w:tc>
        <w:tc>
          <w:tcPr>
            <w:tcW w:w="100" w:type="dxa"/>
            <w:vAlign w:val="bottom"/>
          </w:tcPr>
          <w:p>
            <w:pPr>
              <w:spacing w:after="0"/>
              <w:rPr>
                <w:sz w:val="23"/>
                <w:szCs w:val="23"/>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32"/>
              <w:spacing w:after="0"/>
              <w:rPr>
                <w:sz w:val="20"/>
                <w:szCs w:val="20"/>
                <w:color w:val="auto"/>
              </w:rPr>
            </w:pPr>
            <w:r>
              <w:rPr>
                <w:rFonts w:ascii="Arial" w:cs="Arial" w:eastAsia="Arial" w:hAnsi="Arial"/>
                <w:sz w:val="22"/>
                <w:szCs w:val="22"/>
                <w:color w:val="auto"/>
              </w:rPr>
              <w:t>62,296</w:t>
            </w:r>
          </w:p>
        </w:tc>
        <w:tc>
          <w:tcPr>
            <w:tcW w:w="100" w:type="dxa"/>
            <w:vAlign w:val="bottom"/>
          </w:tcPr>
          <w:p>
            <w:pPr>
              <w:spacing w:after="0"/>
              <w:rPr>
                <w:sz w:val="23"/>
                <w:szCs w:val="23"/>
                <w:color w:val="auto"/>
              </w:rPr>
            </w:pPr>
          </w:p>
        </w:tc>
        <w:tc>
          <w:tcPr>
            <w:tcW w:w="30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245,595</w:t>
            </w:r>
          </w:p>
        </w:tc>
        <w:tc>
          <w:tcPr>
            <w:tcW w:w="120" w:type="dxa"/>
            <w:vAlign w:val="bottom"/>
          </w:tcPr>
          <w:p>
            <w:pPr>
              <w:spacing w:after="0"/>
              <w:rPr>
                <w:sz w:val="23"/>
                <w:szCs w:val="23"/>
                <w:color w:val="auto"/>
              </w:rPr>
            </w:pPr>
          </w:p>
        </w:tc>
        <w:tc>
          <w:tcPr>
            <w:tcW w:w="46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72"/>
              <w:spacing w:after="0"/>
              <w:rPr>
                <w:sz w:val="20"/>
                <w:szCs w:val="20"/>
                <w:color w:val="auto"/>
              </w:rPr>
            </w:pPr>
            <w:r>
              <w:rPr>
                <w:rFonts w:ascii="Arial" w:cs="Arial" w:eastAsia="Arial" w:hAnsi="Arial"/>
                <w:sz w:val="22"/>
                <w:szCs w:val="22"/>
                <w:color w:val="auto"/>
              </w:rPr>
              <w:t>278,464</w:t>
            </w: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300" w:type="dxa"/>
            <w:vAlign w:val="bottom"/>
          </w:tcPr>
          <w:p>
            <w:pPr>
              <w:spacing w:after="0"/>
              <w:rPr>
                <w:sz w:val="23"/>
                <w:szCs w:val="23"/>
                <w:color w:val="auto"/>
              </w:rPr>
            </w:pPr>
          </w:p>
        </w:tc>
        <w:tc>
          <w:tcPr>
            <w:tcW w:w="1520" w:type="dxa"/>
            <w:vAlign w:val="bottom"/>
          </w:tcPr>
          <w:p>
            <w:pPr>
              <w:jc w:val="right"/>
              <w:ind w:right="72"/>
              <w:spacing w:after="0"/>
              <w:rPr>
                <w:sz w:val="20"/>
                <w:szCs w:val="20"/>
                <w:color w:val="auto"/>
              </w:rPr>
            </w:pPr>
            <w:r>
              <w:rPr>
                <w:rFonts w:ascii="Arial" w:cs="Arial" w:eastAsia="Arial" w:hAnsi="Arial"/>
                <w:sz w:val="22"/>
                <w:szCs w:val="22"/>
                <w:color w:val="auto"/>
              </w:rPr>
              <w:t>28,057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22"/>
                <w:szCs w:val="22"/>
                <w:color w:val="auto"/>
              </w:rPr>
              <w:t>26,121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111,221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jc w:val="right"/>
              <w:ind w:right="72"/>
              <w:spacing w:after="0"/>
              <w:rPr>
                <w:sz w:val="20"/>
                <w:szCs w:val="20"/>
                <w:color w:val="auto"/>
              </w:rPr>
            </w:pPr>
            <w:r>
              <w:rPr>
                <w:rFonts w:ascii="Arial" w:cs="Arial" w:eastAsia="Arial" w:hAnsi="Arial"/>
                <w:sz w:val="22"/>
                <w:szCs w:val="22"/>
                <w:color w:val="auto"/>
              </w:rPr>
              <w:t>106,815</w:t>
            </w:r>
          </w:p>
        </w:tc>
      </w:tr>
      <w:tr>
        <w:trPr>
          <w:trHeight w:val="276"/>
        </w:trPr>
        <w:tc>
          <w:tcPr>
            <w:tcW w:w="418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9,702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2,504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25,460</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11,951</w:t>
            </w:r>
          </w:p>
        </w:tc>
      </w:tr>
    </w:tbl>
    <w:p>
      <w:pPr>
        <w:sectPr>
          <w:pgSz w:w="11900" w:h="16838" w:orient="portrait"/>
          <w:cols w:equalWidth="0" w:num="1">
            <w:col w:w="11300"/>
          </w:cols>
          <w:pgMar w:left="260" w:top="372"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tcPr>
          <w:p>
            <w:pPr>
              <w:ind w:left="240"/>
              <w:spacing w:after="0"/>
              <w:rPr>
                <w:sz w:val="20"/>
                <w:szCs w:val="20"/>
                <w:color w:val="auto"/>
              </w:rPr>
            </w:pPr>
            <w:r>
              <w:rPr>
                <w:rFonts w:ascii="Arial" w:cs="Arial" w:eastAsia="Arial" w:hAnsi="Arial"/>
                <w:sz w:val="22"/>
                <w:szCs w:val="22"/>
                <w:color w:val="auto"/>
              </w:rPr>
              <w:t>Total revenues</w:t>
            </w:r>
          </w:p>
        </w:tc>
        <w:tc>
          <w:tcPr>
            <w:tcW w:w="5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101,348</w:t>
            </w:r>
          </w:p>
        </w:tc>
        <w:tc>
          <w:tcPr>
            <w:tcW w:w="100" w:type="dxa"/>
            <w:vAlign w:val="bottom"/>
          </w:tcPr>
          <w:p>
            <w:pPr>
              <w:spacing w:after="0"/>
              <w:rPr>
                <w:sz w:val="23"/>
                <w:szCs w:val="23"/>
                <w:color w:val="auto"/>
              </w:rPr>
            </w:pP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90,921</w:t>
            </w:r>
          </w:p>
        </w:tc>
        <w:tc>
          <w:tcPr>
            <w:tcW w:w="100" w:type="dxa"/>
            <w:vAlign w:val="bottom"/>
          </w:tcPr>
          <w:p>
            <w:pPr>
              <w:spacing w:after="0"/>
              <w:rPr>
                <w:sz w:val="23"/>
                <w:szCs w:val="23"/>
                <w:color w:val="auto"/>
              </w:rPr>
            </w:pPr>
          </w:p>
        </w:tc>
        <w:tc>
          <w:tcPr>
            <w:tcW w:w="5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382,276</w:t>
            </w:r>
          </w:p>
        </w:tc>
        <w:tc>
          <w:tcPr>
            <w:tcW w:w="120" w:type="dxa"/>
            <w:vAlign w:val="bottom"/>
          </w:tcPr>
          <w:p>
            <w:pPr>
              <w:spacing w:after="0"/>
              <w:rPr>
                <w:sz w:val="23"/>
                <w:szCs w:val="23"/>
                <w:color w:val="auto"/>
              </w:rPr>
            </w:pPr>
          </w:p>
        </w:tc>
        <w:tc>
          <w:tcPr>
            <w:tcW w:w="5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397,230</w:t>
            </w:r>
          </w:p>
        </w:tc>
        <w:tc>
          <w:tcPr>
            <w:tcW w:w="0" w:type="dxa"/>
            <w:vAlign w:val="bottom"/>
          </w:tcPr>
          <w:p>
            <w:pPr>
              <w:spacing w:after="0"/>
              <w:rPr>
                <w:sz w:val="1"/>
                <w:szCs w:val="1"/>
                <w:color w:val="auto"/>
              </w:rPr>
            </w:pPr>
          </w:p>
        </w:tc>
      </w:tr>
      <w:tr>
        <w:trPr>
          <w:trHeight w:val="24"/>
        </w:trPr>
        <w:tc>
          <w:tcPr>
            <w:tcW w:w="4180" w:type="dxa"/>
            <w:vAlign w:val="bottom"/>
            <w:vMerge w:val="restart"/>
          </w:tcPr>
          <w:p>
            <w:pPr>
              <w:spacing w:after="0"/>
              <w:rPr>
                <w:sz w:val="20"/>
                <w:szCs w:val="20"/>
                <w:color w:val="auto"/>
              </w:rPr>
            </w:pPr>
            <w:r>
              <w:rPr>
                <w:rFonts w:ascii="Arial" w:cs="Arial" w:eastAsia="Arial" w:hAnsi="Arial"/>
                <w:sz w:val="22"/>
                <w:szCs w:val="22"/>
                <w:color w:val="auto"/>
              </w:rPr>
              <w:t>EBITDA (1)</w:t>
            </w: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6"/>
        </w:trPr>
        <w:tc>
          <w:tcPr>
            <w:tcW w:w="41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Canada</w:t>
            </w:r>
          </w:p>
        </w:tc>
        <w:tc>
          <w:tcPr>
            <w:tcW w:w="56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(16,281)</w:t>
            </w:r>
          </w:p>
        </w:tc>
        <w:tc>
          <w:tcPr>
            <w:tcW w:w="100" w:type="dxa"/>
            <w:vAlign w:val="bottom"/>
          </w:tcPr>
          <w:p>
            <w:pPr>
              <w:spacing w:after="0"/>
              <w:rPr>
                <w:sz w:val="23"/>
                <w:szCs w:val="23"/>
                <w:color w:val="auto"/>
              </w:rPr>
            </w:pPr>
          </w:p>
        </w:tc>
        <w:tc>
          <w:tcPr>
            <w:tcW w:w="40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14,072</w:t>
            </w:r>
          </w:p>
        </w:tc>
        <w:tc>
          <w:tcPr>
            <w:tcW w:w="100" w:type="dxa"/>
            <w:vAlign w:val="bottom"/>
          </w:tcPr>
          <w:p>
            <w:pPr>
              <w:spacing w:after="0"/>
              <w:rPr>
                <w:sz w:val="23"/>
                <w:szCs w:val="23"/>
                <w:color w:val="auto"/>
              </w:rPr>
            </w:pPr>
          </w:p>
        </w:tc>
        <w:tc>
          <w:tcPr>
            <w:tcW w:w="52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22,818</w:t>
            </w:r>
          </w:p>
        </w:tc>
        <w:tc>
          <w:tcPr>
            <w:tcW w:w="120" w:type="dxa"/>
            <w:vAlign w:val="bottom"/>
          </w:tcPr>
          <w:p>
            <w:pPr>
              <w:spacing w:after="0"/>
              <w:rPr>
                <w:sz w:val="23"/>
                <w:szCs w:val="23"/>
                <w:color w:val="auto"/>
              </w:rPr>
            </w:pPr>
          </w:p>
        </w:tc>
        <w:tc>
          <w:tcPr>
            <w:tcW w:w="56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72"/>
              <w:spacing w:after="0"/>
              <w:rPr>
                <w:sz w:val="20"/>
                <w:szCs w:val="20"/>
                <w:color w:val="auto"/>
              </w:rPr>
            </w:pPr>
            <w:r>
              <w:rPr>
                <w:rFonts w:ascii="Arial" w:cs="Arial" w:eastAsia="Arial" w:hAnsi="Arial"/>
                <w:sz w:val="22"/>
                <w:szCs w:val="22"/>
                <w:color w:val="auto"/>
              </w:rPr>
              <w:t>32,022</w:t>
            </w: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5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22"/>
                <w:szCs w:val="22"/>
                <w:color w:val="auto"/>
              </w:rPr>
              <w:t>10,294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10,387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41,398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22"/>
                <w:szCs w:val="22"/>
                <w:color w:val="auto"/>
              </w:rPr>
              <w:t>43,168</w:t>
            </w: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5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(1,197)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(1,478)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(5,475)</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(16,722)</w:t>
            </w:r>
          </w:p>
        </w:tc>
        <w:tc>
          <w:tcPr>
            <w:tcW w:w="0" w:type="dxa"/>
            <w:vAlign w:val="bottom"/>
          </w:tcPr>
          <w:p>
            <w:pPr>
              <w:spacing w:after="0"/>
              <w:rPr>
                <w:sz w:val="1"/>
                <w:szCs w:val="1"/>
                <w:color w:val="auto"/>
              </w:rPr>
            </w:pPr>
          </w:p>
        </w:tc>
      </w:tr>
      <w:tr>
        <w:trPr>
          <w:trHeight w:val="276"/>
        </w:trPr>
        <w:tc>
          <w:tcPr>
            <w:tcW w:w="418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5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(9,039)</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(5,246)</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(29,420)</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(20,842)</w:t>
            </w:r>
          </w:p>
        </w:tc>
        <w:tc>
          <w:tcPr>
            <w:tcW w:w="0" w:type="dxa"/>
            <w:vAlign w:val="bottom"/>
          </w:tcPr>
          <w:p>
            <w:pPr>
              <w:spacing w:after="0"/>
              <w:rPr>
                <w:sz w:val="1"/>
                <w:szCs w:val="1"/>
                <w:color w:val="auto"/>
              </w:rPr>
            </w:pPr>
          </w:p>
        </w:tc>
      </w:tr>
      <w:tr>
        <w:trPr>
          <w:trHeight w:val="265"/>
        </w:trPr>
        <w:tc>
          <w:tcPr>
            <w:tcW w:w="4180" w:type="dxa"/>
            <w:vAlign w:val="bottom"/>
          </w:tcPr>
          <w:p>
            <w:pPr>
              <w:ind w:left="240"/>
              <w:spacing w:after="0"/>
              <w:rPr>
                <w:sz w:val="20"/>
                <w:szCs w:val="20"/>
                <w:color w:val="auto"/>
              </w:rPr>
            </w:pPr>
            <w:r>
              <w:rPr>
                <w:rFonts w:ascii="Arial" w:cs="Arial" w:eastAsia="Arial" w:hAnsi="Arial"/>
                <w:sz w:val="22"/>
                <w:szCs w:val="22"/>
                <w:color w:val="auto"/>
              </w:rPr>
              <w:t>Total EBITDA</w:t>
            </w:r>
          </w:p>
        </w:tc>
        <w:tc>
          <w:tcPr>
            <w:tcW w:w="5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(16,223)</w:t>
            </w:r>
          </w:p>
        </w:tc>
        <w:tc>
          <w:tcPr>
            <w:tcW w:w="100" w:type="dxa"/>
            <w:vAlign w:val="bottom"/>
          </w:tcPr>
          <w:p>
            <w:pPr>
              <w:spacing w:after="0"/>
              <w:rPr>
                <w:sz w:val="23"/>
                <w:szCs w:val="23"/>
                <w:color w:val="auto"/>
              </w:rPr>
            </w:pP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17,735</w:t>
            </w:r>
          </w:p>
        </w:tc>
        <w:tc>
          <w:tcPr>
            <w:tcW w:w="100" w:type="dxa"/>
            <w:vAlign w:val="bottom"/>
          </w:tcPr>
          <w:p>
            <w:pPr>
              <w:spacing w:after="0"/>
              <w:rPr>
                <w:sz w:val="23"/>
                <w:szCs w:val="23"/>
                <w:color w:val="auto"/>
              </w:rPr>
            </w:pPr>
          </w:p>
        </w:tc>
        <w:tc>
          <w:tcPr>
            <w:tcW w:w="5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29,321</w:t>
            </w:r>
          </w:p>
        </w:tc>
        <w:tc>
          <w:tcPr>
            <w:tcW w:w="120" w:type="dxa"/>
            <w:vAlign w:val="bottom"/>
          </w:tcPr>
          <w:p>
            <w:pPr>
              <w:spacing w:after="0"/>
              <w:rPr>
                <w:sz w:val="23"/>
                <w:szCs w:val="23"/>
                <w:color w:val="auto"/>
              </w:rPr>
            </w:pPr>
          </w:p>
        </w:tc>
        <w:tc>
          <w:tcPr>
            <w:tcW w:w="5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37,626</w:t>
            </w:r>
          </w:p>
        </w:tc>
        <w:tc>
          <w:tcPr>
            <w:tcW w:w="0" w:type="dxa"/>
            <w:vAlign w:val="bottom"/>
          </w:tcPr>
          <w:p>
            <w:pPr>
              <w:spacing w:after="0"/>
              <w:rPr>
                <w:sz w:val="1"/>
                <w:szCs w:val="1"/>
                <w:color w:val="auto"/>
              </w:rPr>
            </w:pPr>
          </w:p>
        </w:tc>
      </w:tr>
      <w:tr>
        <w:trPr>
          <w:trHeight w:val="21"/>
        </w:trPr>
        <w:tc>
          <w:tcPr>
            <w:tcW w:w="4180" w:type="dxa"/>
            <w:vAlign w:val="bottom"/>
            <w:vMerge w:val="restart"/>
          </w:tcPr>
          <w:p>
            <w:pPr>
              <w:spacing w:after="0"/>
              <w:rPr>
                <w:sz w:val="20"/>
                <w:szCs w:val="20"/>
                <w:color w:val="auto"/>
              </w:rPr>
            </w:pPr>
            <w:r>
              <w:rPr>
                <w:rFonts w:ascii="Arial" w:cs="Arial" w:eastAsia="Arial" w:hAnsi="Arial"/>
                <w:sz w:val="22"/>
                <w:szCs w:val="22"/>
                <w:color w:val="auto"/>
              </w:rPr>
              <w:t>Adjusted EBITDA (1)</w:t>
            </w: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1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Canada</w:t>
            </w:r>
          </w:p>
        </w:tc>
        <w:tc>
          <w:tcPr>
            <w:tcW w:w="56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72"/>
              <w:spacing w:after="0"/>
              <w:rPr>
                <w:sz w:val="20"/>
                <w:szCs w:val="20"/>
                <w:color w:val="auto"/>
              </w:rPr>
            </w:pPr>
            <w:r>
              <w:rPr>
                <w:rFonts w:ascii="Arial" w:cs="Arial" w:eastAsia="Arial" w:hAnsi="Arial"/>
                <w:sz w:val="22"/>
                <w:szCs w:val="22"/>
                <w:color w:val="auto"/>
              </w:rPr>
              <w:t>11,356</w:t>
            </w:r>
          </w:p>
        </w:tc>
        <w:tc>
          <w:tcPr>
            <w:tcW w:w="100" w:type="dxa"/>
            <w:vAlign w:val="bottom"/>
          </w:tcPr>
          <w:p>
            <w:pPr>
              <w:spacing w:after="0"/>
              <w:rPr>
                <w:sz w:val="23"/>
                <w:szCs w:val="23"/>
                <w:color w:val="auto"/>
              </w:rPr>
            </w:pPr>
          </w:p>
        </w:tc>
        <w:tc>
          <w:tcPr>
            <w:tcW w:w="40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14,072</w:t>
            </w:r>
          </w:p>
        </w:tc>
        <w:tc>
          <w:tcPr>
            <w:tcW w:w="100" w:type="dxa"/>
            <w:vAlign w:val="bottom"/>
          </w:tcPr>
          <w:p>
            <w:pPr>
              <w:spacing w:after="0"/>
              <w:rPr>
                <w:sz w:val="23"/>
                <w:szCs w:val="23"/>
                <w:color w:val="auto"/>
              </w:rPr>
            </w:pPr>
          </w:p>
        </w:tc>
        <w:tc>
          <w:tcPr>
            <w:tcW w:w="52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54,815</w:t>
            </w:r>
          </w:p>
        </w:tc>
        <w:tc>
          <w:tcPr>
            <w:tcW w:w="120" w:type="dxa"/>
            <w:vAlign w:val="bottom"/>
          </w:tcPr>
          <w:p>
            <w:pPr>
              <w:spacing w:after="0"/>
              <w:rPr>
                <w:sz w:val="23"/>
                <w:szCs w:val="23"/>
                <w:color w:val="auto"/>
              </w:rPr>
            </w:pPr>
          </w:p>
        </w:tc>
        <w:tc>
          <w:tcPr>
            <w:tcW w:w="56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72"/>
              <w:spacing w:after="0"/>
              <w:rPr>
                <w:sz w:val="20"/>
                <w:szCs w:val="20"/>
                <w:color w:val="auto"/>
              </w:rPr>
            </w:pPr>
            <w:r>
              <w:rPr>
                <w:rFonts w:ascii="Arial" w:cs="Arial" w:eastAsia="Arial" w:hAnsi="Arial"/>
                <w:sz w:val="22"/>
                <w:szCs w:val="22"/>
                <w:color w:val="auto"/>
              </w:rPr>
              <w:t>71,699</w:t>
            </w: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5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22"/>
                <w:szCs w:val="22"/>
                <w:color w:val="auto"/>
              </w:rPr>
              <w:t>10,294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10,387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22"/>
                <w:szCs w:val="22"/>
                <w:color w:val="auto"/>
              </w:rPr>
              <w:t>41,398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22"/>
                <w:szCs w:val="22"/>
                <w:color w:val="auto"/>
              </w:rPr>
              <w:t>43,188</w:t>
            </w: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5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(1,197)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(1,478)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(5,475)</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(8,322)</w:t>
            </w:r>
          </w:p>
        </w:tc>
        <w:tc>
          <w:tcPr>
            <w:tcW w:w="0" w:type="dxa"/>
            <w:vAlign w:val="bottom"/>
          </w:tcPr>
          <w:p>
            <w:pPr>
              <w:spacing w:after="0"/>
              <w:rPr>
                <w:sz w:val="1"/>
                <w:szCs w:val="1"/>
                <w:color w:val="auto"/>
              </w:rPr>
            </w:pPr>
          </w:p>
        </w:tc>
      </w:tr>
      <w:tr>
        <w:trPr>
          <w:trHeight w:val="276"/>
        </w:trPr>
        <w:tc>
          <w:tcPr>
            <w:tcW w:w="418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5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(7,154)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(5,246)</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(27,535)</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(19,832)</w:t>
            </w:r>
          </w:p>
        </w:tc>
        <w:tc>
          <w:tcPr>
            <w:tcW w:w="0" w:type="dxa"/>
            <w:vAlign w:val="bottom"/>
          </w:tcPr>
          <w:p>
            <w:pPr>
              <w:spacing w:after="0"/>
              <w:rPr>
                <w:sz w:val="1"/>
                <w:szCs w:val="1"/>
                <w:color w:val="auto"/>
              </w:rPr>
            </w:pPr>
          </w:p>
        </w:tc>
      </w:tr>
      <w:tr>
        <w:trPr>
          <w:trHeight w:val="265"/>
        </w:trPr>
        <w:tc>
          <w:tcPr>
            <w:tcW w:w="4180" w:type="dxa"/>
            <w:vAlign w:val="bottom"/>
          </w:tcPr>
          <w:p>
            <w:pPr>
              <w:ind w:left="240"/>
              <w:spacing w:after="0"/>
              <w:rPr>
                <w:sz w:val="20"/>
                <w:szCs w:val="20"/>
                <w:color w:val="auto"/>
              </w:rPr>
            </w:pPr>
            <w:r>
              <w:rPr>
                <w:rFonts w:ascii="Arial" w:cs="Arial" w:eastAsia="Arial" w:hAnsi="Arial"/>
                <w:sz w:val="22"/>
                <w:szCs w:val="22"/>
                <w:color w:val="auto"/>
              </w:rPr>
              <w:t>Total adjusted EBITDA</w:t>
            </w:r>
          </w:p>
        </w:tc>
        <w:tc>
          <w:tcPr>
            <w:tcW w:w="5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13,299</w:t>
            </w:r>
          </w:p>
        </w:tc>
        <w:tc>
          <w:tcPr>
            <w:tcW w:w="100" w:type="dxa"/>
            <w:vAlign w:val="bottom"/>
          </w:tcPr>
          <w:p>
            <w:pPr>
              <w:spacing w:after="0"/>
              <w:rPr>
                <w:sz w:val="23"/>
                <w:szCs w:val="23"/>
                <w:color w:val="auto"/>
              </w:rPr>
            </w:pP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17,735</w:t>
            </w:r>
          </w:p>
        </w:tc>
        <w:tc>
          <w:tcPr>
            <w:tcW w:w="100" w:type="dxa"/>
            <w:vAlign w:val="bottom"/>
          </w:tcPr>
          <w:p>
            <w:pPr>
              <w:spacing w:after="0"/>
              <w:rPr>
                <w:sz w:val="23"/>
                <w:szCs w:val="23"/>
                <w:color w:val="auto"/>
              </w:rPr>
            </w:pPr>
          </w:p>
        </w:tc>
        <w:tc>
          <w:tcPr>
            <w:tcW w:w="5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63,203</w:t>
            </w:r>
          </w:p>
        </w:tc>
        <w:tc>
          <w:tcPr>
            <w:tcW w:w="120" w:type="dxa"/>
            <w:vAlign w:val="bottom"/>
          </w:tcPr>
          <w:p>
            <w:pPr>
              <w:spacing w:after="0"/>
              <w:rPr>
                <w:sz w:val="23"/>
                <w:szCs w:val="23"/>
                <w:color w:val="auto"/>
              </w:rPr>
            </w:pPr>
          </w:p>
        </w:tc>
        <w:tc>
          <w:tcPr>
            <w:tcW w:w="5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86,733</w:t>
            </w:r>
          </w:p>
        </w:tc>
        <w:tc>
          <w:tcPr>
            <w:tcW w:w="0" w:type="dxa"/>
            <w:vAlign w:val="bottom"/>
          </w:tcPr>
          <w:p>
            <w:pPr>
              <w:spacing w:after="0"/>
              <w:rPr>
                <w:sz w:val="1"/>
                <w:szCs w:val="1"/>
                <w:color w:val="auto"/>
              </w:rPr>
            </w:pPr>
          </w:p>
        </w:tc>
      </w:tr>
      <w:tr>
        <w:trPr>
          <w:trHeight w:val="21"/>
        </w:trPr>
        <w:tc>
          <w:tcPr>
            <w:tcW w:w="4180" w:type="dxa"/>
            <w:vAlign w:val="bottom"/>
            <w:vMerge w:val="restart"/>
          </w:tcPr>
          <w:p>
            <w:pPr>
              <w:spacing w:after="0"/>
              <w:rPr>
                <w:sz w:val="20"/>
                <w:szCs w:val="20"/>
                <w:color w:val="auto"/>
              </w:rPr>
            </w:pPr>
            <w:r>
              <w:rPr>
                <w:rFonts w:ascii="Arial" w:cs="Arial" w:eastAsia="Arial" w:hAnsi="Arial"/>
                <w:sz w:val="22"/>
                <w:szCs w:val="22"/>
                <w:color w:val="auto"/>
              </w:rPr>
              <w:t>Operating income (loss)</w:t>
            </w: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1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Canada</w:t>
            </w:r>
          </w:p>
        </w:tc>
        <w:tc>
          <w:tcPr>
            <w:tcW w:w="56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(36,928)</w:t>
            </w:r>
          </w:p>
        </w:tc>
        <w:tc>
          <w:tcPr>
            <w:tcW w:w="100" w:type="dxa"/>
            <w:vAlign w:val="bottom"/>
          </w:tcPr>
          <w:p>
            <w:pPr>
              <w:spacing w:after="0"/>
              <w:rPr>
                <w:sz w:val="23"/>
                <w:szCs w:val="23"/>
                <w:color w:val="auto"/>
              </w:rPr>
            </w:pPr>
          </w:p>
        </w:tc>
        <w:tc>
          <w:tcPr>
            <w:tcW w:w="40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(5,593)</w:t>
            </w:r>
          </w:p>
        </w:tc>
        <w:tc>
          <w:tcPr>
            <w:tcW w:w="100" w:type="dxa"/>
            <w:vAlign w:val="bottom"/>
          </w:tcPr>
          <w:p>
            <w:pPr>
              <w:spacing w:after="0"/>
              <w:rPr>
                <w:sz w:val="23"/>
                <w:szCs w:val="23"/>
                <w:color w:val="auto"/>
              </w:rPr>
            </w:pPr>
          </w:p>
        </w:tc>
        <w:tc>
          <w:tcPr>
            <w:tcW w:w="52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(63,211)</w:t>
            </w:r>
          </w:p>
        </w:tc>
        <w:tc>
          <w:tcPr>
            <w:tcW w:w="120" w:type="dxa"/>
            <w:vAlign w:val="bottom"/>
          </w:tcPr>
          <w:p>
            <w:pPr>
              <w:spacing w:after="0"/>
              <w:rPr>
                <w:sz w:val="23"/>
                <w:szCs w:val="23"/>
                <w:color w:val="auto"/>
              </w:rPr>
            </w:pPr>
          </w:p>
        </w:tc>
        <w:tc>
          <w:tcPr>
            <w:tcW w:w="560" w:type="dxa"/>
            <w:vAlign w:val="bottom"/>
          </w:tcPr>
          <w:p>
            <w:pPr>
              <w:jc w:val="right"/>
              <w:ind w:right="252"/>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(59,351)</w:t>
            </w: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5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(3,244)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(2,399)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(11,528)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(6,853)</w:t>
            </w:r>
          </w:p>
        </w:tc>
        <w:tc>
          <w:tcPr>
            <w:tcW w:w="0" w:type="dxa"/>
            <w:vAlign w:val="bottom"/>
          </w:tcPr>
          <w:p>
            <w:pPr>
              <w:spacing w:after="0"/>
              <w:rPr>
                <w:sz w:val="1"/>
                <w:szCs w:val="1"/>
                <w:color w:val="auto"/>
              </w:rPr>
            </w:pPr>
          </w:p>
        </w:tc>
      </w:tr>
      <w:tr>
        <w:trPr>
          <w:trHeight w:val="270"/>
        </w:trPr>
        <w:tc>
          <w:tcPr>
            <w:tcW w:w="418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5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(4,079)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(3,954)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(14,426)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(24,616)</w:t>
            </w:r>
          </w:p>
        </w:tc>
        <w:tc>
          <w:tcPr>
            <w:tcW w:w="0" w:type="dxa"/>
            <w:vAlign w:val="bottom"/>
          </w:tcPr>
          <w:p>
            <w:pPr>
              <w:spacing w:after="0"/>
              <w:rPr>
                <w:sz w:val="1"/>
                <w:szCs w:val="1"/>
                <w:color w:val="auto"/>
              </w:rPr>
            </w:pPr>
          </w:p>
        </w:tc>
      </w:tr>
      <w:tr>
        <w:trPr>
          <w:trHeight w:val="276"/>
        </w:trPr>
        <w:tc>
          <w:tcPr>
            <w:tcW w:w="418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5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(1,277)</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(2,645)</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(8,806)</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(4,940)</w:t>
            </w:r>
          </w:p>
        </w:tc>
        <w:tc>
          <w:tcPr>
            <w:tcW w:w="0" w:type="dxa"/>
            <w:vAlign w:val="bottom"/>
          </w:tcPr>
          <w:p>
            <w:pPr>
              <w:spacing w:after="0"/>
              <w:rPr>
                <w:sz w:val="1"/>
                <w:szCs w:val="1"/>
                <w:color w:val="auto"/>
              </w:rPr>
            </w:pPr>
          </w:p>
        </w:tc>
      </w:tr>
      <w:tr>
        <w:trPr>
          <w:trHeight w:val="265"/>
        </w:trPr>
        <w:tc>
          <w:tcPr>
            <w:tcW w:w="4180" w:type="dxa"/>
            <w:vAlign w:val="bottom"/>
          </w:tcPr>
          <w:p>
            <w:pPr>
              <w:ind w:left="240"/>
              <w:spacing w:after="0"/>
              <w:rPr>
                <w:sz w:val="20"/>
                <w:szCs w:val="20"/>
                <w:color w:val="auto"/>
              </w:rPr>
            </w:pPr>
            <w:r>
              <w:rPr>
                <w:rFonts w:ascii="Arial" w:cs="Arial" w:eastAsia="Arial" w:hAnsi="Arial"/>
                <w:sz w:val="22"/>
                <w:szCs w:val="22"/>
                <w:color w:val="auto"/>
              </w:rPr>
              <w:t>Total operating loss</w:t>
            </w:r>
          </w:p>
        </w:tc>
        <w:tc>
          <w:tcPr>
            <w:tcW w:w="5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(45,528)</w:t>
            </w:r>
          </w:p>
        </w:tc>
        <w:tc>
          <w:tcPr>
            <w:tcW w:w="100" w:type="dxa"/>
            <w:vAlign w:val="bottom"/>
          </w:tcPr>
          <w:p>
            <w:pPr>
              <w:spacing w:after="0"/>
              <w:rPr>
                <w:sz w:val="23"/>
                <w:szCs w:val="23"/>
                <w:color w:val="auto"/>
              </w:rPr>
            </w:pP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(14,591)</w:t>
            </w:r>
          </w:p>
        </w:tc>
        <w:tc>
          <w:tcPr>
            <w:tcW w:w="100" w:type="dxa"/>
            <w:vAlign w:val="bottom"/>
          </w:tcPr>
          <w:p>
            <w:pPr>
              <w:spacing w:after="0"/>
              <w:rPr>
                <w:sz w:val="23"/>
                <w:szCs w:val="23"/>
                <w:color w:val="auto"/>
              </w:rPr>
            </w:pPr>
          </w:p>
        </w:tc>
        <w:tc>
          <w:tcPr>
            <w:tcW w:w="5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(97,971)</w:t>
            </w:r>
          </w:p>
        </w:tc>
        <w:tc>
          <w:tcPr>
            <w:tcW w:w="120" w:type="dxa"/>
            <w:vAlign w:val="bottom"/>
          </w:tcPr>
          <w:p>
            <w:pPr>
              <w:spacing w:after="0"/>
              <w:rPr>
                <w:sz w:val="23"/>
                <w:szCs w:val="23"/>
                <w:color w:val="auto"/>
              </w:rPr>
            </w:pPr>
          </w:p>
        </w:tc>
        <w:tc>
          <w:tcPr>
            <w:tcW w:w="5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(95,760)</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(1) Please see Non-GAAP Reconciliation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RECONCILIATIONS</w:t>
      </w:r>
    </w:p>
    <w:p>
      <w:pPr>
        <w:jc w:val="center"/>
        <w:ind w:right="20"/>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spacing w:after="0"/>
              <w:rPr>
                <w:sz w:val="21"/>
                <w:szCs w:val="21"/>
                <w:color w:val="auto"/>
              </w:rPr>
            </w:pPr>
          </w:p>
        </w:tc>
        <w:tc>
          <w:tcPr>
            <w:tcW w:w="2700" w:type="dxa"/>
            <w:vAlign w:val="bottom"/>
            <w:gridSpan w:val="6"/>
          </w:tcPr>
          <w:p>
            <w:pPr>
              <w:ind w:left="20"/>
              <w:spacing w:after="0"/>
              <w:rPr>
                <w:sz w:val="20"/>
                <w:szCs w:val="20"/>
                <w:color w:val="auto"/>
              </w:rPr>
            </w:pPr>
            <w:r>
              <w:rPr>
                <w:rFonts w:ascii="Arial" w:cs="Arial" w:eastAsia="Arial" w:hAnsi="Arial"/>
                <w:sz w:val="22"/>
                <w:szCs w:val="22"/>
                <w:b w:val="1"/>
                <w:bCs w:val="1"/>
                <w:color w:val="auto"/>
              </w:rPr>
              <w:t>THREE MONTHS ENDED</w:t>
            </w:r>
          </w:p>
        </w:tc>
        <w:tc>
          <w:tcPr>
            <w:tcW w:w="2920" w:type="dxa"/>
            <w:vAlign w:val="bottom"/>
            <w:gridSpan w:val="5"/>
          </w:tcPr>
          <w:p>
            <w:pPr>
              <w:jc w:val="right"/>
              <w:spacing w:after="0"/>
              <w:rPr>
                <w:sz w:val="20"/>
                <w:szCs w:val="20"/>
                <w:color w:val="auto"/>
              </w:rPr>
            </w:pPr>
            <w:r>
              <w:rPr>
                <w:rFonts w:ascii="Arial" w:cs="Arial" w:eastAsia="Arial" w:hAnsi="Arial"/>
                <w:sz w:val="22"/>
                <w:szCs w:val="22"/>
                <w:b w:val="1"/>
                <w:bCs w:val="1"/>
                <w:color w:val="auto"/>
              </w:rPr>
              <w:t>TWELVE MONTHS ENDED</w:t>
            </w:r>
          </w:p>
        </w:tc>
      </w:tr>
      <w:tr>
        <w:trPr>
          <w:trHeight w:val="270"/>
        </w:trPr>
        <w:tc>
          <w:tcPr>
            <w:tcW w:w="5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gridSpan w:val="5"/>
          </w:tcPr>
          <w:p>
            <w:pPr>
              <w:ind w:left="240"/>
              <w:spacing w:after="0"/>
              <w:rPr>
                <w:sz w:val="20"/>
                <w:szCs w:val="20"/>
                <w:color w:val="auto"/>
              </w:rPr>
            </w:pPr>
            <w:r>
              <w:rPr>
                <w:rFonts w:ascii="Arial" w:cs="Arial" w:eastAsia="Arial" w:hAnsi="Arial"/>
                <w:sz w:val="22"/>
                <w:szCs w:val="22"/>
                <w:b w:val="1"/>
                <w:bCs w:val="1"/>
                <w:color w:val="auto"/>
              </w:rPr>
              <w:t>DECEMBER 31,</w:t>
            </w:r>
          </w:p>
        </w:tc>
        <w:tc>
          <w:tcPr>
            <w:tcW w:w="320" w:type="dxa"/>
            <w:vAlign w:val="bottom"/>
          </w:tcPr>
          <w:p>
            <w:pPr>
              <w:spacing w:after="0"/>
              <w:rPr>
                <w:sz w:val="23"/>
                <w:szCs w:val="23"/>
                <w:color w:val="auto"/>
              </w:rPr>
            </w:pPr>
          </w:p>
        </w:tc>
        <w:tc>
          <w:tcPr>
            <w:tcW w:w="2600" w:type="dxa"/>
            <w:vAlign w:val="bottom"/>
            <w:gridSpan w:val="4"/>
          </w:tcPr>
          <w:p>
            <w:pPr>
              <w:jc w:val="right"/>
              <w:ind w:right="572"/>
              <w:spacing w:after="0"/>
              <w:rPr>
                <w:sz w:val="20"/>
                <w:szCs w:val="20"/>
                <w:color w:val="auto"/>
              </w:rPr>
            </w:pPr>
            <w:r>
              <w:rPr>
                <w:rFonts w:ascii="Arial" w:cs="Arial" w:eastAsia="Arial" w:hAnsi="Arial"/>
                <w:sz w:val="22"/>
                <w:szCs w:val="22"/>
                <w:b w:val="1"/>
                <w:bCs w:val="1"/>
                <w:color w:val="auto"/>
              </w:rPr>
              <w:t>DECEMBER 31,</w:t>
            </w:r>
          </w:p>
        </w:tc>
      </w:tr>
      <w:tr>
        <w:trPr>
          <w:trHeight w:val="282"/>
        </w:trPr>
        <w:tc>
          <w:tcPr>
            <w:tcW w:w="5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2016</w:t>
            </w:r>
          </w:p>
        </w:tc>
      </w:tr>
      <w:tr>
        <w:trPr>
          <w:trHeight w:val="528"/>
        </w:trPr>
        <w:tc>
          <w:tcPr>
            <w:tcW w:w="5700" w:type="dxa"/>
            <w:vAlign w:val="bottom"/>
          </w:tcPr>
          <w:p>
            <w:pPr>
              <w:spacing w:after="0"/>
              <w:rPr>
                <w:sz w:val="20"/>
                <w:szCs w:val="20"/>
                <w:color w:val="auto"/>
              </w:rPr>
            </w:pPr>
            <w:r>
              <w:rPr>
                <w:rFonts w:ascii="Arial" w:cs="Arial" w:eastAsia="Arial" w:hAnsi="Arial"/>
                <w:sz w:val="22"/>
                <w:szCs w:val="22"/>
                <w:color w:val="auto"/>
              </w:rPr>
              <w:t>EBITDA (1)</w:t>
            </w:r>
          </w:p>
        </w:tc>
        <w:tc>
          <w:tcPr>
            <w:tcW w:w="280" w:type="dxa"/>
            <w:vAlign w:val="bottom"/>
          </w:tcPr>
          <w:p>
            <w:pPr>
              <w:ind w:left="20"/>
              <w:spacing w:after="0"/>
              <w:rPr>
                <w:sz w:val="20"/>
                <w:szCs w:val="20"/>
                <w:color w:val="auto"/>
              </w:rPr>
            </w:pPr>
            <w:r>
              <w:rPr>
                <w:rFonts w:ascii="Arial" w:cs="Arial" w:eastAsia="Arial" w:hAnsi="Arial"/>
                <w:sz w:val="22"/>
                <w:szCs w:val="22"/>
                <w:color w:val="auto"/>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(16,223)</w:t>
            </w:r>
          </w:p>
        </w:tc>
        <w:tc>
          <w:tcPr>
            <w:tcW w:w="10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ind w:right="32"/>
              <w:spacing w:after="0"/>
              <w:rPr>
                <w:sz w:val="20"/>
                <w:szCs w:val="20"/>
                <w:color w:val="auto"/>
              </w:rPr>
            </w:pPr>
            <w:r>
              <w:rPr>
                <w:rFonts w:ascii="Arial" w:cs="Arial" w:eastAsia="Arial" w:hAnsi="Arial"/>
                <w:sz w:val="22"/>
                <w:szCs w:val="22"/>
                <w:color w:val="auto"/>
              </w:rPr>
              <w:t>17,735</w:t>
            </w:r>
          </w:p>
        </w:tc>
        <w:tc>
          <w:tcPr>
            <w:tcW w:w="80" w:type="dxa"/>
            <w:vAlign w:val="bottom"/>
          </w:tcPr>
          <w:p>
            <w:pPr>
              <w:spacing w:after="0"/>
              <w:rPr>
                <w:sz w:val="24"/>
                <w:szCs w:val="24"/>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29,321</w:t>
            </w:r>
          </w:p>
        </w:tc>
        <w:tc>
          <w:tcPr>
            <w:tcW w:w="100" w:type="dxa"/>
            <w:vAlign w:val="bottom"/>
          </w:tcPr>
          <w:p>
            <w:pPr>
              <w:spacing w:after="0"/>
              <w:rPr>
                <w:sz w:val="24"/>
                <w:szCs w:val="24"/>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37,626</w:t>
            </w:r>
          </w:p>
        </w:tc>
      </w:tr>
      <w:tr>
        <w:trPr>
          <w:trHeight w:val="270"/>
        </w:trPr>
        <w:tc>
          <w:tcPr>
            <w:tcW w:w="5700" w:type="dxa"/>
            <w:vAlign w:val="bottom"/>
          </w:tcPr>
          <w:p>
            <w:pPr>
              <w:spacing w:after="0"/>
              <w:rPr>
                <w:sz w:val="20"/>
                <w:szCs w:val="20"/>
                <w:color w:val="auto"/>
              </w:rPr>
            </w:pPr>
            <w:r>
              <w:rPr>
                <w:rFonts w:ascii="Arial" w:cs="Arial" w:eastAsia="Arial" w:hAnsi="Arial"/>
                <w:sz w:val="22"/>
                <w:szCs w:val="22"/>
                <w:color w:val="auto"/>
              </w:rPr>
              <w:t>Adjusted EBITDA (1)</w:t>
            </w:r>
          </w:p>
        </w:tc>
        <w:tc>
          <w:tcPr>
            <w:tcW w:w="280" w:type="dxa"/>
            <w:vAlign w:val="bottom"/>
          </w:tcPr>
          <w:p>
            <w:pPr>
              <w:ind w:left="20"/>
              <w:spacing w:after="0"/>
              <w:rPr>
                <w:sz w:val="20"/>
                <w:szCs w:val="20"/>
                <w:color w:val="auto"/>
              </w:rPr>
            </w:pPr>
            <w:r>
              <w:rPr>
                <w:rFonts w:ascii="Arial" w:cs="Arial" w:eastAsia="Arial" w:hAnsi="Arial"/>
                <w:sz w:val="22"/>
                <w:szCs w:val="22"/>
                <w:color w:val="auto"/>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13,299</w:t>
            </w:r>
          </w:p>
        </w:tc>
        <w:tc>
          <w:tcPr>
            <w:tcW w:w="10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ind w:right="32"/>
              <w:spacing w:after="0"/>
              <w:rPr>
                <w:sz w:val="20"/>
                <w:szCs w:val="20"/>
                <w:color w:val="auto"/>
              </w:rPr>
            </w:pPr>
            <w:r>
              <w:rPr>
                <w:rFonts w:ascii="Arial" w:cs="Arial" w:eastAsia="Arial" w:hAnsi="Arial"/>
                <w:sz w:val="22"/>
                <w:szCs w:val="22"/>
                <w:color w:val="auto"/>
              </w:rPr>
              <w:t>17,735</w:t>
            </w:r>
          </w:p>
        </w:tc>
        <w:tc>
          <w:tcPr>
            <w:tcW w:w="8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63,203</w:t>
            </w:r>
          </w:p>
        </w:tc>
        <w:tc>
          <w:tcPr>
            <w:tcW w:w="10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86,733</w:t>
            </w:r>
          </w:p>
        </w:tc>
      </w:tr>
      <w:tr>
        <w:trPr>
          <w:trHeight w:val="275"/>
        </w:trPr>
        <w:tc>
          <w:tcPr>
            <w:tcW w:w="5700" w:type="dxa"/>
            <w:vAlign w:val="bottom"/>
          </w:tcPr>
          <w:p>
            <w:pPr>
              <w:spacing w:after="0"/>
              <w:rPr>
                <w:sz w:val="20"/>
                <w:szCs w:val="20"/>
                <w:color w:val="auto"/>
              </w:rPr>
            </w:pPr>
            <w:r>
              <w:rPr>
                <w:rFonts w:ascii="Arial" w:cs="Arial" w:eastAsia="Arial" w:hAnsi="Arial"/>
                <w:sz w:val="22"/>
                <w:szCs w:val="22"/>
                <w:color w:val="auto"/>
              </w:rPr>
              <w:t>Free Cash Flow (2)</w:t>
            </w:r>
          </w:p>
        </w:tc>
        <w:tc>
          <w:tcPr>
            <w:tcW w:w="280" w:type="dxa"/>
            <w:vAlign w:val="bottom"/>
          </w:tcPr>
          <w:p>
            <w:pPr>
              <w:ind w:left="20"/>
              <w:spacing w:after="0"/>
              <w:rPr>
                <w:sz w:val="20"/>
                <w:szCs w:val="20"/>
                <w:color w:val="auto"/>
              </w:rPr>
            </w:pPr>
            <w:r>
              <w:rPr>
                <w:rFonts w:ascii="Arial" w:cs="Arial" w:eastAsia="Arial" w:hAnsi="Arial"/>
                <w:sz w:val="22"/>
                <w:szCs w:val="22"/>
                <w:color w:val="auto"/>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8,410</w:t>
            </w:r>
          </w:p>
        </w:tc>
        <w:tc>
          <w:tcPr>
            <w:tcW w:w="10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ind w:right="32"/>
              <w:spacing w:after="0"/>
              <w:rPr>
                <w:sz w:val="20"/>
                <w:szCs w:val="20"/>
                <w:color w:val="auto"/>
              </w:rPr>
            </w:pPr>
            <w:r>
              <w:rPr>
                <w:rFonts w:ascii="Arial" w:cs="Arial" w:eastAsia="Arial" w:hAnsi="Arial"/>
                <w:sz w:val="22"/>
                <w:szCs w:val="22"/>
                <w:color w:val="auto"/>
              </w:rPr>
              <w:t>10,091</w:t>
            </w:r>
          </w:p>
        </w:tc>
        <w:tc>
          <w:tcPr>
            <w:tcW w:w="8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47,540</w:t>
            </w:r>
          </w:p>
        </w:tc>
        <w:tc>
          <w:tcPr>
            <w:tcW w:w="10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48,165</w:t>
            </w:r>
          </w:p>
        </w:tc>
      </w:tr>
    </w:tbl>
    <w:p>
      <w:pPr>
        <w:spacing w:after="0" w:line="266" w:lineRule="exact"/>
        <w:rPr>
          <w:sz w:val="20"/>
          <w:szCs w:val="20"/>
          <w:color w:val="auto"/>
        </w:rPr>
      </w:pPr>
    </w:p>
    <w:p>
      <w:pPr>
        <w:ind w:right="60" w:firstLine="2"/>
        <w:spacing w:after="0" w:line="272" w:lineRule="auto"/>
        <w:tabs>
          <w:tab w:leader="none" w:pos="306"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term EBITDA is defined as net income (loss) plus interest, taxes, depreciation and amortization. The term Adjusted EBITDA is defined as EBITDA adjusted to exclude impairment charges, certain costs associated with Civeo's redomiciliation and its acquisition of Noralta and severance costs.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43" w:lineRule="exact"/>
        <w:rPr>
          <w:sz w:val="20"/>
          <w:szCs w:val="20"/>
          <w:color w:val="auto"/>
        </w:rPr>
      </w:pPr>
    </w:p>
    <w:p>
      <w:pPr>
        <w:jc w:val="both"/>
        <w:ind w:right="980"/>
        <w:spacing w:after="0"/>
        <w:rPr>
          <w:sz w:val="20"/>
          <w:szCs w:val="20"/>
          <w:color w:val="auto"/>
        </w:rPr>
      </w:pPr>
      <w:r>
        <w:rPr>
          <w:rFonts w:ascii="Arial" w:cs="Arial" w:eastAsia="Arial" w:hAnsi="Arial"/>
          <w:sz w:val="22"/>
          <w:szCs w:val="22"/>
          <w:color w:val="auto"/>
        </w:rPr>
        <w:t>The following table sets forth a reconciliation of EBITDA and Adjusted EBITDA to net loss, which is the most directly comparable measure of financial performance calculated under generally accepted accounting principles (in thousands) (unaudited):</w:t>
      </w:r>
    </w:p>
    <w:p>
      <w:pPr>
        <w:spacing w:after="0" w:line="252" w:lineRule="exact"/>
        <w:rPr>
          <w:sz w:val="20"/>
          <w:szCs w:val="20"/>
          <w:color w:val="auto"/>
        </w:rPr>
      </w:pPr>
    </w:p>
    <w:tbl>
      <w:tblPr>
        <w:tblLayout w:type="fixed"/>
        <w:tblInd w:w="5700" w:type="dxa"/>
        <w:tblCellMar>
          <w:top w:w="0" w:type="dxa"/>
          <w:left w:w="0" w:type="dxa"/>
          <w:bottom w:w="0" w:type="dxa"/>
          <w:right w:w="0" w:type="dxa"/>
        </w:tblCellMar>
      </w:tblPr>
      <w:tr>
        <w:trPr>
          <w:trHeight w:val="253"/>
        </w:trPr>
        <w:tc>
          <w:tcPr>
            <w:tcW w:w="2700" w:type="dxa"/>
            <w:vAlign w:val="bottom"/>
            <w:gridSpan w:val="4"/>
          </w:tcPr>
          <w:p>
            <w:pPr>
              <w:jc w:val="center"/>
              <w:ind w:right="80"/>
              <w:spacing w:after="0"/>
              <w:rPr>
                <w:sz w:val="20"/>
                <w:szCs w:val="20"/>
                <w:color w:val="auto"/>
              </w:rPr>
            </w:pPr>
            <w:r>
              <w:rPr>
                <w:rFonts w:ascii="Arial" w:cs="Arial" w:eastAsia="Arial" w:hAnsi="Arial"/>
                <w:sz w:val="22"/>
                <w:szCs w:val="22"/>
                <w:b w:val="1"/>
                <w:bCs w:val="1"/>
                <w:color w:val="auto"/>
                <w:w w:val="99"/>
              </w:rPr>
              <w:t>THREE MONTHS ENDED</w:t>
            </w:r>
          </w:p>
        </w:tc>
        <w:tc>
          <w:tcPr>
            <w:tcW w:w="2920" w:type="dxa"/>
            <w:vAlign w:val="bottom"/>
            <w:gridSpan w:val="3"/>
          </w:tcPr>
          <w:p>
            <w:pPr>
              <w:jc w:val="center"/>
              <w:spacing w:after="0"/>
              <w:rPr>
                <w:sz w:val="20"/>
                <w:szCs w:val="20"/>
                <w:color w:val="auto"/>
              </w:rPr>
            </w:pPr>
            <w:r>
              <w:rPr>
                <w:rFonts w:ascii="Arial" w:cs="Arial" w:eastAsia="Arial" w:hAnsi="Arial"/>
                <w:sz w:val="22"/>
                <w:szCs w:val="22"/>
                <w:b w:val="1"/>
                <w:bCs w:val="1"/>
                <w:color w:val="auto"/>
                <w:w w:val="99"/>
              </w:rPr>
              <w:t>TWELVE MONTHS ENDED</w:t>
            </w:r>
          </w:p>
        </w:tc>
      </w:tr>
      <w:tr>
        <w:trPr>
          <w:trHeight w:val="270"/>
        </w:trPr>
        <w:tc>
          <w:tcPr>
            <w:tcW w:w="2700" w:type="dxa"/>
            <w:vAlign w:val="bottom"/>
            <w:gridSpan w:val="4"/>
          </w:tcPr>
          <w:p>
            <w:pPr>
              <w:jc w:val="center"/>
              <w:ind w:right="80"/>
              <w:spacing w:after="0"/>
              <w:rPr>
                <w:sz w:val="20"/>
                <w:szCs w:val="20"/>
                <w:color w:val="auto"/>
              </w:rPr>
            </w:pPr>
            <w:r>
              <w:rPr>
                <w:rFonts w:ascii="Arial" w:cs="Arial" w:eastAsia="Arial" w:hAnsi="Arial"/>
                <w:sz w:val="22"/>
                <w:szCs w:val="22"/>
                <w:b w:val="1"/>
                <w:bCs w:val="1"/>
                <w:color w:val="auto"/>
                <w:w w:val="97"/>
              </w:rPr>
              <w:t>DECEMBER 31,</w:t>
            </w:r>
          </w:p>
        </w:tc>
        <w:tc>
          <w:tcPr>
            <w:tcW w:w="2920" w:type="dxa"/>
            <w:vAlign w:val="bottom"/>
            <w:gridSpan w:val="3"/>
          </w:tcPr>
          <w:p>
            <w:pPr>
              <w:jc w:val="center"/>
              <w:spacing w:after="0"/>
              <w:rPr>
                <w:sz w:val="20"/>
                <w:szCs w:val="20"/>
                <w:color w:val="auto"/>
              </w:rPr>
            </w:pPr>
            <w:r>
              <w:rPr>
                <w:rFonts w:ascii="Arial" w:cs="Arial" w:eastAsia="Arial" w:hAnsi="Arial"/>
                <w:sz w:val="22"/>
                <w:szCs w:val="22"/>
                <w:b w:val="1"/>
                <w:bCs w:val="1"/>
                <w:color w:val="auto"/>
                <w:w w:val="95"/>
              </w:rPr>
              <w:t>DECEMBER 31,</w:t>
            </w:r>
          </w:p>
        </w:tc>
      </w:tr>
      <w:tr>
        <w:trPr>
          <w:trHeight w:val="282"/>
        </w:trPr>
        <w:tc>
          <w:tcPr>
            <w:tcW w:w="122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130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142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140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2016</w:t>
            </w:r>
          </w:p>
        </w:tc>
      </w:tr>
    </w:tbl>
    <w:p>
      <w:pPr>
        <w:sectPr>
          <w:pgSz w:w="11900" w:h="16838" w:orient="portrait"/>
          <w:cols w:equalWidth="0" w:num="1">
            <w:col w:w="11320"/>
          </w:cols>
          <w:pgMar w:left="260" w:top="118" w:right="319" w:bottom="9" w:gutter="0" w:footer="0" w:header="0"/>
        </w:sectPr>
      </w:pPr>
    </w:p>
    <w:bookmarkStart w:id="9" w:name="page10"/>
    <w:bookmarkEnd w:id="9"/>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271"/>
        </w:trPr>
        <w:tc>
          <w:tcPr>
            <w:tcW w:w="5300" w:type="dxa"/>
            <w:vAlign w:val="bottom"/>
          </w:tcPr>
          <w:p>
            <w:pPr>
              <w:spacing w:after="0"/>
              <w:rPr>
                <w:sz w:val="20"/>
                <w:szCs w:val="20"/>
                <w:color w:val="auto"/>
              </w:rPr>
            </w:pPr>
            <w:r>
              <w:rPr>
                <w:rFonts w:ascii="Arial" w:cs="Arial" w:eastAsia="Arial" w:hAnsi="Arial"/>
                <w:sz w:val="22"/>
                <w:szCs w:val="22"/>
                <w:color w:val="auto"/>
              </w:rPr>
              <w:t>Net loss</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(47,579)</w:t>
            </w:r>
          </w:p>
        </w:tc>
        <w:tc>
          <w:tcPr>
            <w:tcW w:w="10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980" w:type="dxa"/>
            <w:vAlign w:val="bottom"/>
          </w:tcPr>
          <w:p>
            <w:pPr>
              <w:jc w:val="right"/>
              <w:spacing w:after="0"/>
              <w:rPr>
                <w:sz w:val="20"/>
                <w:szCs w:val="20"/>
                <w:color w:val="auto"/>
              </w:rPr>
            </w:pPr>
            <w:r>
              <w:rPr>
                <w:rFonts w:ascii="Arial" w:cs="Arial" w:eastAsia="Arial" w:hAnsi="Arial"/>
                <w:sz w:val="22"/>
                <w:szCs w:val="22"/>
                <w:color w:val="auto"/>
              </w:rPr>
              <w:t>(15,949)</w:t>
            </w:r>
          </w:p>
        </w:tc>
        <w:tc>
          <w:tcPr>
            <w:tcW w:w="80" w:type="dxa"/>
            <w:vAlign w:val="bottom"/>
          </w:tcPr>
          <w:p>
            <w:pPr>
              <w:spacing w:after="0"/>
              <w:rPr>
                <w:sz w:val="23"/>
                <w:szCs w:val="23"/>
                <w:color w:val="auto"/>
              </w:rPr>
            </w:pPr>
          </w:p>
        </w:tc>
        <w:tc>
          <w:tcPr>
            <w:tcW w:w="340" w:type="dxa"/>
            <w:vAlign w:val="bottom"/>
          </w:tcPr>
          <w:p>
            <w:pPr>
              <w:jc w:val="right"/>
              <w:ind w:right="92"/>
              <w:spacing w:after="0"/>
              <w:rPr>
                <w:sz w:val="20"/>
                <w:szCs w:val="20"/>
                <w:color w:val="auto"/>
              </w:rPr>
            </w:pPr>
            <w:r>
              <w:rPr>
                <w:rFonts w:ascii="Arial" w:cs="Arial" w:eastAsia="Arial" w:hAnsi="Arial"/>
                <w:sz w:val="22"/>
                <w:szCs w:val="22"/>
                <w:color w:val="auto"/>
                <w:w w:val="97"/>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(105,713)</w:t>
            </w:r>
          </w:p>
        </w:tc>
        <w:tc>
          <w:tcPr>
            <w:tcW w:w="100" w:type="dxa"/>
            <w:vAlign w:val="bottom"/>
          </w:tcPr>
          <w:p>
            <w:pPr>
              <w:spacing w:after="0"/>
              <w:rPr>
                <w:sz w:val="23"/>
                <w:szCs w:val="23"/>
                <w:color w:val="auto"/>
              </w:rPr>
            </w:pPr>
          </w:p>
        </w:tc>
        <w:tc>
          <w:tcPr>
            <w:tcW w:w="360" w:type="dxa"/>
            <w:vAlign w:val="bottom"/>
          </w:tcPr>
          <w:p>
            <w:pPr>
              <w:jc w:val="right"/>
              <w:ind w:right="112"/>
              <w:spacing w:after="0"/>
              <w:rPr>
                <w:sz w:val="20"/>
                <w:szCs w:val="20"/>
                <w:color w:val="auto"/>
              </w:rPr>
            </w:pPr>
            <w:r>
              <w:rPr>
                <w:rFonts w:ascii="Arial" w:cs="Arial" w:eastAsia="Arial" w:hAnsi="Arial"/>
                <w:sz w:val="22"/>
                <w:szCs w:val="22"/>
                <w:color w:val="auto"/>
                <w:w w:val="97"/>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(96,388)</w:t>
            </w:r>
          </w:p>
        </w:tc>
      </w:tr>
      <w:tr>
        <w:trPr>
          <w:trHeight w:val="270"/>
        </w:trPr>
        <w:tc>
          <w:tcPr>
            <w:tcW w:w="5300" w:type="dxa"/>
            <w:vAlign w:val="bottom"/>
          </w:tcPr>
          <w:p>
            <w:pPr>
              <w:spacing w:after="0"/>
              <w:rPr>
                <w:sz w:val="20"/>
                <w:szCs w:val="20"/>
                <w:color w:val="auto"/>
              </w:rPr>
            </w:pPr>
            <w:r>
              <w:rPr>
                <w:rFonts w:ascii="Arial" w:cs="Arial" w:eastAsia="Arial" w:hAnsi="Arial"/>
                <w:sz w:val="22"/>
                <w:szCs w:val="22"/>
                <w:color w:val="auto"/>
              </w:rPr>
              <w:t>Income tax benefit</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(3,615)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(2,888)</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(13,490)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(20,105)</w:t>
            </w:r>
          </w:p>
        </w:tc>
      </w:tr>
      <w:tr>
        <w:trPr>
          <w:trHeight w:val="270"/>
        </w:trPr>
        <w:tc>
          <w:tcPr>
            <w:tcW w:w="530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29,360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30,858</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126,443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131,302</w:t>
            </w:r>
          </w:p>
        </w:tc>
      </w:tr>
      <w:tr>
        <w:trPr>
          <w:trHeight w:val="270"/>
        </w:trPr>
        <w:tc>
          <w:tcPr>
            <w:tcW w:w="5300" w:type="dxa"/>
            <w:vAlign w:val="bottom"/>
          </w:tcPr>
          <w:p>
            <w:pPr>
              <w:spacing w:after="0"/>
              <w:rPr>
                <w:sz w:val="20"/>
                <w:szCs w:val="20"/>
                <w:color w:val="auto"/>
              </w:rPr>
            </w:pPr>
            <w:r>
              <w:rPr>
                <w:rFonts w:ascii="Arial" w:cs="Arial" w:eastAsia="Arial" w:hAnsi="Arial"/>
                <w:sz w:val="22"/>
                <w:szCs w:val="22"/>
                <w:color w:val="auto"/>
              </w:rPr>
              <w:t>Interest income</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(131)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(12)</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(152)</w:t>
            </w:r>
          </w:p>
        </w:tc>
      </w:tr>
      <w:tr>
        <w:trPr>
          <w:trHeight w:val="270"/>
        </w:trPr>
        <w:tc>
          <w:tcPr>
            <w:tcW w:w="530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30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842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302</w:t>
            </w:r>
          </w:p>
        </w:tc>
      </w:tr>
      <w:tr>
        <w:trPr>
          <w:trHeight w:val="275"/>
        </w:trPr>
        <w:tc>
          <w:tcPr>
            <w:tcW w:w="5300" w:type="dxa"/>
            <w:vAlign w:val="bottom"/>
          </w:tcPr>
          <w:p>
            <w:pPr>
              <w:spacing w:after="0"/>
              <w:rPr>
                <w:sz w:val="20"/>
                <w:szCs w:val="20"/>
                <w:color w:val="auto"/>
              </w:rPr>
            </w:pPr>
            <w:r>
              <w:rPr>
                <w:rFonts w:ascii="Arial" w:cs="Arial" w:eastAsia="Arial" w:hAnsi="Arial"/>
                <w:sz w:val="22"/>
                <w:szCs w:val="22"/>
                <w:color w:val="auto"/>
              </w:rPr>
              <w:t>Interest expense</w:t>
            </w: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5,742</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5,726</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21,439</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22,667</w:t>
            </w:r>
          </w:p>
        </w:tc>
      </w:tr>
      <w:tr>
        <w:trPr>
          <w:trHeight w:val="267"/>
        </w:trPr>
        <w:tc>
          <w:tcPr>
            <w:tcW w:w="5300" w:type="dxa"/>
            <w:vAlign w:val="bottom"/>
          </w:tcPr>
          <w:p>
            <w:pPr>
              <w:ind w:left="100"/>
              <w:spacing w:after="0"/>
              <w:rPr>
                <w:sz w:val="20"/>
                <w:szCs w:val="20"/>
                <w:color w:val="auto"/>
              </w:rPr>
            </w:pPr>
            <w:r>
              <w:rPr>
                <w:rFonts w:ascii="Arial" w:cs="Arial" w:eastAsia="Arial" w:hAnsi="Arial"/>
                <w:sz w:val="22"/>
                <w:szCs w:val="22"/>
                <w:color w:val="auto"/>
              </w:rPr>
              <w:t>EBITDA</w:t>
            </w: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(16,223)</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17,735</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29,321</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97"/>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37,626</w:t>
            </w:r>
          </w:p>
        </w:tc>
      </w:tr>
      <w:tr>
        <w:trPr>
          <w:trHeight w:val="256"/>
        </w:trPr>
        <w:tc>
          <w:tcPr>
            <w:tcW w:w="5300" w:type="dxa"/>
            <w:vAlign w:val="bottom"/>
          </w:tcPr>
          <w:p>
            <w:pPr>
              <w:spacing w:after="0"/>
              <w:rPr>
                <w:sz w:val="20"/>
                <w:szCs w:val="20"/>
                <w:color w:val="auto"/>
              </w:rPr>
            </w:pPr>
            <w:r>
              <w:rPr>
                <w:rFonts w:ascii="Arial" w:cs="Arial" w:eastAsia="Arial" w:hAnsi="Arial"/>
                <w:sz w:val="22"/>
                <w:szCs w:val="22"/>
                <w:color w:val="auto"/>
              </w:rPr>
              <w:t>Adjustments to EBITDA</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5300" w:type="dxa"/>
            <w:vAlign w:val="bottom"/>
          </w:tcPr>
          <w:p>
            <w:pPr>
              <w:ind w:left="100"/>
              <w:spacing w:after="0"/>
              <w:rPr>
                <w:sz w:val="20"/>
                <w:szCs w:val="20"/>
                <w:color w:val="auto"/>
              </w:rPr>
            </w:pPr>
            <w:r>
              <w:rPr>
                <w:rFonts w:ascii="Arial" w:cs="Arial" w:eastAsia="Arial" w:hAnsi="Arial"/>
                <w:sz w:val="22"/>
                <w:szCs w:val="22"/>
                <w:color w:val="auto"/>
              </w:rPr>
              <w:t>Impairment expense (a)</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27,244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31,604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46,979</w:t>
            </w:r>
          </w:p>
        </w:tc>
      </w:tr>
      <w:tr>
        <w:trPr>
          <w:trHeight w:val="270"/>
        </w:trPr>
        <w:tc>
          <w:tcPr>
            <w:tcW w:w="5300" w:type="dxa"/>
            <w:vAlign w:val="bottom"/>
          </w:tcPr>
          <w:p>
            <w:pPr>
              <w:ind w:left="100"/>
              <w:spacing w:after="0"/>
              <w:rPr>
                <w:sz w:val="20"/>
                <w:szCs w:val="20"/>
                <w:color w:val="auto"/>
              </w:rPr>
            </w:pPr>
            <w:r>
              <w:rPr>
                <w:rFonts w:ascii="Arial" w:cs="Arial" w:eastAsia="Arial" w:hAnsi="Arial"/>
                <w:sz w:val="22"/>
                <w:szCs w:val="22"/>
                <w:color w:val="auto"/>
              </w:rPr>
              <w:t>Noralta transaction costs (b)</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2,278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2,278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w:t>
            </w:r>
          </w:p>
        </w:tc>
      </w:tr>
      <w:tr>
        <w:trPr>
          <w:trHeight w:val="270"/>
        </w:trPr>
        <w:tc>
          <w:tcPr>
            <w:tcW w:w="5300" w:type="dxa"/>
            <w:vAlign w:val="bottom"/>
          </w:tcPr>
          <w:p>
            <w:pPr>
              <w:ind w:left="100"/>
              <w:spacing w:after="0"/>
              <w:rPr>
                <w:sz w:val="20"/>
                <w:szCs w:val="20"/>
                <w:color w:val="auto"/>
              </w:rPr>
            </w:pPr>
            <w:r>
              <w:rPr>
                <w:rFonts w:ascii="Arial" w:cs="Arial" w:eastAsia="Arial" w:hAnsi="Arial"/>
                <w:sz w:val="22"/>
                <w:szCs w:val="22"/>
                <w:color w:val="auto"/>
              </w:rPr>
              <w:t>Redomiciliation costs (c)</w:t>
            </w:r>
          </w:p>
        </w:tc>
        <w:tc>
          <w:tcPr>
            <w:tcW w:w="30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1,271</w:t>
            </w:r>
          </w:p>
        </w:tc>
      </w:tr>
      <w:tr>
        <w:trPr>
          <w:trHeight w:val="276"/>
        </w:trPr>
        <w:tc>
          <w:tcPr>
            <w:tcW w:w="5300" w:type="dxa"/>
            <w:vAlign w:val="bottom"/>
          </w:tcPr>
          <w:p>
            <w:pPr>
              <w:ind w:left="100"/>
              <w:spacing w:after="0"/>
              <w:rPr>
                <w:sz w:val="20"/>
                <w:szCs w:val="20"/>
                <w:color w:val="auto"/>
              </w:rPr>
            </w:pPr>
            <w:r>
              <w:rPr>
                <w:rFonts w:ascii="Arial" w:cs="Arial" w:eastAsia="Arial" w:hAnsi="Arial"/>
                <w:sz w:val="22"/>
                <w:szCs w:val="22"/>
                <w:color w:val="auto"/>
              </w:rPr>
              <w:t>Severance (d)</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857</w:t>
            </w:r>
          </w:p>
        </w:tc>
      </w:tr>
      <w:tr>
        <w:trPr>
          <w:trHeight w:val="265"/>
        </w:trPr>
        <w:tc>
          <w:tcPr>
            <w:tcW w:w="5300" w:type="dxa"/>
            <w:vAlign w:val="bottom"/>
          </w:tcPr>
          <w:p>
            <w:pPr>
              <w:ind w:left="200"/>
              <w:spacing w:after="0"/>
              <w:rPr>
                <w:sz w:val="20"/>
                <w:szCs w:val="20"/>
                <w:color w:val="auto"/>
              </w:rPr>
            </w:pPr>
            <w:r>
              <w:rPr>
                <w:rFonts w:ascii="Arial" w:cs="Arial" w:eastAsia="Arial" w:hAnsi="Arial"/>
                <w:sz w:val="22"/>
                <w:szCs w:val="22"/>
                <w:color w:val="auto"/>
              </w:rPr>
              <w:t>Adjusted EBITDA</w:t>
            </w: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13,299</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17,735</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63,203</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97"/>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86,733</w:t>
            </w:r>
          </w:p>
        </w:tc>
      </w:tr>
      <w:tr>
        <w:trPr>
          <w:trHeight w:val="21"/>
        </w:trPr>
        <w:tc>
          <w:tcPr>
            <w:tcW w:w="5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right="160" w:firstLine="2"/>
        <w:spacing w:after="0" w:line="275" w:lineRule="auto"/>
        <w:tabs>
          <w:tab w:leader="none" w:pos="294" w:val="left"/>
        </w:tabs>
        <w:numPr>
          <w:ilvl w:val="0"/>
          <w:numId w:val="4"/>
        </w:numPr>
        <w:rPr>
          <w:rFonts w:ascii="Arial" w:cs="Arial" w:eastAsia="Arial" w:hAnsi="Arial"/>
          <w:sz w:val="19"/>
          <w:szCs w:val="19"/>
          <w:color w:val="auto"/>
        </w:rPr>
      </w:pPr>
      <w:r>
        <w:rPr>
          <w:rFonts w:ascii="Arial" w:cs="Arial" w:eastAsia="Arial" w:hAnsi="Arial"/>
          <w:sz w:val="19"/>
          <w:szCs w:val="19"/>
          <w:color w:val="auto"/>
        </w:rPr>
        <w:t>Relates to the impairment of assets in Canada and the United States. During the fourth quarter 2017, we recorded a pre-tax loss of $27.2 million ($19.9 million after-tax, or $0.15 per diluted share), which is included in Impairment expense on the unaudited statements of operations. During the third quarter 2017, we recorded a pre-tax loss of $4.4 million ($3.2 million after-tax, or $0.02 per diluted share), which is included in Impairment expense on the unaudited statements of operations. During the third quarter 2016, we recorded a pre-tax loss of $38.6 million ($28.2 million after-tax, or $0.26 per diluted share), of which $0.9 million is included in Cost of sales and $37.7 million is included in Impairment expense on the unaudited statements of operations. During the first quarter 2016, we recorded a pre-tax loss of $8.4 million ($8.4 million after-tax, or $0.08 per diluted share), which is included in Impairment expense on the unaudited statements of operations.</w:t>
      </w:r>
    </w:p>
    <w:p>
      <w:pPr>
        <w:spacing w:after="0" w:line="239" w:lineRule="exact"/>
        <w:rPr>
          <w:rFonts w:ascii="Arial" w:cs="Arial" w:eastAsia="Arial" w:hAnsi="Arial"/>
          <w:sz w:val="19"/>
          <w:szCs w:val="19"/>
          <w:color w:val="auto"/>
        </w:rPr>
      </w:pPr>
    </w:p>
    <w:p>
      <w:pPr>
        <w:ind w:right="40" w:firstLine="2"/>
        <w:spacing w:after="0"/>
        <w:tabs>
          <w:tab w:leader="none" w:pos="306" w:val="left"/>
        </w:tabs>
        <w:numPr>
          <w:ilvl w:val="0"/>
          <w:numId w:val="4"/>
        </w:numPr>
        <w:rPr>
          <w:rFonts w:ascii="Arial" w:cs="Arial" w:eastAsia="Arial" w:hAnsi="Arial"/>
          <w:sz w:val="22"/>
          <w:szCs w:val="22"/>
          <w:color w:val="auto"/>
        </w:rPr>
      </w:pPr>
      <w:r>
        <w:rPr>
          <w:rFonts w:ascii="Arial" w:cs="Arial" w:eastAsia="Arial" w:hAnsi="Arial"/>
          <w:sz w:val="22"/>
          <w:szCs w:val="22"/>
          <w:color w:val="auto"/>
        </w:rPr>
        <w:t>Relates to costs incurred associated with Civeo's proposed acquisition of Noralta Lodge Ltd. The $2.3 million of costs in 2017 ($2.2 million after-tax, or $0.02, per diluted share), which are primarily corporate in nature, are included in Selling, general and administrative expenses on the unaudited statements of operations.</w:t>
      </w:r>
    </w:p>
    <w:p>
      <w:pPr>
        <w:spacing w:after="0" w:line="267" w:lineRule="exact"/>
        <w:rPr>
          <w:rFonts w:ascii="Arial" w:cs="Arial" w:eastAsia="Arial" w:hAnsi="Arial"/>
          <w:sz w:val="22"/>
          <w:szCs w:val="22"/>
          <w:color w:val="auto"/>
        </w:rPr>
      </w:pPr>
    </w:p>
    <w:p>
      <w:pPr>
        <w:ind w:right="180" w:firstLine="2"/>
        <w:spacing w:after="0"/>
        <w:tabs>
          <w:tab w:leader="none" w:pos="294" w:val="left"/>
        </w:tabs>
        <w:numPr>
          <w:ilvl w:val="0"/>
          <w:numId w:val="4"/>
        </w:numPr>
        <w:rPr>
          <w:rFonts w:ascii="Arial" w:cs="Arial" w:eastAsia="Arial" w:hAnsi="Arial"/>
          <w:sz w:val="22"/>
          <w:szCs w:val="22"/>
          <w:color w:val="auto"/>
        </w:rPr>
      </w:pPr>
      <w:r>
        <w:rPr>
          <w:rFonts w:ascii="Arial" w:cs="Arial" w:eastAsia="Arial" w:hAnsi="Arial"/>
          <w:sz w:val="22"/>
          <w:szCs w:val="22"/>
          <w:color w:val="auto"/>
        </w:rPr>
        <w:t>Relates to costs incurred associated with Civeo's redomiciliation to Canada. The $1.3 million of costs in 2016 ($1.2 million after-tax, or $0.01, per diluted share), which are primarily corporate in nature, are included in Selling, general and administrative expenses on the unaudited statements of operations.</w:t>
      </w:r>
    </w:p>
    <w:p>
      <w:pPr>
        <w:spacing w:after="0" w:line="267" w:lineRule="exact"/>
        <w:rPr>
          <w:rFonts w:ascii="Arial" w:cs="Arial" w:eastAsia="Arial" w:hAnsi="Arial"/>
          <w:sz w:val="22"/>
          <w:szCs w:val="22"/>
          <w:color w:val="auto"/>
        </w:rPr>
      </w:pPr>
    </w:p>
    <w:p>
      <w:pPr>
        <w:jc w:val="both"/>
        <w:ind w:right="140" w:firstLine="2"/>
        <w:spacing w:after="0"/>
        <w:tabs>
          <w:tab w:leader="none" w:pos="306" w:val="left"/>
        </w:tabs>
        <w:numPr>
          <w:ilvl w:val="0"/>
          <w:numId w:val="4"/>
        </w:numPr>
        <w:rPr>
          <w:rFonts w:ascii="Arial" w:cs="Arial" w:eastAsia="Arial" w:hAnsi="Arial"/>
          <w:sz w:val="22"/>
          <w:szCs w:val="22"/>
          <w:color w:val="auto"/>
        </w:rPr>
      </w:pPr>
      <w:r>
        <w:rPr>
          <w:rFonts w:ascii="Arial" w:cs="Arial" w:eastAsia="Arial" w:hAnsi="Arial"/>
          <w:sz w:val="22"/>
          <w:szCs w:val="22"/>
          <w:color w:val="auto"/>
        </w:rPr>
        <w:t>Relates to severance costs associated with the termination of executives. The $0.9 million expense ($0.6 million after-tax, or $0.01 per diluted share), which is related to our Canadian segment, is included in Selling, general and administrative expenses on the unaudited statements of operations.</w:t>
      </w:r>
    </w:p>
    <w:p>
      <w:pPr>
        <w:spacing w:after="0" w:line="268" w:lineRule="exact"/>
        <w:rPr>
          <w:sz w:val="20"/>
          <w:szCs w:val="20"/>
          <w:color w:val="auto"/>
        </w:rPr>
      </w:pPr>
    </w:p>
    <w:p>
      <w:pPr>
        <w:ind w:right="60" w:firstLine="2"/>
        <w:spacing w:after="0" w:line="245" w:lineRule="auto"/>
        <w:tabs>
          <w:tab w:leader="none" w:pos="306"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Free Cash Flow plan.</w:t>
      </w:r>
    </w:p>
    <w:p>
      <w:pPr>
        <w:spacing w:after="0" w:line="266"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52"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5380" w:type="dxa"/>
            <w:vAlign w:val="bottom"/>
          </w:tcPr>
          <w:p>
            <w:pPr>
              <w:spacing w:after="0"/>
              <w:rPr>
                <w:sz w:val="21"/>
                <w:szCs w:val="21"/>
                <w:color w:val="auto"/>
              </w:rPr>
            </w:pPr>
          </w:p>
        </w:tc>
        <w:tc>
          <w:tcPr>
            <w:tcW w:w="2700" w:type="dxa"/>
            <w:vAlign w:val="bottom"/>
            <w:gridSpan w:val="6"/>
          </w:tcPr>
          <w:p>
            <w:pPr>
              <w:ind w:left="20"/>
              <w:spacing w:after="0"/>
              <w:rPr>
                <w:sz w:val="20"/>
                <w:szCs w:val="20"/>
                <w:color w:val="auto"/>
              </w:rPr>
            </w:pPr>
            <w:r>
              <w:rPr>
                <w:rFonts w:ascii="Arial" w:cs="Arial" w:eastAsia="Arial" w:hAnsi="Arial"/>
                <w:sz w:val="22"/>
                <w:szCs w:val="22"/>
                <w:b w:val="1"/>
                <w:bCs w:val="1"/>
                <w:color w:val="auto"/>
              </w:rPr>
              <w:t>THREE MONTHS ENDED</w:t>
            </w:r>
          </w:p>
        </w:tc>
        <w:tc>
          <w:tcPr>
            <w:tcW w:w="2920" w:type="dxa"/>
            <w:vAlign w:val="bottom"/>
            <w:gridSpan w:val="5"/>
          </w:tcPr>
          <w:p>
            <w:pPr>
              <w:jc w:val="right"/>
              <w:spacing w:after="0"/>
              <w:rPr>
                <w:sz w:val="20"/>
                <w:szCs w:val="20"/>
                <w:color w:val="auto"/>
              </w:rPr>
            </w:pPr>
            <w:r>
              <w:rPr>
                <w:rFonts w:ascii="Arial" w:cs="Arial" w:eastAsia="Arial" w:hAnsi="Arial"/>
                <w:sz w:val="22"/>
                <w:szCs w:val="22"/>
                <w:b w:val="1"/>
                <w:bCs w:val="1"/>
                <w:color w:val="auto"/>
              </w:rPr>
              <w:t>TWELVE MONTHS ENDED</w:t>
            </w:r>
          </w:p>
        </w:tc>
      </w:tr>
      <w:tr>
        <w:trPr>
          <w:trHeight w:val="270"/>
        </w:trPr>
        <w:tc>
          <w:tcPr>
            <w:tcW w:w="5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gridSpan w:val="5"/>
          </w:tcPr>
          <w:p>
            <w:pPr>
              <w:ind w:left="240"/>
              <w:spacing w:after="0"/>
              <w:rPr>
                <w:sz w:val="20"/>
                <w:szCs w:val="20"/>
                <w:color w:val="auto"/>
              </w:rPr>
            </w:pPr>
            <w:r>
              <w:rPr>
                <w:rFonts w:ascii="Arial" w:cs="Arial" w:eastAsia="Arial" w:hAnsi="Arial"/>
                <w:sz w:val="22"/>
                <w:szCs w:val="22"/>
                <w:b w:val="1"/>
                <w:bCs w:val="1"/>
                <w:color w:val="auto"/>
              </w:rPr>
              <w:t>DECEMBER 31,</w:t>
            </w:r>
          </w:p>
        </w:tc>
        <w:tc>
          <w:tcPr>
            <w:tcW w:w="320" w:type="dxa"/>
            <w:vAlign w:val="bottom"/>
          </w:tcPr>
          <w:p>
            <w:pPr>
              <w:spacing w:after="0"/>
              <w:rPr>
                <w:sz w:val="23"/>
                <w:szCs w:val="23"/>
                <w:color w:val="auto"/>
              </w:rPr>
            </w:pPr>
          </w:p>
        </w:tc>
        <w:tc>
          <w:tcPr>
            <w:tcW w:w="2600" w:type="dxa"/>
            <w:vAlign w:val="bottom"/>
            <w:gridSpan w:val="4"/>
          </w:tcPr>
          <w:p>
            <w:pPr>
              <w:jc w:val="right"/>
              <w:ind w:right="572"/>
              <w:spacing w:after="0"/>
              <w:rPr>
                <w:sz w:val="20"/>
                <w:szCs w:val="20"/>
                <w:color w:val="auto"/>
              </w:rPr>
            </w:pPr>
            <w:r>
              <w:rPr>
                <w:rFonts w:ascii="Arial" w:cs="Arial" w:eastAsia="Arial" w:hAnsi="Arial"/>
                <w:sz w:val="22"/>
                <w:szCs w:val="22"/>
                <w:b w:val="1"/>
                <w:bCs w:val="1"/>
                <w:color w:val="auto"/>
              </w:rPr>
              <w:t>DECEMBER 31,</w:t>
            </w:r>
          </w:p>
        </w:tc>
      </w:tr>
      <w:tr>
        <w:trPr>
          <w:trHeight w:val="282"/>
        </w:trPr>
        <w:tc>
          <w:tcPr>
            <w:tcW w:w="5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2016</w:t>
            </w:r>
          </w:p>
        </w:tc>
      </w:tr>
      <w:tr>
        <w:trPr>
          <w:trHeight w:val="528"/>
        </w:trPr>
        <w:tc>
          <w:tcPr>
            <w:tcW w:w="5380" w:type="dxa"/>
            <w:vAlign w:val="bottom"/>
          </w:tcPr>
          <w:p>
            <w:pPr>
              <w:spacing w:after="0"/>
              <w:rPr>
                <w:sz w:val="20"/>
                <w:szCs w:val="20"/>
                <w:color w:val="auto"/>
              </w:rPr>
            </w:pPr>
            <w:r>
              <w:rPr>
                <w:rFonts w:ascii="Arial" w:cs="Arial" w:eastAsia="Arial" w:hAnsi="Arial"/>
                <w:sz w:val="22"/>
                <w:szCs w:val="22"/>
                <w:color w:val="auto"/>
              </w:rPr>
              <w:t>Net Cash Flows Provided by Operating Activities</w:t>
            </w:r>
          </w:p>
        </w:tc>
        <w:tc>
          <w:tcPr>
            <w:tcW w:w="280" w:type="dxa"/>
            <w:vAlign w:val="bottom"/>
          </w:tcPr>
          <w:p>
            <w:pPr>
              <w:ind w:left="20"/>
              <w:spacing w:after="0"/>
              <w:rPr>
                <w:sz w:val="20"/>
                <w:szCs w:val="20"/>
                <w:color w:val="auto"/>
              </w:rPr>
            </w:pPr>
            <w:r>
              <w:rPr>
                <w:rFonts w:ascii="Arial" w:cs="Arial" w:eastAsia="Arial" w:hAnsi="Arial"/>
                <w:sz w:val="22"/>
                <w:szCs w:val="22"/>
                <w:color w:val="auto"/>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11,301</w:t>
            </w:r>
          </w:p>
        </w:tc>
        <w:tc>
          <w:tcPr>
            <w:tcW w:w="10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020" w:type="dxa"/>
            <w:vAlign w:val="bottom"/>
          </w:tcPr>
          <w:p>
            <w:pPr>
              <w:jc w:val="right"/>
              <w:ind w:right="32"/>
              <w:spacing w:after="0"/>
              <w:rPr>
                <w:sz w:val="20"/>
                <w:szCs w:val="20"/>
                <w:color w:val="auto"/>
              </w:rPr>
            </w:pPr>
            <w:r>
              <w:rPr>
                <w:rFonts w:ascii="Arial" w:cs="Arial" w:eastAsia="Arial" w:hAnsi="Arial"/>
                <w:sz w:val="22"/>
                <w:szCs w:val="22"/>
                <w:color w:val="auto"/>
              </w:rPr>
              <w:t>13,314</w:t>
            </w:r>
          </w:p>
        </w:tc>
        <w:tc>
          <w:tcPr>
            <w:tcW w:w="80" w:type="dxa"/>
            <w:vAlign w:val="bottom"/>
          </w:tcPr>
          <w:p>
            <w:pPr>
              <w:spacing w:after="0"/>
              <w:rPr>
                <w:sz w:val="24"/>
                <w:szCs w:val="24"/>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56,826</w:t>
            </w:r>
          </w:p>
        </w:tc>
        <w:tc>
          <w:tcPr>
            <w:tcW w:w="100" w:type="dxa"/>
            <w:vAlign w:val="bottom"/>
          </w:tcPr>
          <w:p>
            <w:pPr>
              <w:spacing w:after="0"/>
              <w:rPr>
                <w:sz w:val="24"/>
                <w:szCs w:val="24"/>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62,169</w:t>
            </w:r>
          </w:p>
        </w:tc>
      </w:tr>
      <w:tr>
        <w:trPr>
          <w:trHeight w:val="270"/>
        </w:trPr>
        <w:tc>
          <w:tcPr>
            <w:tcW w:w="5380" w:type="dxa"/>
            <w:vAlign w:val="bottom"/>
          </w:tcPr>
          <w:p>
            <w:pPr>
              <w:ind w:left="120"/>
              <w:spacing w:after="0"/>
              <w:rPr>
                <w:sz w:val="20"/>
                <w:szCs w:val="20"/>
                <w:color w:val="auto"/>
              </w:rPr>
            </w:pPr>
            <w:r>
              <w:rPr>
                <w:rFonts w:ascii="Arial" w:cs="Arial" w:eastAsia="Arial" w:hAnsi="Arial"/>
                <w:sz w:val="22"/>
                <w:szCs w:val="22"/>
                <w:color w:val="auto"/>
              </w:rPr>
              <w:t>Capital expenditures, including capitalized interest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(3,174)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(4,533)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(11,194)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(19,779)</w:t>
            </w:r>
          </w:p>
        </w:tc>
      </w:tr>
      <w:tr>
        <w:trPr>
          <w:trHeight w:val="275"/>
        </w:trPr>
        <w:tc>
          <w:tcPr>
            <w:tcW w:w="5380" w:type="dxa"/>
            <w:vAlign w:val="bottom"/>
          </w:tcPr>
          <w:p>
            <w:pPr>
              <w:ind w:left="120"/>
              <w:spacing w:after="0"/>
              <w:rPr>
                <w:sz w:val="20"/>
                <w:szCs w:val="20"/>
                <w:color w:val="auto"/>
              </w:rPr>
            </w:pPr>
            <w:r>
              <w:rPr>
                <w:rFonts w:ascii="Arial" w:cs="Arial" w:eastAsia="Arial" w:hAnsi="Arial"/>
                <w:sz w:val="22"/>
                <w:szCs w:val="22"/>
                <w:color w:val="auto"/>
                <w:w w:val="90"/>
              </w:rPr>
              <w:t>Proceeds from disposition of property, plant and equipment</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283</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1,310</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1,908</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5,775</w:t>
            </w:r>
          </w:p>
        </w:tc>
      </w:tr>
      <w:tr>
        <w:trPr>
          <w:trHeight w:val="267"/>
        </w:trPr>
        <w:tc>
          <w:tcPr>
            <w:tcW w:w="5380" w:type="dxa"/>
            <w:vAlign w:val="bottom"/>
          </w:tcPr>
          <w:p>
            <w:pPr>
              <w:ind w:left="120"/>
              <w:spacing w:after="0"/>
              <w:rPr>
                <w:sz w:val="20"/>
                <w:szCs w:val="20"/>
                <w:color w:val="auto"/>
              </w:rPr>
            </w:pPr>
            <w:r>
              <w:rPr>
                <w:rFonts w:ascii="Arial" w:cs="Arial" w:eastAsia="Arial" w:hAnsi="Arial"/>
                <w:sz w:val="22"/>
                <w:szCs w:val="22"/>
                <w:color w:val="auto"/>
              </w:rPr>
              <w:t>Free Cash Flow</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8,410</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7"/>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10,091</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47,540</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7"/>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48,165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NON-GAAP RECONCILIATIONS - GUIDANCE</w:t>
      </w:r>
    </w:p>
    <w:p>
      <w:pPr>
        <w:sectPr>
          <w:pgSz w:w="11900" w:h="16838" w:orient="portrait"/>
          <w:cols w:equalWidth="0" w:num="1">
            <w:col w:w="11320"/>
          </w:cols>
          <w:pgMar w:left="260" w:top="118" w:right="319" w:bottom="0" w:gutter="0" w:footer="0" w:header="0"/>
        </w:sectPr>
      </w:pPr>
    </w:p>
    <w:bookmarkStart w:id="10" w:name="page11"/>
    <w:bookmarkEnd w:id="10"/>
    <w:p>
      <w:pPr>
        <w:ind w:left="5140"/>
        <w:spacing w:after="0"/>
        <w:rPr>
          <w:sz w:val="20"/>
          <w:szCs w:val="20"/>
          <w:color w:val="auto"/>
        </w:rPr>
      </w:pPr>
      <w:r>
        <w:rPr>
          <w:rFonts w:ascii="Arial" w:cs="Arial" w:eastAsia="Arial" w:hAnsi="Arial"/>
          <w:sz w:val="22"/>
          <w:szCs w:val="22"/>
          <w:b w:val="1"/>
          <w:bCs w:val="1"/>
          <w:color w:val="auto"/>
        </w:rPr>
        <w:t>(in millions)</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(unaudited)</w:t>
      </w:r>
    </w:p>
    <w:p>
      <w:pPr>
        <w:spacing w:after="0" w:line="263" w:lineRule="exact"/>
        <w:rPr>
          <w:sz w:val="20"/>
          <w:szCs w:val="20"/>
          <w:color w:val="auto"/>
        </w:rPr>
      </w:pPr>
    </w:p>
    <w:p>
      <w:pPr>
        <w:jc w:val="center"/>
        <w:ind w:left="5900"/>
        <w:spacing w:after="0"/>
        <w:rPr>
          <w:sz w:val="20"/>
          <w:szCs w:val="20"/>
          <w:color w:val="auto"/>
        </w:rPr>
      </w:pPr>
      <w:r>
        <w:rPr>
          <w:rFonts w:ascii="Arial" w:cs="Arial" w:eastAsia="Arial" w:hAnsi="Arial"/>
          <w:sz w:val="22"/>
          <w:szCs w:val="22"/>
          <w:b w:val="1"/>
          <w:bCs w:val="1"/>
          <w:color w:val="auto"/>
        </w:rPr>
        <w:t>THREE MONTHS ENDING</w:t>
      </w:r>
    </w:p>
    <w:p>
      <w:pPr>
        <w:spacing w:after="0" w:line="14" w:lineRule="exact"/>
        <w:rPr>
          <w:sz w:val="20"/>
          <w:szCs w:val="20"/>
          <w:color w:val="auto"/>
        </w:rPr>
      </w:pPr>
    </w:p>
    <w:p>
      <w:pPr>
        <w:jc w:val="center"/>
        <w:ind w:left="5900"/>
        <w:spacing w:after="0"/>
        <w:rPr>
          <w:sz w:val="20"/>
          <w:szCs w:val="20"/>
          <w:color w:val="auto"/>
        </w:rPr>
      </w:pPr>
      <w:r>
        <w:rPr>
          <w:rFonts w:ascii="Arial" w:cs="Arial" w:eastAsia="Arial" w:hAnsi="Arial"/>
          <w:sz w:val="22"/>
          <w:szCs w:val="22"/>
          <w:b w:val="1"/>
          <w:bCs w:val="1"/>
          <w:color w:val="auto"/>
        </w:rPr>
        <w:t>MARCH 31, 2018</w:t>
      </w:r>
    </w:p>
    <w:p>
      <w:pPr>
        <w:spacing w:after="0" w:line="4" w:lineRule="exact"/>
        <w:rPr>
          <w:sz w:val="20"/>
          <w:szCs w:val="20"/>
          <w:color w:val="auto"/>
        </w:rPr>
      </w:pPr>
    </w:p>
    <w:p>
      <w:pPr>
        <w:spacing w:after="0"/>
        <w:tabs>
          <w:tab w:leader="none" w:pos="6120" w:val="left"/>
          <w:tab w:leader="none" w:pos="7740" w:val="left"/>
          <w:tab w:leader="none" w:pos="8980" w:val="left"/>
          <w:tab w:leader="none" w:pos="10660" w:val="left"/>
        </w:tabs>
        <w:rPr>
          <w:sz w:val="20"/>
          <w:szCs w:val="20"/>
          <w:color w:val="auto"/>
        </w:rPr>
      </w:pPr>
      <w:r>
        <w:rPr>
          <w:rFonts w:ascii="Arial" w:cs="Arial" w:eastAsia="Arial" w:hAnsi="Arial"/>
          <w:sz w:val="22"/>
          <w:szCs w:val="22"/>
          <w:color w:val="auto"/>
        </w:rPr>
        <w:t>EBITDA Range (1)</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11.0</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13.0</w:t>
      </w:r>
    </w:p>
    <w:p>
      <w:pPr>
        <w:spacing w:after="0" w:line="283" w:lineRule="exact"/>
        <w:rPr>
          <w:sz w:val="20"/>
          <w:szCs w:val="20"/>
          <w:color w:val="auto"/>
        </w:rPr>
      </w:pPr>
    </w:p>
    <w:p>
      <w:pPr>
        <w:jc w:val="both"/>
        <w:ind w:right="140" w:firstLine="2"/>
        <w:spacing w:after="0" w:line="328" w:lineRule="auto"/>
        <w:tabs>
          <w:tab w:leader="none" w:pos="306"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following table sets forth a reconciliation of estimated EBITDA to estimated net income (loss), which is the most directly comparable measure of financial performance calculated under generally accepted accounting principles (in millions) (unaudited):</w:t>
      </w:r>
    </w:p>
    <w:p>
      <w:pPr>
        <w:spacing w:after="0" w:line="180" w:lineRule="exact"/>
        <w:rPr>
          <w:sz w:val="20"/>
          <w:szCs w:val="20"/>
          <w:color w:val="auto"/>
        </w:rPr>
      </w:pPr>
    </w:p>
    <w:p>
      <w:pPr>
        <w:jc w:val="center"/>
        <w:ind w:left="5900"/>
        <w:spacing w:after="0"/>
        <w:rPr>
          <w:sz w:val="20"/>
          <w:szCs w:val="20"/>
          <w:color w:val="auto"/>
        </w:rPr>
      </w:pPr>
      <w:r>
        <w:rPr>
          <w:rFonts w:ascii="Arial" w:cs="Arial" w:eastAsia="Arial" w:hAnsi="Arial"/>
          <w:sz w:val="22"/>
          <w:szCs w:val="22"/>
          <w:b w:val="1"/>
          <w:bCs w:val="1"/>
          <w:color w:val="auto"/>
        </w:rPr>
        <w:t>THREE MONTHS ENDING</w:t>
      </w:r>
    </w:p>
    <w:p>
      <w:pPr>
        <w:spacing w:after="0" w:line="14" w:lineRule="exact"/>
        <w:rPr>
          <w:sz w:val="20"/>
          <w:szCs w:val="20"/>
          <w:color w:val="auto"/>
        </w:rPr>
      </w:pPr>
    </w:p>
    <w:p>
      <w:pPr>
        <w:jc w:val="center"/>
        <w:ind w:left="5900"/>
        <w:spacing w:after="0"/>
        <w:rPr>
          <w:sz w:val="20"/>
          <w:szCs w:val="20"/>
          <w:color w:val="auto"/>
        </w:rPr>
      </w:pPr>
      <w:r>
        <w:rPr>
          <w:rFonts w:ascii="Arial" w:cs="Arial" w:eastAsia="Arial" w:hAnsi="Arial"/>
          <w:sz w:val="22"/>
          <w:szCs w:val="22"/>
          <w:b w:val="1"/>
          <w:bCs w:val="1"/>
          <w:color w:val="auto"/>
        </w:rPr>
        <w:t>MARCH 31, 2018</w:t>
      </w:r>
    </w:p>
    <w:p>
      <w:pPr>
        <w:spacing w:after="0" w:line="4" w:lineRule="exact"/>
        <w:rPr>
          <w:sz w:val="20"/>
          <w:szCs w:val="20"/>
          <w:color w:val="auto"/>
        </w:rPr>
      </w:pPr>
    </w:p>
    <w:p>
      <w:pPr>
        <w:ind w:left="8120"/>
        <w:spacing w:after="0"/>
        <w:rPr>
          <w:sz w:val="20"/>
          <w:szCs w:val="20"/>
          <w:color w:val="auto"/>
        </w:rPr>
      </w:pPr>
      <w:r>
        <w:rPr>
          <w:rFonts w:ascii="Arial" w:cs="Arial" w:eastAsia="Arial" w:hAnsi="Arial"/>
          <w:sz w:val="22"/>
          <w:szCs w:val="22"/>
          <w:b w:val="1"/>
          <w:bCs w:val="1"/>
          <w:color w:val="auto"/>
        </w:rPr>
        <w:t>(estimated)</w:t>
      </w:r>
    </w:p>
    <w:p>
      <w:pPr>
        <w:spacing w:after="0" w:line="283" w:lineRule="exact"/>
        <w:rPr>
          <w:sz w:val="20"/>
          <w:szCs w:val="20"/>
          <w:color w:val="auto"/>
        </w:rPr>
      </w:pPr>
    </w:p>
    <w:tbl>
      <w:tblPr>
        <w:tblLayout w:type="fixed"/>
        <w:tblInd w:w="200" w:type="dxa"/>
        <w:tblCellMar>
          <w:top w:w="0" w:type="dxa"/>
          <w:left w:w="0" w:type="dxa"/>
          <w:bottom w:w="0" w:type="dxa"/>
          <w:right w:w="0" w:type="dxa"/>
        </w:tblCellMar>
      </w:tblP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Net loss</w:t>
            </w:r>
          </w:p>
        </w:tc>
        <w:tc>
          <w:tcPr>
            <w:tcW w:w="1080" w:type="dxa"/>
            <w:vAlign w:val="bottom"/>
          </w:tcPr>
          <w:p>
            <w:pPr>
              <w:jc w:val="right"/>
              <w:ind w:right="612"/>
              <w:spacing w:after="0"/>
              <w:rPr>
                <w:sz w:val="20"/>
                <w:szCs w:val="20"/>
                <w:color w:val="auto"/>
              </w:rPr>
            </w:pPr>
            <w:r>
              <w:rPr>
                <w:rFonts w:ascii="Arial" w:cs="Arial" w:eastAsia="Arial" w:hAnsi="Arial"/>
                <w:sz w:val="22"/>
                <w:szCs w:val="22"/>
                <w:color w:val="auto"/>
              </w:rPr>
              <w:t>$</w:t>
            </w:r>
          </w:p>
        </w:tc>
        <w:tc>
          <w:tcPr>
            <w:tcW w:w="1460" w:type="dxa"/>
            <w:vAlign w:val="bottom"/>
          </w:tcPr>
          <w:p>
            <w:pPr>
              <w:jc w:val="right"/>
              <w:ind w:right="112"/>
              <w:spacing w:after="0"/>
              <w:rPr>
                <w:sz w:val="20"/>
                <w:szCs w:val="20"/>
                <w:color w:val="auto"/>
              </w:rPr>
            </w:pPr>
            <w:r>
              <w:rPr>
                <w:rFonts w:ascii="Arial" w:cs="Arial" w:eastAsia="Arial" w:hAnsi="Arial"/>
                <w:sz w:val="22"/>
                <w:szCs w:val="22"/>
                <w:color w:val="auto"/>
              </w:rPr>
              <w:t>(23.5)</w:t>
            </w:r>
          </w:p>
        </w:tc>
        <w:tc>
          <w:tcPr>
            <w:tcW w:w="280" w:type="dxa"/>
            <w:vAlign w:val="bottom"/>
          </w:tcPr>
          <w:p>
            <w:pPr>
              <w:spacing w:after="0"/>
              <w:rPr>
                <w:sz w:val="23"/>
                <w:szCs w:val="23"/>
                <w:color w:val="auto"/>
              </w:rPr>
            </w:pPr>
          </w:p>
        </w:tc>
        <w:tc>
          <w:tcPr>
            <w:tcW w:w="1160" w:type="dxa"/>
            <w:vAlign w:val="bottom"/>
          </w:tcPr>
          <w:p>
            <w:pPr>
              <w:jc w:val="right"/>
              <w:ind w:right="652"/>
              <w:spacing w:after="0"/>
              <w:rPr>
                <w:sz w:val="20"/>
                <w:szCs w:val="20"/>
                <w:color w:val="auto"/>
              </w:rPr>
            </w:pPr>
            <w:r>
              <w:rPr>
                <w:rFonts w:ascii="Arial" w:cs="Arial" w:eastAsia="Arial" w:hAnsi="Arial"/>
                <w:sz w:val="22"/>
                <w:szCs w:val="22"/>
                <w:color w:val="auto"/>
              </w:rPr>
              <w:t>$</w:t>
            </w:r>
          </w:p>
        </w:tc>
        <w:tc>
          <w:tcPr>
            <w:tcW w:w="1540" w:type="dxa"/>
            <w:vAlign w:val="bottom"/>
          </w:tcPr>
          <w:p>
            <w:pPr>
              <w:jc w:val="right"/>
              <w:ind w:right="152"/>
              <w:spacing w:after="0"/>
              <w:rPr>
                <w:sz w:val="20"/>
                <w:szCs w:val="20"/>
                <w:color w:val="auto"/>
              </w:rPr>
            </w:pPr>
            <w:r>
              <w:rPr>
                <w:rFonts w:ascii="Arial" w:cs="Arial" w:eastAsia="Arial" w:hAnsi="Arial"/>
                <w:sz w:val="22"/>
                <w:szCs w:val="22"/>
                <w:color w:val="auto"/>
              </w:rPr>
              <w:t>(22.0)</w:t>
            </w: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Income tax benefit</w:t>
            </w:r>
          </w:p>
        </w:tc>
        <w:tc>
          <w:tcPr>
            <w:tcW w:w="1080" w:type="dxa"/>
            <w:vAlign w:val="bottom"/>
          </w:tcPr>
          <w:p>
            <w:pPr>
              <w:spacing w:after="0"/>
              <w:rPr>
                <w:sz w:val="23"/>
                <w:szCs w:val="23"/>
                <w:color w:val="auto"/>
              </w:rPr>
            </w:pPr>
          </w:p>
        </w:tc>
        <w:tc>
          <w:tcPr>
            <w:tcW w:w="1460" w:type="dxa"/>
            <w:vAlign w:val="bottom"/>
          </w:tcPr>
          <w:p>
            <w:pPr>
              <w:jc w:val="right"/>
              <w:ind w:right="112"/>
              <w:spacing w:after="0"/>
              <w:rPr>
                <w:sz w:val="20"/>
                <w:szCs w:val="20"/>
                <w:color w:val="auto"/>
              </w:rPr>
            </w:pPr>
            <w:r>
              <w:rPr>
                <w:rFonts w:ascii="Arial" w:cs="Arial" w:eastAsia="Arial" w:hAnsi="Arial"/>
                <w:sz w:val="22"/>
                <w:szCs w:val="22"/>
                <w:color w:val="auto"/>
              </w:rPr>
              <w:t>(1.0)</w:t>
            </w: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40" w:type="dxa"/>
            <w:vAlign w:val="bottom"/>
          </w:tcPr>
          <w:p>
            <w:pPr>
              <w:jc w:val="right"/>
              <w:ind w:right="152"/>
              <w:spacing w:after="0"/>
              <w:rPr>
                <w:sz w:val="20"/>
                <w:szCs w:val="20"/>
                <w:color w:val="auto"/>
              </w:rPr>
            </w:pPr>
            <w:r>
              <w:rPr>
                <w:rFonts w:ascii="Arial" w:cs="Arial" w:eastAsia="Arial" w:hAnsi="Arial"/>
                <w:sz w:val="22"/>
                <w:szCs w:val="22"/>
                <w:color w:val="auto"/>
              </w:rPr>
              <w:t>(0.5)</w:t>
            </w: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1080" w:type="dxa"/>
            <w:vAlign w:val="bottom"/>
          </w:tcPr>
          <w:p>
            <w:pPr>
              <w:spacing w:after="0"/>
              <w:rPr>
                <w:sz w:val="23"/>
                <w:szCs w:val="23"/>
                <w:color w:val="auto"/>
              </w:rPr>
            </w:pPr>
          </w:p>
        </w:tc>
        <w:tc>
          <w:tcPr>
            <w:tcW w:w="1460" w:type="dxa"/>
            <w:vAlign w:val="bottom"/>
          </w:tcPr>
          <w:p>
            <w:pPr>
              <w:jc w:val="right"/>
              <w:ind w:right="172"/>
              <w:spacing w:after="0"/>
              <w:rPr>
                <w:sz w:val="20"/>
                <w:szCs w:val="20"/>
                <w:color w:val="auto"/>
              </w:rPr>
            </w:pPr>
            <w:r>
              <w:rPr>
                <w:rFonts w:ascii="Arial" w:cs="Arial" w:eastAsia="Arial" w:hAnsi="Arial"/>
                <w:sz w:val="22"/>
                <w:szCs w:val="22"/>
                <w:color w:val="auto"/>
              </w:rPr>
              <w:t>30.0</w:t>
            </w: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40" w:type="dxa"/>
            <w:vAlign w:val="bottom"/>
          </w:tcPr>
          <w:p>
            <w:pPr>
              <w:jc w:val="right"/>
              <w:ind w:right="232"/>
              <w:spacing w:after="0"/>
              <w:rPr>
                <w:sz w:val="20"/>
                <w:szCs w:val="20"/>
                <w:color w:val="auto"/>
              </w:rPr>
            </w:pPr>
            <w:r>
              <w:rPr>
                <w:rFonts w:ascii="Arial" w:cs="Arial" w:eastAsia="Arial" w:hAnsi="Arial"/>
                <w:sz w:val="22"/>
                <w:szCs w:val="22"/>
                <w:color w:val="auto"/>
              </w:rPr>
              <w:t>30.0</w:t>
            </w:r>
          </w:p>
        </w:tc>
      </w:tr>
      <w:tr>
        <w:trPr>
          <w:trHeight w:val="276"/>
        </w:trPr>
        <w:tc>
          <w:tcPr>
            <w:tcW w:w="5680" w:type="dxa"/>
            <w:vAlign w:val="bottom"/>
          </w:tcPr>
          <w:p>
            <w:pPr>
              <w:spacing w:after="0"/>
              <w:rPr>
                <w:sz w:val="20"/>
                <w:szCs w:val="20"/>
                <w:color w:val="auto"/>
              </w:rPr>
            </w:pPr>
            <w:r>
              <w:rPr>
                <w:rFonts w:ascii="Arial" w:cs="Arial" w:eastAsia="Arial" w:hAnsi="Arial"/>
                <w:sz w:val="22"/>
                <w:szCs w:val="22"/>
                <w:color w:val="auto"/>
              </w:rPr>
              <w:t>Interest expense</w:t>
            </w:r>
          </w:p>
        </w:tc>
        <w:tc>
          <w:tcPr>
            <w:tcW w:w="10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5.5</w:t>
            </w:r>
          </w:p>
        </w:tc>
        <w:tc>
          <w:tcPr>
            <w:tcW w:w="2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5.5</w:t>
            </w:r>
          </w:p>
        </w:tc>
      </w:tr>
      <w:tr>
        <w:trPr>
          <w:trHeight w:val="265"/>
        </w:trPr>
        <w:tc>
          <w:tcPr>
            <w:tcW w:w="5680" w:type="dxa"/>
            <w:vAlign w:val="bottom"/>
          </w:tcPr>
          <w:p>
            <w:pPr>
              <w:ind w:left="200"/>
              <w:spacing w:after="0"/>
              <w:rPr>
                <w:sz w:val="20"/>
                <w:szCs w:val="20"/>
                <w:color w:val="auto"/>
              </w:rPr>
            </w:pPr>
            <w:r>
              <w:rPr>
                <w:rFonts w:ascii="Arial" w:cs="Arial" w:eastAsia="Arial" w:hAnsi="Arial"/>
                <w:sz w:val="22"/>
                <w:szCs w:val="22"/>
                <w:color w:val="auto"/>
              </w:rPr>
              <w:t>EBITDA</w:t>
            </w:r>
          </w:p>
        </w:tc>
        <w:tc>
          <w:tcPr>
            <w:tcW w:w="1080" w:type="dxa"/>
            <w:vAlign w:val="bottom"/>
            <w:tcBorders>
              <w:bottom w:val="single" w:sz="8" w:color="auto"/>
            </w:tcBorders>
          </w:tcPr>
          <w:p>
            <w:pPr>
              <w:jc w:val="right"/>
              <w:ind w:right="612"/>
              <w:spacing w:after="0"/>
              <w:rPr>
                <w:sz w:val="20"/>
                <w:szCs w:val="20"/>
                <w:color w:val="auto"/>
              </w:rPr>
            </w:pPr>
            <w:r>
              <w:rPr>
                <w:rFonts w:ascii="Arial" w:cs="Arial" w:eastAsia="Arial" w:hAnsi="Arial"/>
                <w:sz w:val="22"/>
                <w:szCs w:val="22"/>
                <w:color w:val="auto"/>
              </w:rPr>
              <w:t>$</w:t>
            </w:r>
          </w:p>
        </w:tc>
        <w:tc>
          <w:tcPr>
            <w:tcW w:w="146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11.0</w:t>
            </w:r>
          </w:p>
        </w:tc>
        <w:tc>
          <w:tcPr>
            <w:tcW w:w="280" w:type="dxa"/>
            <w:vAlign w:val="bottom"/>
          </w:tcPr>
          <w:p>
            <w:pPr>
              <w:spacing w:after="0"/>
              <w:rPr>
                <w:sz w:val="23"/>
                <w:szCs w:val="23"/>
                <w:color w:val="auto"/>
              </w:rPr>
            </w:pPr>
          </w:p>
        </w:tc>
        <w:tc>
          <w:tcPr>
            <w:tcW w:w="1160" w:type="dxa"/>
            <w:vAlign w:val="bottom"/>
            <w:tcBorders>
              <w:bottom w:val="single" w:sz="8" w:color="auto"/>
            </w:tcBorders>
          </w:tcPr>
          <w:p>
            <w:pPr>
              <w:jc w:val="right"/>
              <w:ind w:right="652"/>
              <w:spacing w:after="0"/>
              <w:rPr>
                <w:sz w:val="20"/>
                <w:szCs w:val="20"/>
                <w:color w:val="auto"/>
              </w:rPr>
            </w:pPr>
            <w:r>
              <w:rPr>
                <w:rFonts w:ascii="Arial" w:cs="Arial" w:eastAsia="Arial" w:hAnsi="Arial"/>
                <w:sz w:val="22"/>
                <w:szCs w:val="22"/>
                <w:color w:val="auto"/>
              </w:rPr>
              <w:t>$</w:t>
            </w:r>
          </w:p>
        </w:tc>
        <w:tc>
          <w:tcPr>
            <w:tcW w:w="154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13.0</w:t>
            </w:r>
          </w:p>
        </w:tc>
      </w:tr>
      <w:tr>
        <w:trPr>
          <w:trHeight w:val="21"/>
        </w:trPr>
        <w:tc>
          <w:tcPr>
            <w:tcW w:w="5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100"/>
        <w:spacing w:after="0" w:line="234" w:lineRule="auto"/>
        <w:rPr>
          <w:sz w:val="20"/>
          <w:szCs w:val="20"/>
          <w:color w:val="auto"/>
        </w:rPr>
      </w:pPr>
      <w:r>
        <w:rPr>
          <w:rFonts w:ascii="Arial" w:cs="Arial" w:eastAsia="Arial" w:hAnsi="Arial"/>
          <w:sz w:val="22"/>
          <w:szCs w:val="22"/>
          <w:b w:val="1"/>
          <w:bCs w:val="1"/>
          <w:color w:val="auto"/>
        </w:rPr>
        <w:t>SUPPLEMENTAL QUARTERLY SEGMENT AND OPERATING DATA (U.S. dollars in thousands, except for room counts and average daily rates)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00" w:type="dxa"/>
            <w:vAlign w:val="bottom"/>
          </w:tcPr>
          <w:p>
            <w:pPr>
              <w:spacing w:after="0"/>
              <w:rPr>
                <w:sz w:val="21"/>
                <w:szCs w:val="21"/>
                <w:color w:val="auto"/>
              </w:rPr>
            </w:pPr>
          </w:p>
        </w:tc>
        <w:tc>
          <w:tcPr>
            <w:tcW w:w="2880" w:type="dxa"/>
            <w:vAlign w:val="bottom"/>
            <w:gridSpan w:val="6"/>
          </w:tcPr>
          <w:p>
            <w:pPr>
              <w:jc w:val="center"/>
              <w:ind w:right="80"/>
              <w:spacing w:after="0"/>
              <w:rPr>
                <w:sz w:val="20"/>
                <w:szCs w:val="20"/>
                <w:color w:val="auto"/>
              </w:rPr>
            </w:pPr>
            <w:r>
              <w:rPr>
                <w:rFonts w:ascii="Arial" w:cs="Arial" w:eastAsia="Arial" w:hAnsi="Arial"/>
                <w:sz w:val="22"/>
                <w:szCs w:val="22"/>
                <w:b w:val="1"/>
                <w:bCs w:val="1"/>
                <w:color w:val="auto"/>
              </w:rPr>
              <w:t>THREE MONTHS ENDED</w:t>
            </w:r>
          </w:p>
        </w:tc>
        <w:tc>
          <w:tcPr>
            <w:tcW w:w="160" w:type="dxa"/>
            <w:vAlign w:val="bottom"/>
          </w:tcPr>
          <w:p>
            <w:pPr>
              <w:spacing w:after="0"/>
              <w:rPr>
                <w:sz w:val="21"/>
                <w:szCs w:val="21"/>
                <w:color w:val="auto"/>
              </w:rPr>
            </w:pPr>
          </w:p>
        </w:tc>
        <w:tc>
          <w:tcPr>
            <w:tcW w:w="2980" w:type="dxa"/>
            <w:vAlign w:val="bottom"/>
            <w:gridSpan w:val="4"/>
          </w:tcPr>
          <w:p>
            <w:pPr>
              <w:jc w:val="right"/>
              <w:ind w:right="92"/>
              <w:spacing w:after="0"/>
              <w:rPr>
                <w:sz w:val="20"/>
                <w:szCs w:val="20"/>
                <w:color w:val="auto"/>
              </w:rPr>
            </w:pPr>
            <w:r>
              <w:rPr>
                <w:rFonts w:ascii="Arial" w:cs="Arial" w:eastAsia="Arial" w:hAnsi="Arial"/>
                <w:sz w:val="22"/>
                <w:szCs w:val="22"/>
                <w:b w:val="1"/>
                <w:bCs w:val="1"/>
                <w:color w:val="auto"/>
                <w:w w:val="99"/>
              </w:rPr>
              <w:t>TWELVE MONTHS ENDED</w:t>
            </w:r>
          </w:p>
        </w:tc>
      </w:tr>
      <w:tr>
        <w:trPr>
          <w:trHeight w:val="270"/>
        </w:trPr>
        <w:tc>
          <w:tcPr>
            <w:tcW w:w="5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0" w:type="dxa"/>
            <w:vAlign w:val="bottom"/>
            <w:gridSpan w:val="5"/>
          </w:tcPr>
          <w:p>
            <w:pPr>
              <w:jc w:val="center"/>
              <w:ind w:right="360"/>
              <w:spacing w:after="0"/>
              <w:rPr>
                <w:sz w:val="20"/>
                <w:szCs w:val="20"/>
                <w:color w:val="auto"/>
              </w:rPr>
            </w:pPr>
            <w:r>
              <w:rPr>
                <w:rFonts w:ascii="Arial" w:cs="Arial" w:eastAsia="Arial" w:hAnsi="Arial"/>
                <w:sz w:val="22"/>
                <w:szCs w:val="22"/>
                <w:b w:val="1"/>
                <w:bCs w:val="1"/>
                <w:color w:val="auto"/>
                <w:w w:val="95"/>
              </w:rPr>
              <w:t>DECEMBER 31,</w:t>
            </w:r>
          </w:p>
        </w:tc>
        <w:tc>
          <w:tcPr>
            <w:tcW w:w="160" w:type="dxa"/>
            <w:vAlign w:val="bottom"/>
          </w:tcPr>
          <w:p>
            <w:pPr>
              <w:spacing w:after="0"/>
              <w:rPr>
                <w:sz w:val="23"/>
                <w:szCs w:val="23"/>
                <w:color w:val="auto"/>
              </w:rPr>
            </w:pPr>
          </w:p>
        </w:tc>
        <w:tc>
          <w:tcPr>
            <w:tcW w:w="2980" w:type="dxa"/>
            <w:vAlign w:val="bottom"/>
            <w:gridSpan w:val="4"/>
          </w:tcPr>
          <w:p>
            <w:pPr>
              <w:jc w:val="right"/>
              <w:ind w:right="672"/>
              <w:spacing w:after="0"/>
              <w:rPr>
                <w:sz w:val="20"/>
                <w:szCs w:val="20"/>
                <w:color w:val="auto"/>
              </w:rPr>
            </w:pPr>
            <w:r>
              <w:rPr>
                <w:rFonts w:ascii="Arial" w:cs="Arial" w:eastAsia="Arial" w:hAnsi="Arial"/>
                <w:sz w:val="22"/>
                <w:szCs w:val="22"/>
                <w:b w:val="1"/>
                <w:bCs w:val="1"/>
                <w:color w:val="auto"/>
              </w:rPr>
              <w:t>DECEMBER 31,</w:t>
            </w:r>
          </w:p>
        </w:tc>
      </w:tr>
      <w:tr>
        <w:trPr>
          <w:trHeight w:val="281"/>
        </w:trPr>
        <w:tc>
          <w:tcPr>
            <w:tcW w:w="5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2016</w:t>
            </w:r>
          </w:p>
        </w:tc>
      </w:tr>
      <w:tr>
        <w:trPr>
          <w:trHeight w:val="529"/>
        </w:trPr>
        <w:tc>
          <w:tcPr>
            <w:tcW w:w="5300" w:type="dxa"/>
            <w:vAlign w:val="bottom"/>
          </w:tcPr>
          <w:p>
            <w:pPr>
              <w:spacing w:after="0"/>
              <w:rPr>
                <w:sz w:val="20"/>
                <w:szCs w:val="20"/>
                <w:color w:val="auto"/>
              </w:rPr>
            </w:pPr>
            <w:r>
              <w:rPr>
                <w:rFonts w:ascii="Arial" w:cs="Arial" w:eastAsia="Arial" w:hAnsi="Arial"/>
                <w:sz w:val="22"/>
                <w:szCs w:val="22"/>
                <w:b w:val="1"/>
                <w:bCs w:val="1"/>
                <w:color w:val="auto"/>
              </w:rPr>
              <w:t>Supplemental Operating Data - Canadian Segment</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5300" w:type="dxa"/>
            <w:vAlign w:val="bottom"/>
          </w:tcPr>
          <w:p>
            <w:pPr>
              <w:ind w:left="100"/>
              <w:spacing w:after="0"/>
              <w:rPr>
                <w:sz w:val="20"/>
                <w:szCs w:val="20"/>
                <w:color w:val="auto"/>
              </w:rPr>
            </w:pPr>
            <w:r>
              <w:rPr>
                <w:rFonts w:ascii="Arial" w:cs="Arial" w:eastAsia="Arial" w:hAnsi="Arial"/>
                <w:sz w:val="22"/>
                <w:szCs w:val="22"/>
                <w:color w:val="auto"/>
              </w:rPr>
              <w:t>Revenues</w:t>
            </w: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5300" w:type="dxa"/>
            <w:vAlign w:val="bottom"/>
          </w:tcPr>
          <w:p>
            <w:pPr>
              <w:ind w:left="240"/>
              <w:spacing w:after="0"/>
              <w:rPr>
                <w:sz w:val="20"/>
                <w:szCs w:val="20"/>
                <w:color w:val="auto"/>
              </w:rPr>
            </w:pPr>
            <w:r>
              <w:rPr>
                <w:rFonts w:ascii="Arial" w:cs="Arial" w:eastAsia="Arial" w:hAnsi="Arial"/>
                <w:sz w:val="22"/>
                <w:szCs w:val="22"/>
                <w:color w:val="auto"/>
              </w:rPr>
              <w:t>Lodge revenues (1)</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132"/>
              <w:spacing w:after="0"/>
              <w:rPr>
                <w:sz w:val="20"/>
                <w:szCs w:val="20"/>
                <w:color w:val="auto"/>
              </w:rPr>
            </w:pPr>
            <w:r>
              <w:rPr>
                <w:rFonts w:ascii="Arial" w:cs="Arial" w:eastAsia="Arial" w:hAnsi="Arial"/>
                <w:sz w:val="22"/>
                <w:szCs w:val="22"/>
                <w:color w:val="auto"/>
              </w:rPr>
              <w:t>58,135</w:t>
            </w:r>
          </w:p>
        </w:tc>
        <w:tc>
          <w:tcPr>
            <w:tcW w:w="8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20" w:type="dxa"/>
            <w:vAlign w:val="bottom"/>
          </w:tcPr>
          <w:p>
            <w:pPr>
              <w:jc w:val="right"/>
              <w:ind w:right="192"/>
              <w:spacing w:after="0"/>
              <w:rPr>
                <w:sz w:val="20"/>
                <w:szCs w:val="20"/>
                <w:color w:val="auto"/>
              </w:rPr>
            </w:pPr>
            <w:r>
              <w:rPr>
                <w:rFonts w:ascii="Arial" w:cs="Arial" w:eastAsia="Arial" w:hAnsi="Arial"/>
                <w:sz w:val="22"/>
                <w:szCs w:val="22"/>
                <w:color w:val="auto"/>
              </w:rPr>
              <w:t>55,321</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Pr>
          <w:p>
            <w:pPr>
              <w:jc w:val="right"/>
              <w:ind w:right="152"/>
              <w:spacing w:after="0"/>
              <w:rPr>
                <w:sz w:val="20"/>
                <w:szCs w:val="20"/>
                <w:color w:val="auto"/>
              </w:rPr>
            </w:pPr>
            <w:r>
              <w:rPr>
                <w:rFonts w:ascii="Arial" w:cs="Arial" w:eastAsia="Arial" w:hAnsi="Arial"/>
                <w:sz w:val="22"/>
                <w:szCs w:val="22"/>
                <w:color w:val="auto"/>
              </w:rPr>
              <w:t>226,789</w:t>
            </w:r>
          </w:p>
        </w:tc>
        <w:tc>
          <w:tcPr>
            <w:tcW w:w="8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ind w:right="212"/>
              <w:spacing w:after="0"/>
              <w:rPr>
                <w:sz w:val="20"/>
                <w:szCs w:val="20"/>
                <w:color w:val="auto"/>
              </w:rPr>
            </w:pPr>
            <w:r>
              <w:rPr>
                <w:rFonts w:ascii="Arial" w:cs="Arial" w:eastAsia="Arial" w:hAnsi="Arial"/>
                <w:sz w:val="22"/>
                <w:szCs w:val="22"/>
                <w:color w:val="auto"/>
              </w:rPr>
              <w:t>238,220</w:t>
            </w:r>
          </w:p>
        </w:tc>
      </w:tr>
      <w:tr>
        <w:trPr>
          <w:trHeight w:val="275"/>
        </w:trPr>
        <w:tc>
          <w:tcPr>
            <w:tcW w:w="5300" w:type="dxa"/>
            <w:vAlign w:val="bottom"/>
          </w:tcPr>
          <w:p>
            <w:pPr>
              <w:ind w:left="240"/>
              <w:spacing w:after="0"/>
              <w:rPr>
                <w:sz w:val="20"/>
                <w:szCs w:val="20"/>
                <w:color w:val="auto"/>
              </w:rPr>
            </w:pPr>
            <w:r>
              <w:rPr>
                <w:rFonts w:ascii="Arial" w:cs="Arial" w:eastAsia="Arial" w:hAnsi="Arial"/>
                <w:sz w:val="22"/>
                <w:szCs w:val="22"/>
                <w:color w:val="auto"/>
              </w:rPr>
              <w:t>Mobile, open camp and product revenues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5,454</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6,975</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18,806</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40,244</w:t>
            </w:r>
          </w:p>
        </w:tc>
      </w:tr>
      <w:tr>
        <w:trPr>
          <w:trHeight w:val="272"/>
        </w:trPr>
        <w:tc>
          <w:tcPr>
            <w:tcW w:w="5300" w:type="dxa"/>
            <w:vAlign w:val="bottom"/>
          </w:tcPr>
          <w:p>
            <w:pPr>
              <w:ind w:left="300"/>
              <w:spacing w:after="0"/>
              <w:rPr>
                <w:sz w:val="20"/>
                <w:szCs w:val="20"/>
                <w:color w:val="auto"/>
              </w:rPr>
            </w:pPr>
            <w:r>
              <w:rPr>
                <w:rFonts w:ascii="Arial" w:cs="Arial" w:eastAsia="Arial" w:hAnsi="Arial"/>
                <w:sz w:val="22"/>
                <w:szCs w:val="22"/>
                <w:color w:val="auto"/>
              </w:rPr>
              <w:t>Total Canadian revenues</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132"/>
              <w:spacing w:after="0"/>
              <w:rPr>
                <w:sz w:val="20"/>
                <w:szCs w:val="20"/>
                <w:color w:val="auto"/>
              </w:rPr>
            </w:pPr>
            <w:r>
              <w:rPr>
                <w:rFonts w:ascii="Arial" w:cs="Arial" w:eastAsia="Arial" w:hAnsi="Arial"/>
                <w:sz w:val="22"/>
                <w:szCs w:val="22"/>
                <w:color w:val="auto"/>
              </w:rPr>
              <w:t>63,589</w:t>
            </w:r>
          </w:p>
        </w:tc>
        <w:tc>
          <w:tcPr>
            <w:tcW w:w="8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20" w:type="dxa"/>
            <w:vAlign w:val="bottom"/>
          </w:tcPr>
          <w:p>
            <w:pPr>
              <w:jc w:val="right"/>
              <w:ind w:right="192"/>
              <w:spacing w:after="0"/>
              <w:rPr>
                <w:sz w:val="20"/>
                <w:szCs w:val="20"/>
                <w:color w:val="auto"/>
              </w:rPr>
            </w:pPr>
            <w:r>
              <w:rPr>
                <w:rFonts w:ascii="Arial" w:cs="Arial" w:eastAsia="Arial" w:hAnsi="Arial"/>
                <w:sz w:val="22"/>
                <w:szCs w:val="22"/>
                <w:color w:val="auto"/>
              </w:rPr>
              <w:t>62,296</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Pr>
          <w:p>
            <w:pPr>
              <w:jc w:val="right"/>
              <w:ind w:right="152"/>
              <w:spacing w:after="0"/>
              <w:rPr>
                <w:sz w:val="20"/>
                <w:szCs w:val="20"/>
                <w:color w:val="auto"/>
              </w:rPr>
            </w:pPr>
            <w:r>
              <w:rPr>
                <w:rFonts w:ascii="Arial" w:cs="Arial" w:eastAsia="Arial" w:hAnsi="Arial"/>
                <w:sz w:val="22"/>
                <w:szCs w:val="22"/>
                <w:color w:val="auto"/>
              </w:rPr>
              <w:t>245,595</w:t>
            </w:r>
          </w:p>
        </w:tc>
        <w:tc>
          <w:tcPr>
            <w:tcW w:w="8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ind w:right="212"/>
              <w:spacing w:after="0"/>
              <w:rPr>
                <w:sz w:val="20"/>
                <w:szCs w:val="20"/>
                <w:color w:val="auto"/>
              </w:rPr>
            </w:pPr>
            <w:r>
              <w:rPr>
                <w:rFonts w:ascii="Arial" w:cs="Arial" w:eastAsia="Arial" w:hAnsi="Arial"/>
                <w:sz w:val="22"/>
                <w:szCs w:val="22"/>
                <w:color w:val="auto"/>
              </w:rPr>
              <w:t>278,464</w:t>
            </w:r>
          </w:p>
        </w:tc>
      </w:tr>
      <w:tr>
        <w:trPr>
          <w:trHeight w:val="532"/>
        </w:trPr>
        <w:tc>
          <w:tcPr>
            <w:tcW w:w="5300" w:type="dxa"/>
            <w:vAlign w:val="bottom"/>
          </w:tcPr>
          <w:p>
            <w:pPr>
              <w:ind w:left="100"/>
              <w:spacing w:after="0"/>
              <w:rPr>
                <w:sz w:val="20"/>
                <w:szCs w:val="20"/>
                <w:color w:val="auto"/>
              </w:rPr>
            </w:pPr>
            <w:r>
              <w:rPr>
                <w:rFonts w:ascii="Arial" w:cs="Arial" w:eastAsia="Arial" w:hAnsi="Arial"/>
                <w:sz w:val="22"/>
                <w:szCs w:val="22"/>
                <w:color w:val="auto"/>
              </w:rPr>
              <w:t>Average available lodge rooms (2)</w:t>
            </w:r>
          </w:p>
        </w:tc>
        <w:tc>
          <w:tcPr>
            <w:tcW w:w="280" w:type="dxa"/>
            <w:vAlign w:val="bottom"/>
          </w:tcPr>
          <w:p>
            <w:pPr>
              <w:spacing w:after="0"/>
              <w:rPr>
                <w:sz w:val="24"/>
                <w:szCs w:val="24"/>
                <w:color w:val="auto"/>
              </w:rPr>
            </w:pPr>
          </w:p>
        </w:tc>
        <w:tc>
          <w:tcPr>
            <w:tcW w:w="1040" w:type="dxa"/>
            <w:vAlign w:val="bottom"/>
          </w:tcPr>
          <w:p>
            <w:pPr>
              <w:jc w:val="right"/>
              <w:ind w:right="132"/>
              <w:spacing w:after="0"/>
              <w:rPr>
                <w:sz w:val="20"/>
                <w:szCs w:val="20"/>
                <w:color w:val="auto"/>
              </w:rPr>
            </w:pPr>
            <w:r>
              <w:rPr>
                <w:rFonts w:ascii="Arial" w:cs="Arial" w:eastAsia="Arial" w:hAnsi="Arial"/>
                <w:sz w:val="22"/>
                <w:szCs w:val="22"/>
                <w:color w:val="auto"/>
              </w:rPr>
              <w:t>14,720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92"/>
              <w:spacing w:after="0"/>
              <w:rPr>
                <w:sz w:val="20"/>
                <w:szCs w:val="20"/>
                <w:color w:val="auto"/>
              </w:rPr>
            </w:pPr>
            <w:r>
              <w:rPr>
                <w:rFonts w:ascii="Arial" w:cs="Arial" w:eastAsia="Arial" w:hAnsi="Arial"/>
                <w:sz w:val="22"/>
                <w:szCs w:val="22"/>
                <w:color w:val="auto"/>
              </w:rPr>
              <w:t>14,670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52"/>
              <w:spacing w:after="0"/>
              <w:rPr>
                <w:sz w:val="20"/>
                <w:szCs w:val="20"/>
                <w:color w:val="auto"/>
              </w:rPr>
            </w:pPr>
            <w:r>
              <w:rPr>
                <w:rFonts w:ascii="Arial" w:cs="Arial" w:eastAsia="Arial" w:hAnsi="Arial"/>
                <w:sz w:val="22"/>
                <w:szCs w:val="22"/>
                <w:color w:val="auto"/>
              </w:rPr>
              <w:t>14,720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212"/>
              <w:spacing w:after="0"/>
              <w:rPr>
                <w:sz w:val="20"/>
                <w:szCs w:val="20"/>
                <w:color w:val="auto"/>
              </w:rPr>
            </w:pPr>
            <w:r>
              <w:rPr>
                <w:rFonts w:ascii="Arial" w:cs="Arial" w:eastAsia="Arial" w:hAnsi="Arial"/>
                <w:sz w:val="22"/>
                <w:szCs w:val="22"/>
                <w:color w:val="auto"/>
              </w:rPr>
              <w:t>14,653</w:t>
            </w:r>
          </w:p>
        </w:tc>
      </w:tr>
      <w:tr>
        <w:trPr>
          <w:trHeight w:val="540"/>
        </w:trPr>
        <w:tc>
          <w:tcPr>
            <w:tcW w:w="5300" w:type="dxa"/>
            <w:vAlign w:val="bottom"/>
          </w:tcPr>
          <w:p>
            <w:pPr>
              <w:ind w:left="100"/>
              <w:spacing w:after="0"/>
              <w:rPr>
                <w:sz w:val="20"/>
                <w:szCs w:val="20"/>
                <w:color w:val="auto"/>
              </w:rPr>
            </w:pPr>
            <w:r>
              <w:rPr>
                <w:rFonts w:ascii="Arial" w:cs="Arial" w:eastAsia="Arial" w:hAnsi="Arial"/>
                <w:sz w:val="22"/>
                <w:szCs w:val="22"/>
                <w:color w:val="auto"/>
              </w:rPr>
              <w:t>Rentable rooms (3)</w:t>
            </w:r>
          </w:p>
        </w:tc>
        <w:tc>
          <w:tcPr>
            <w:tcW w:w="280" w:type="dxa"/>
            <w:vAlign w:val="bottom"/>
          </w:tcPr>
          <w:p>
            <w:pPr>
              <w:spacing w:after="0"/>
              <w:rPr>
                <w:sz w:val="24"/>
                <w:szCs w:val="24"/>
                <w:color w:val="auto"/>
              </w:rPr>
            </w:pPr>
          </w:p>
        </w:tc>
        <w:tc>
          <w:tcPr>
            <w:tcW w:w="1040" w:type="dxa"/>
            <w:vAlign w:val="bottom"/>
          </w:tcPr>
          <w:p>
            <w:pPr>
              <w:jc w:val="right"/>
              <w:ind w:right="132"/>
              <w:spacing w:after="0"/>
              <w:rPr>
                <w:sz w:val="20"/>
                <w:szCs w:val="20"/>
                <w:color w:val="auto"/>
              </w:rPr>
            </w:pPr>
            <w:r>
              <w:rPr>
                <w:rFonts w:ascii="Arial" w:cs="Arial" w:eastAsia="Arial" w:hAnsi="Arial"/>
                <w:sz w:val="22"/>
                <w:szCs w:val="22"/>
                <w:color w:val="auto"/>
              </w:rPr>
              <w:t>8,872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92"/>
              <w:spacing w:after="0"/>
              <w:rPr>
                <w:sz w:val="20"/>
                <w:szCs w:val="20"/>
                <w:color w:val="auto"/>
              </w:rPr>
            </w:pPr>
            <w:r>
              <w:rPr>
                <w:rFonts w:ascii="Arial" w:cs="Arial" w:eastAsia="Arial" w:hAnsi="Arial"/>
                <w:sz w:val="22"/>
                <w:szCs w:val="22"/>
                <w:color w:val="auto"/>
              </w:rPr>
              <w:t>9,324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52"/>
              <w:spacing w:after="0"/>
              <w:rPr>
                <w:sz w:val="20"/>
                <w:szCs w:val="20"/>
                <w:color w:val="auto"/>
              </w:rPr>
            </w:pPr>
            <w:r>
              <w:rPr>
                <w:rFonts w:ascii="Arial" w:cs="Arial" w:eastAsia="Arial" w:hAnsi="Arial"/>
                <w:sz w:val="22"/>
                <w:szCs w:val="22"/>
                <w:color w:val="auto"/>
              </w:rPr>
              <w:t>8,642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212"/>
              <w:spacing w:after="0"/>
              <w:rPr>
                <w:sz w:val="20"/>
                <w:szCs w:val="20"/>
                <w:color w:val="auto"/>
              </w:rPr>
            </w:pPr>
            <w:r>
              <w:rPr>
                <w:rFonts w:ascii="Arial" w:cs="Arial" w:eastAsia="Arial" w:hAnsi="Arial"/>
                <w:sz w:val="22"/>
                <w:szCs w:val="22"/>
                <w:color w:val="auto"/>
              </w:rPr>
              <w:t>9,979</w:t>
            </w:r>
          </w:p>
        </w:tc>
      </w:tr>
      <w:tr>
        <w:trPr>
          <w:trHeight w:val="540"/>
        </w:trPr>
        <w:tc>
          <w:tcPr>
            <w:tcW w:w="5300" w:type="dxa"/>
            <w:vAlign w:val="bottom"/>
          </w:tcPr>
          <w:p>
            <w:pPr>
              <w:ind w:left="100"/>
              <w:spacing w:after="0"/>
              <w:rPr>
                <w:sz w:val="20"/>
                <w:szCs w:val="20"/>
                <w:color w:val="auto"/>
              </w:rPr>
            </w:pPr>
            <w:r>
              <w:rPr>
                <w:rFonts w:ascii="Arial" w:cs="Arial" w:eastAsia="Arial" w:hAnsi="Arial"/>
                <w:sz w:val="22"/>
                <w:szCs w:val="22"/>
                <w:color w:val="auto"/>
              </w:rPr>
              <w:t>Average daily rates (4)</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132"/>
              <w:spacing w:after="0"/>
              <w:rPr>
                <w:sz w:val="20"/>
                <w:szCs w:val="20"/>
                <w:color w:val="auto"/>
              </w:rPr>
            </w:pPr>
            <w:r>
              <w:rPr>
                <w:rFonts w:ascii="Arial" w:cs="Arial" w:eastAsia="Arial" w:hAnsi="Arial"/>
                <w:sz w:val="22"/>
                <w:szCs w:val="22"/>
                <w:color w:val="auto"/>
              </w:rPr>
              <w:t>90</w:t>
            </w:r>
          </w:p>
        </w:tc>
        <w:tc>
          <w:tcPr>
            <w:tcW w:w="8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20" w:type="dxa"/>
            <w:vAlign w:val="bottom"/>
          </w:tcPr>
          <w:p>
            <w:pPr>
              <w:jc w:val="right"/>
              <w:ind w:right="192"/>
              <w:spacing w:after="0"/>
              <w:rPr>
                <w:sz w:val="20"/>
                <w:szCs w:val="20"/>
                <w:color w:val="auto"/>
              </w:rPr>
            </w:pPr>
            <w:r>
              <w:rPr>
                <w:rFonts w:ascii="Arial" w:cs="Arial" w:eastAsia="Arial" w:hAnsi="Arial"/>
                <w:sz w:val="22"/>
                <w:szCs w:val="22"/>
                <w:color w:val="auto"/>
              </w:rPr>
              <w:t>99</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Pr>
          <w:p>
            <w:pPr>
              <w:jc w:val="right"/>
              <w:ind w:right="152"/>
              <w:spacing w:after="0"/>
              <w:rPr>
                <w:sz w:val="20"/>
                <w:szCs w:val="20"/>
                <w:color w:val="auto"/>
              </w:rPr>
            </w:pPr>
            <w:r>
              <w:rPr>
                <w:rFonts w:ascii="Arial" w:cs="Arial" w:eastAsia="Arial" w:hAnsi="Arial"/>
                <w:sz w:val="22"/>
                <w:szCs w:val="22"/>
                <w:color w:val="auto"/>
              </w:rPr>
              <w:t>92</w:t>
            </w:r>
          </w:p>
        </w:tc>
        <w:tc>
          <w:tcPr>
            <w:tcW w:w="80" w:type="dxa"/>
            <w:vAlign w:val="bottom"/>
          </w:tcPr>
          <w:p>
            <w:pPr>
              <w:spacing w:after="0"/>
              <w:rPr>
                <w:sz w:val="24"/>
                <w:szCs w:val="24"/>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ind w:right="212"/>
              <w:spacing w:after="0"/>
              <w:rPr>
                <w:sz w:val="20"/>
                <w:szCs w:val="20"/>
                <w:color w:val="auto"/>
              </w:rPr>
            </w:pPr>
            <w:r>
              <w:rPr>
                <w:rFonts w:ascii="Arial" w:cs="Arial" w:eastAsia="Arial" w:hAnsi="Arial"/>
                <w:sz w:val="22"/>
                <w:szCs w:val="22"/>
                <w:color w:val="auto"/>
              </w:rPr>
              <w:t>104</w:t>
            </w:r>
          </w:p>
        </w:tc>
      </w:tr>
      <w:tr>
        <w:trPr>
          <w:trHeight w:val="540"/>
        </w:trPr>
        <w:tc>
          <w:tcPr>
            <w:tcW w:w="5300" w:type="dxa"/>
            <w:vAlign w:val="bottom"/>
          </w:tcPr>
          <w:p>
            <w:pPr>
              <w:ind w:left="100"/>
              <w:spacing w:after="0"/>
              <w:rPr>
                <w:sz w:val="20"/>
                <w:szCs w:val="20"/>
                <w:color w:val="auto"/>
              </w:rPr>
            </w:pPr>
            <w:r>
              <w:rPr>
                <w:rFonts w:ascii="Arial" w:cs="Arial" w:eastAsia="Arial" w:hAnsi="Arial"/>
                <w:sz w:val="22"/>
                <w:szCs w:val="22"/>
                <w:color w:val="auto"/>
              </w:rPr>
              <w:t>Occupancy in lodges (5)</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79%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65%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78%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Arial" w:cs="Arial" w:eastAsia="Arial" w:hAnsi="Arial"/>
                <w:sz w:val="22"/>
                <w:szCs w:val="22"/>
                <w:color w:val="auto"/>
              </w:rPr>
              <w:t>63%</w:t>
            </w:r>
          </w:p>
        </w:tc>
      </w:tr>
      <w:tr>
        <w:trPr>
          <w:trHeight w:val="540"/>
        </w:trPr>
        <w:tc>
          <w:tcPr>
            <w:tcW w:w="5300" w:type="dxa"/>
            <w:vAlign w:val="bottom"/>
          </w:tcPr>
          <w:p>
            <w:pPr>
              <w:ind w:left="100"/>
              <w:spacing w:after="0"/>
              <w:rPr>
                <w:sz w:val="20"/>
                <w:szCs w:val="20"/>
                <w:color w:val="auto"/>
              </w:rPr>
            </w:pPr>
            <w:r>
              <w:rPr>
                <w:rFonts w:ascii="Arial" w:cs="Arial" w:eastAsia="Arial" w:hAnsi="Arial"/>
                <w:sz w:val="22"/>
                <w:szCs w:val="22"/>
                <w:color w:val="auto"/>
              </w:rPr>
              <w:t>Canadian dollar to U.S. dollar</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132"/>
              <w:spacing w:after="0"/>
              <w:rPr>
                <w:sz w:val="20"/>
                <w:szCs w:val="20"/>
                <w:color w:val="auto"/>
              </w:rPr>
            </w:pPr>
            <w:r>
              <w:rPr>
                <w:rFonts w:ascii="Arial" w:cs="Arial" w:eastAsia="Arial" w:hAnsi="Arial"/>
                <w:sz w:val="22"/>
                <w:szCs w:val="22"/>
                <w:color w:val="auto"/>
              </w:rPr>
              <w:t>0.787</w:t>
            </w:r>
          </w:p>
        </w:tc>
        <w:tc>
          <w:tcPr>
            <w:tcW w:w="8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20" w:type="dxa"/>
            <w:vAlign w:val="bottom"/>
          </w:tcPr>
          <w:p>
            <w:pPr>
              <w:jc w:val="right"/>
              <w:ind w:right="192"/>
              <w:spacing w:after="0"/>
              <w:rPr>
                <w:sz w:val="20"/>
                <w:szCs w:val="20"/>
                <w:color w:val="auto"/>
              </w:rPr>
            </w:pPr>
            <w:r>
              <w:rPr>
                <w:rFonts w:ascii="Arial" w:cs="Arial" w:eastAsia="Arial" w:hAnsi="Arial"/>
                <w:sz w:val="22"/>
                <w:szCs w:val="22"/>
                <w:color w:val="auto"/>
              </w:rPr>
              <w:t>0.750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Pr>
          <w:p>
            <w:pPr>
              <w:jc w:val="right"/>
              <w:ind w:right="152"/>
              <w:spacing w:after="0"/>
              <w:rPr>
                <w:sz w:val="20"/>
                <w:szCs w:val="20"/>
                <w:color w:val="auto"/>
              </w:rPr>
            </w:pPr>
            <w:r>
              <w:rPr>
                <w:rFonts w:ascii="Arial" w:cs="Arial" w:eastAsia="Arial" w:hAnsi="Arial"/>
                <w:sz w:val="22"/>
                <w:szCs w:val="22"/>
                <w:color w:val="auto"/>
              </w:rPr>
              <w:t>0.771</w:t>
            </w:r>
          </w:p>
        </w:tc>
        <w:tc>
          <w:tcPr>
            <w:tcW w:w="80" w:type="dxa"/>
            <w:vAlign w:val="bottom"/>
          </w:tcPr>
          <w:p>
            <w:pPr>
              <w:spacing w:after="0"/>
              <w:rPr>
                <w:sz w:val="24"/>
                <w:szCs w:val="24"/>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ind w:right="212"/>
              <w:spacing w:after="0"/>
              <w:rPr>
                <w:sz w:val="20"/>
                <w:szCs w:val="20"/>
                <w:color w:val="auto"/>
              </w:rPr>
            </w:pPr>
            <w:r>
              <w:rPr>
                <w:rFonts w:ascii="Arial" w:cs="Arial" w:eastAsia="Arial" w:hAnsi="Arial"/>
                <w:sz w:val="22"/>
                <w:szCs w:val="22"/>
                <w:color w:val="auto"/>
              </w:rPr>
              <w:t>0.755</w:t>
            </w:r>
          </w:p>
        </w:tc>
      </w:tr>
      <w:tr>
        <w:trPr>
          <w:trHeight w:val="536"/>
        </w:trPr>
        <w:tc>
          <w:tcPr>
            <w:tcW w:w="5300" w:type="dxa"/>
            <w:vAlign w:val="bottom"/>
          </w:tcPr>
          <w:p>
            <w:pPr>
              <w:spacing w:after="0"/>
              <w:rPr>
                <w:sz w:val="20"/>
                <w:szCs w:val="20"/>
                <w:color w:val="auto"/>
              </w:rPr>
            </w:pPr>
            <w:r>
              <w:rPr>
                <w:rFonts w:ascii="Arial" w:cs="Arial" w:eastAsia="Arial" w:hAnsi="Arial"/>
                <w:sz w:val="22"/>
                <w:szCs w:val="22"/>
                <w:b w:val="1"/>
                <w:bCs w:val="1"/>
                <w:color w:val="auto"/>
                <w:w w:val="98"/>
              </w:rPr>
              <w:t>Supplemental Operating Data - Australian Segment</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5300" w:type="dxa"/>
            <w:vAlign w:val="bottom"/>
          </w:tcPr>
          <w:p>
            <w:pPr>
              <w:ind w:left="100"/>
              <w:spacing w:after="0"/>
              <w:rPr>
                <w:sz w:val="20"/>
                <w:szCs w:val="20"/>
                <w:color w:val="auto"/>
              </w:rPr>
            </w:pPr>
            <w:r>
              <w:rPr>
                <w:rFonts w:ascii="Arial" w:cs="Arial" w:eastAsia="Arial" w:hAnsi="Arial"/>
                <w:sz w:val="22"/>
                <w:szCs w:val="22"/>
                <w:color w:val="auto"/>
              </w:rPr>
              <w:t>Revenues</w:t>
            </w: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5"/>
        </w:trPr>
        <w:tc>
          <w:tcPr>
            <w:tcW w:w="5300" w:type="dxa"/>
            <w:vAlign w:val="bottom"/>
          </w:tcPr>
          <w:p>
            <w:pPr>
              <w:ind w:left="240"/>
              <w:spacing w:after="0"/>
              <w:rPr>
                <w:sz w:val="20"/>
                <w:szCs w:val="20"/>
                <w:color w:val="auto"/>
              </w:rPr>
            </w:pPr>
            <w:r>
              <w:rPr>
                <w:rFonts w:ascii="Arial" w:cs="Arial" w:eastAsia="Arial" w:hAnsi="Arial"/>
                <w:sz w:val="22"/>
                <w:szCs w:val="22"/>
                <w:color w:val="auto"/>
              </w:rPr>
              <w:t>Village revenues (1)</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132"/>
              <w:spacing w:after="0"/>
              <w:rPr>
                <w:sz w:val="20"/>
                <w:szCs w:val="20"/>
                <w:color w:val="auto"/>
              </w:rPr>
            </w:pPr>
            <w:r>
              <w:rPr>
                <w:rFonts w:ascii="Arial" w:cs="Arial" w:eastAsia="Arial" w:hAnsi="Arial"/>
                <w:sz w:val="22"/>
                <w:szCs w:val="22"/>
                <w:color w:val="auto"/>
              </w:rPr>
              <w:t>28,057</w:t>
            </w:r>
          </w:p>
        </w:tc>
        <w:tc>
          <w:tcPr>
            <w:tcW w:w="80" w:type="dxa"/>
            <w:vAlign w:val="bottom"/>
          </w:tcPr>
          <w:p>
            <w:pPr>
              <w:spacing w:after="0"/>
              <w:rPr>
                <w:sz w:val="23"/>
                <w:szCs w:val="23"/>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20" w:type="dxa"/>
            <w:vAlign w:val="bottom"/>
          </w:tcPr>
          <w:p>
            <w:pPr>
              <w:jc w:val="right"/>
              <w:ind w:right="192"/>
              <w:spacing w:after="0"/>
              <w:rPr>
                <w:sz w:val="20"/>
                <w:szCs w:val="20"/>
                <w:color w:val="auto"/>
              </w:rPr>
            </w:pPr>
            <w:r>
              <w:rPr>
                <w:rFonts w:ascii="Arial" w:cs="Arial" w:eastAsia="Arial" w:hAnsi="Arial"/>
                <w:sz w:val="22"/>
                <w:szCs w:val="22"/>
                <w:color w:val="auto"/>
              </w:rPr>
              <w:t>26,121</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Pr>
          <w:p>
            <w:pPr>
              <w:jc w:val="right"/>
              <w:ind w:right="152"/>
              <w:spacing w:after="0"/>
              <w:rPr>
                <w:sz w:val="20"/>
                <w:szCs w:val="20"/>
                <w:color w:val="auto"/>
              </w:rPr>
            </w:pPr>
            <w:r>
              <w:rPr>
                <w:rFonts w:ascii="Arial" w:cs="Arial" w:eastAsia="Arial" w:hAnsi="Arial"/>
                <w:sz w:val="22"/>
                <w:szCs w:val="22"/>
                <w:color w:val="auto"/>
              </w:rPr>
              <w:t>111,221</w:t>
            </w:r>
          </w:p>
        </w:tc>
        <w:tc>
          <w:tcPr>
            <w:tcW w:w="80" w:type="dxa"/>
            <w:vAlign w:val="bottom"/>
          </w:tcPr>
          <w:p>
            <w:pPr>
              <w:spacing w:after="0"/>
              <w:rPr>
                <w:sz w:val="23"/>
                <w:szCs w:val="23"/>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ind w:right="212"/>
              <w:spacing w:after="0"/>
              <w:rPr>
                <w:sz w:val="20"/>
                <w:szCs w:val="20"/>
                <w:color w:val="auto"/>
              </w:rPr>
            </w:pPr>
            <w:r>
              <w:rPr>
                <w:rFonts w:ascii="Arial" w:cs="Arial" w:eastAsia="Arial" w:hAnsi="Arial"/>
                <w:sz w:val="22"/>
                <w:szCs w:val="22"/>
                <w:color w:val="auto"/>
              </w:rPr>
              <w:t>106,815</w:t>
            </w:r>
          </w:p>
        </w:tc>
      </w:tr>
      <w:tr>
        <w:trPr>
          <w:trHeight w:val="540"/>
        </w:trPr>
        <w:tc>
          <w:tcPr>
            <w:tcW w:w="5300" w:type="dxa"/>
            <w:vAlign w:val="bottom"/>
          </w:tcPr>
          <w:p>
            <w:pPr>
              <w:ind w:left="100"/>
              <w:spacing w:after="0"/>
              <w:rPr>
                <w:sz w:val="20"/>
                <w:szCs w:val="20"/>
                <w:color w:val="auto"/>
              </w:rPr>
            </w:pPr>
            <w:r>
              <w:rPr>
                <w:rFonts w:ascii="Arial" w:cs="Arial" w:eastAsia="Arial" w:hAnsi="Arial"/>
                <w:sz w:val="22"/>
                <w:szCs w:val="22"/>
                <w:color w:val="auto"/>
              </w:rPr>
              <w:t>Average available village rooms (2)</w:t>
            </w:r>
          </w:p>
        </w:tc>
        <w:tc>
          <w:tcPr>
            <w:tcW w:w="280" w:type="dxa"/>
            <w:vAlign w:val="bottom"/>
          </w:tcPr>
          <w:p>
            <w:pPr>
              <w:spacing w:after="0"/>
              <w:rPr>
                <w:sz w:val="24"/>
                <w:szCs w:val="24"/>
                <w:color w:val="auto"/>
              </w:rPr>
            </w:pPr>
          </w:p>
        </w:tc>
        <w:tc>
          <w:tcPr>
            <w:tcW w:w="1040" w:type="dxa"/>
            <w:vAlign w:val="bottom"/>
          </w:tcPr>
          <w:p>
            <w:pPr>
              <w:jc w:val="right"/>
              <w:ind w:right="132"/>
              <w:spacing w:after="0"/>
              <w:rPr>
                <w:sz w:val="20"/>
                <w:szCs w:val="20"/>
                <w:color w:val="auto"/>
              </w:rPr>
            </w:pPr>
            <w:r>
              <w:rPr>
                <w:rFonts w:ascii="Arial" w:cs="Arial" w:eastAsia="Arial" w:hAnsi="Arial"/>
                <w:sz w:val="22"/>
                <w:szCs w:val="22"/>
                <w:color w:val="auto"/>
              </w:rPr>
              <w:t>9,346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92"/>
              <w:spacing w:after="0"/>
              <w:rPr>
                <w:sz w:val="20"/>
                <w:szCs w:val="20"/>
                <w:color w:val="auto"/>
              </w:rPr>
            </w:pPr>
            <w:r>
              <w:rPr>
                <w:rFonts w:ascii="Arial" w:cs="Arial" w:eastAsia="Arial" w:hAnsi="Arial"/>
                <w:sz w:val="22"/>
                <w:szCs w:val="22"/>
                <w:color w:val="auto"/>
              </w:rPr>
              <w:t>9,386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52"/>
              <w:spacing w:after="0"/>
              <w:rPr>
                <w:sz w:val="20"/>
                <w:szCs w:val="20"/>
                <w:color w:val="auto"/>
              </w:rPr>
            </w:pPr>
            <w:r>
              <w:rPr>
                <w:rFonts w:ascii="Arial" w:cs="Arial" w:eastAsia="Arial" w:hAnsi="Arial"/>
                <w:sz w:val="22"/>
                <w:szCs w:val="22"/>
                <w:color w:val="auto"/>
              </w:rPr>
              <w:t>9,369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212"/>
              <w:spacing w:after="0"/>
              <w:rPr>
                <w:sz w:val="20"/>
                <w:szCs w:val="20"/>
                <w:color w:val="auto"/>
              </w:rPr>
            </w:pPr>
            <w:r>
              <w:rPr>
                <w:rFonts w:ascii="Arial" w:cs="Arial" w:eastAsia="Arial" w:hAnsi="Arial"/>
                <w:sz w:val="22"/>
                <w:szCs w:val="22"/>
                <w:color w:val="auto"/>
              </w:rPr>
              <w:t>9,335</w:t>
            </w:r>
          </w:p>
        </w:tc>
      </w:tr>
      <w:tr>
        <w:trPr>
          <w:trHeight w:val="540"/>
        </w:trPr>
        <w:tc>
          <w:tcPr>
            <w:tcW w:w="5300" w:type="dxa"/>
            <w:vAlign w:val="bottom"/>
          </w:tcPr>
          <w:p>
            <w:pPr>
              <w:ind w:left="100"/>
              <w:spacing w:after="0"/>
              <w:rPr>
                <w:sz w:val="20"/>
                <w:szCs w:val="20"/>
                <w:color w:val="auto"/>
              </w:rPr>
            </w:pPr>
            <w:r>
              <w:rPr>
                <w:rFonts w:ascii="Arial" w:cs="Arial" w:eastAsia="Arial" w:hAnsi="Arial"/>
                <w:sz w:val="22"/>
                <w:szCs w:val="22"/>
                <w:color w:val="auto"/>
              </w:rPr>
              <w:t>Rentable rooms (3)</w:t>
            </w:r>
          </w:p>
        </w:tc>
        <w:tc>
          <w:tcPr>
            <w:tcW w:w="280" w:type="dxa"/>
            <w:vAlign w:val="bottom"/>
          </w:tcPr>
          <w:p>
            <w:pPr>
              <w:spacing w:after="0"/>
              <w:rPr>
                <w:sz w:val="24"/>
                <w:szCs w:val="24"/>
                <w:color w:val="auto"/>
              </w:rPr>
            </w:pPr>
          </w:p>
        </w:tc>
        <w:tc>
          <w:tcPr>
            <w:tcW w:w="1040" w:type="dxa"/>
            <w:vAlign w:val="bottom"/>
          </w:tcPr>
          <w:p>
            <w:pPr>
              <w:jc w:val="right"/>
              <w:ind w:right="132"/>
              <w:spacing w:after="0"/>
              <w:rPr>
                <w:sz w:val="20"/>
                <w:szCs w:val="20"/>
                <w:color w:val="auto"/>
              </w:rPr>
            </w:pPr>
            <w:r>
              <w:rPr>
                <w:rFonts w:ascii="Arial" w:cs="Arial" w:eastAsia="Arial" w:hAnsi="Arial"/>
                <w:sz w:val="22"/>
                <w:szCs w:val="22"/>
                <w:color w:val="auto"/>
              </w:rPr>
              <w:t>8,697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92"/>
              <w:spacing w:after="0"/>
              <w:rPr>
                <w:sz w:val="20"/>
                <w:szCs w:val="20"/>
                <w:color w:val="auto"/>
              </w:rPr>
            </w:pPr>
            <w:r>
              <w:rPr>
                <w:rFonts w:ascii="Arial" w:cs="Arial" w:eastAsia="Arial" w:hAnsi="Arial"/>
                <w:sz w:val="22"/>
                <w:szCs w:val="22"/>
                <w:color w:val="auto"/>
              </w:rPr>
              <w:t>8,616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52"/>
              <w:spacing w:after="0"/>
              <w:rPr>
                <w:sz w:val="20"/>
                <w:szCs w:val="20"/>
                <w:color w:val="auto"/>
              </w:rPr>
            </w:pPr>
            <w:r>
              <w:rPr>
                <w:rFonts w:ascii="Arial" w:cs="Arial" w:eastAsia="Arial" w:hAnsi="Arial"/>
                <w:sz w:val="22"/>
                <w:szCs w:val="22"/>
                <w:color w:val="auto"/>
              </w:rPr>
              <w:t>8,739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212"/>
              <w:spacing w:after="0"/>
              <w:rPr>
                <w:sz w:val="20"/>
                <w:szCs w:val="20"/>
                <w:color w:val="auto"/>
              </w:rPr>
            </w:pPr>
            <w:r>
              <w:rPr>
                <w:rFonts w:ascii="Arial" w:cs="Arial" w:eastAsia="Arial" w:hAnsi="Arial"/>
                <w:sz w:val="22"/>
                <w:szCs w:val="22"/>
                <w:color w:val="auto"/>
              </w:rPr>
              <w:t>8,679</w:t>
            </w:r>
          </w:p>
        </w:tc>
      </w:tr>
      <w:tr>
        <w:trPr>
          <w:trHeight w:val="540"/>
        </w:trPr>
        <w:tc>
          <w:tcPr>
            <w:tcW w:w="5300" w:type="dxa"/>
            <w:vAlign w:val="bottom"/>
          </w:tcPr>
          <w:p>
            <w:pPr>
              <w:ind w:left="100"/>
              <w:spacing w:after="0"/>
              <w:rPr>
                <w:sz w:val="20"/>
                <w:szCs w:val="20"/>
                <w:color w:val="auto"/>
              </w:rPr>
            </w:pPr>
            <w:r>
              <w:rPr>
                <w:rFonts w:ascii="Arial" w:cs="Arial" w:eastAsia="Arial" w:hAnsi="Arial"/>
                <w:sz w:val="22"/>
                <w:szCs w:val="22"/>
                <w:color w:val="auto"/>
              </w:rPr>
              <w:t>Average daily rates (4)</w:t>
            </w:r>
          </w:p>
        </w:tc>
        <w:tc>
          <w:tcPr>
            <w:tcW w:w="2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132"/>
              <w:spacing w:after="0"/>
              <w:rPr>
                <w:sz w:val="20"/>
                <w:szCs w:val="20"/>
                <w:color w:val="auto"/>
              </w:rPr>
            </w:pPr>
            <w:r>
              <w:rPr>
                <w:rFonts w:ascii="Arial" w:cs="Arial" w:eastAsia="Arial" w:hAnsi="Arial"/>
                <w:sz w:val="22"/>
                <w:szCs w:val="22"/>
                <w:color w:val="auto"/>
              </w:rPr>
              <w:t>79</w:t>
            </w:r>
          </w:p>
        </w:tc>
        <w:tc>
          <w:tcPr>
            <w:tcW w:w="80" w:type="dxa"/>
            <w:vAlign w:val="bottom"/>
          </w:tcPr>
          <w:p>
            <w:pPr>
              <w:spacing w:after="0"/>
              <w:rPr>
                <w:sz w:val="24"/>
                <w:szCs w:val="24"/>
                <w:color w:val="auto"/>
              </w:rPr>
            </w:pPr>
          </w:p>
        </w:tc>
        <w:tc>
          <w:tcPr>
            <w:tcW w:w="280" w:type="dxa"/>
            <w:vAlign w:val="bottom"/>
          </w:tcPr>
          <w:p>
            <w:pPr>
              <w:jc w:val="right"/>
              <w:ind w:right="32"/>
              <w:spacing w:after="0"/>
              <w:rPr>
                <w:sz w:val="20"/>
                <w:szCs w:val="20"/>
                <w:color w:val="auto"/>
              </w:rPr>
            </w:pPr>
            <w:r>
              <w:rPr>
                <w:rFonts w:ascii="Arial" w:cs="Arial" w:eastAsia="Arial" w:hAnsi="Arial"/>
                <w:sz w:val="22"/>
                <w:szCs w:val="22"/>
                <w:color w:val="auto"/>
                <w:w w:val="97"/>
              </w:rPr>
              <w:t>$</w:t>
            </w:r>
          </w:p>
        </w:tc>
        <w:tc>
          <w:tcPr>
            <w:tcW w:w="1120" w:type="dxa"/>
            <w:vAlign w:val="bottom"/>
          </w:tcPr>
          <w:p>
            <w:pPr>
              <w:jc w:val="right"/>
              <w:ind w:right="192"/>
              <w:spacing w:after="0"/>
              <w:rPr>
                <w:sz w:val="20"/>
                <w:szCs w:val="20"/>
                <w:color w:val="auto"/>
              </w:rPr>
            </w:pPr>
            <w:r>
              <w:rPr>
                <w:rFonts w:ascii="Arial" w:cs="Arial" w:eastAsia="Arial" w:hAnsi="Arial"/>
                <w:sz w:val="22"/>
                <w:szCs w:val="22"/>
                <w:color w:val="auto"/>
              </w:rPr>
              <w:t>80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300" w:type="dxa"/>
            <w:vAlign w:val="bottom"/>
          </w:tcPr>
          <w:p>
            <w:pPr>
              <w:jc w:val="right"/>
              <w:ind w:right="152"/>
              <w:spacing w:after="0"/>
              <w:rPr>
                <w:sz w:val="20"/>
                <w:szCs w:val="20"/>
                <w:color w:val="auto"/>
              </w:rPr>
            </w:pPr>
            <w:r>
              <w:rPr>
                <w:rFonts w:ascii="Arial" w:cs="Arial" w:eastAsia="Arial" w:hAnsi="Arial"/>
                <w:sz w:val="22"/>
                <w:szCs w:val="22"/>
                <w:color w:val="auto"/>
              </w:rPr>
              <w:t>80</w:t>
            </w:r>
          </w:p>
        </w:tc>
        <w:tc>
          <w:tcPr>
            <w:tcW w:w="80" w:type="dxa"/>
            <w:vAlign w:val="bottom"/>
          </w:tcPr>
          <w:p>
            <w:pPr>
              <w:spacing w:after="0"/>
              <w:rPr>
                <w:sz w:val="24"/>
                <w:szCs w:val="24"/>
                <w:color w:val="auto"/>
              </w:rPr>
            </w:pP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280" w:type="dxa"/>
            <w:vAlign w:val="bottom"/>
          </w:tcPr>
          <w:p>
            <w:pPr>
              <w:jc w:val="right"/>
              <w:ind w:right="212"/>
              <w:spacing w:after="0"/>
              <w:rPr>
                <w:sz w:val="20"/>
                <w:szCs w:val="20"/>
                <w:color w:val="auto"/>
              </w:rPr>
            </w:pPr>
            <w:r>
              <w:rPr>
                <w:rFonts w:ascii="Arial" w:cs="Arial" w:eastAsia="Arial" w:hAnsi="Arial"/>
                <w:sz w:val="22"/>
                <w:szCs w:val="22"/>
                <w:color w:val="auto"/>
              </w:rPr>
              <w:t>76</w:t>
            </w:r>
          </w:p>
        </w:tc>
      </w:tr>
      <w:tr>
        <w:trPr>
          <w:trHeight w:val="540"/>
        </w:trPr>
        <w:tc>
          <w:tcPr>
            <w:tcW w:w="5300" w:type="dxa"/>
            <w:vAlign w:val="bottom"/>
          </w:tcPr>
          <w:p>
            <w:pPr>
              <w:ind w:left="100"/>
              <w:spacing w:after="0"/>
              <w:rPr>
                <w:sz w:val="20"/>
                <w:szCs w:val="20"/>
                <w:color w:val="auto"/>
              </w:rPr>
            </w:pPr>
            <w:r>
              <w:rPr>
                <w:rFonts w:ascii="Arial" w:cs="Arial" w:eastAsia="Arial" w:hAnsi="Arial"/>
                <w:sz w:val="22"/>
                <w:szCs w:val="22"/>
                <w:color w:val="auto"/>
              </w:rPr>
              <w:t>Occupancy in villages (5)</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44%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41%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43%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Arial" w:cs="Arial" w:eastAsia="Arial" w:hAnsi="Arial"/>
                <w:sz w:val="22"/>
                <w:szCs w:val="22"/>
                <w:color w:val="auto"/>
              </w:rPr>
              <w:t>44%</w:t>
            </w:r>
          </w:p>
        </w:tc>
      </w:tr>
    </w:tbl>
    <w:p>
      <w:pPr>
        <w:sectPr>
          <w:pgSz w:w="11900" w:h="16838" w:orient="portrait"/>
          <w:cols w:equalWidth="0" w:num="1">
            <w:col w:w="11400"/>
          </w:cols>
          <w:pgMar w:left="260" w:top="112" w:right="239" w:bottom="12" w:gutter="0" w:footer="0" w:header="0"/>
        </w:sectPr>
      </w:pPr>
    </w:p>
    <w:bookmarkStart w:id="11" w:name="page12"/>
    <w:bookmarkEnd w:id="11"/>
    <w:p>
      <w:pPr>
        <w:ind w:left="120"/>
        <w:spacing w:after="0"/>
        <w:tabs>
          <w:tab w:leader="none" w:pos="5340" w:val="left"/>
          <w:tab w:leader="none" w:pos="5880" w:val="left"/>
          <w:tab w:leader="none" w:pos="6740" w:val="left"/>
          <w:tab w:leader="none" w:pos="7320" w:val="left"/>
          <w:tab w:leader="none" w:pos="8200" w:val="left"/>
          <w:tab w:leader="none" w:pos="8880" w:val="left"/>
          <w:tab w:leader="none" w:pos="9760" w:val="left"/>
          <w:tab w:leader="none" w:pos="10500" w:val="left"/>
        </w:tabs>
        <w:rPr>
          <w:sz w:val="20"/>
          <w:szCs w:val="20"/>
          <w:color w:val="auto"/>
        </w:rPr>
      </w:pPr>
      <w:r>
        <w:rPr>
          <w:rFonts w:ascii="Arial" w:cs="Arial" w:eastAsia="Arial" w:hAnsi="Arial"/>
          <w:sz w:val="22"/>
          <w:szCs w:val="22"/>
          <w:color w:val="auto"/>
        </w:rPr>
        <w:t>Australian dollar to U.S. dollar</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0.768</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0.750</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0.767</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0.752</w:t>
      </w:r>
    </w:p>
    <w:p>
      <w:pPr>
        <w:spacing w:after="0" w:line="200" w:lineRule="exact"/>
        <w:rPr>
          <w:sz w:val="20"/>
          <w:szCs w:val="20"/>
          <w:color w:val="auto"/>
        </w:rPr>
      </w:pPr>
    </w:p>
    <w:p>
      <w:pPr>
        <w:spacing w:after="0" w:line="358" w:lineRule="exact"/>
        <w:rPr>
          <w:sz w:val="20"/>
          <w:szCs w:val="20"/>
          <w:color w:val="auto"/>
        </w:rPr>
      </w:pPr>
    </w:p>
    <w:p>
      <w:pPr>
        <w:ind w:left="20" w:right="20" w:firstLine="2"/>
        <w:spacing w:after="0" w:line="251" w:lineRule="auto"/>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Includes revenue related to rooms as well as the fees associated with catering, laundry and other services including facilities management.</w:t>
      </w:r>
    </w:p>
    <w:p>
      <w:pPr>
        <w:spacing w:after="0" w:line="254" w:lineRule="exact"/>
        <w:rPr>
          <w:rFonts w:ascii="Arial" w:cs="Arial" w:eastAsia="Arial" w:hAnsi="Arial"/>
          <w:sz w:val="22"/>
          <w:szCs w:val="22"/>
          <w:color w:val="auto"/>
        </w:rPr>
      </w:pPr>
    </w:p>
    <w:p>
      <w:pPr>
        <w:ind w:left="20" w:right="520" w:firstLine="2"/>
        <w:spacing w:after="0" w:line="251" w:lineRule="auto"/>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Average available rooms relate to Canadian lodges and Australian villages and includes rooms that are utilized for our personnel.</w:t>
      </w:r>
    </w:p>
    <w:p>
      <w:pPr>
        <w:spacing w:after="0" w:line="254" w:lineRule="exact"/>
        <w:rPr>
          <w:rFonts w:ascii="Arial" w:cs="Arial" w:eastAsia="Arial" w:hAnsi="Arial"/>
          <w:sz w:val="22"/>
          <w:szCs w:val="22"/>
          <w:color w:val="auto"/>
        </w:rPr>
      </w:pPr>
    </w:p>
    <w:p>
      <w:pPr>
        <w:ind w:left="20" w:firstLine="2"/>
        <w:spacing w:after="0" w:line="251" w:lineRule="auto"/>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Rentable rooms relate to Canadian lodges and Australian villages and excludes rooms that are utilized for our personnel and out-of-service rooms.</w:t>
      </w:r>
    </w:p>
    <w:p>
      <w:pPr>
        <w:spacing w:after="0" w:line="254" w:lineRule="exact"/>
        <w:rPr>
          <w:rFonts w:ascii="Arial" w:cs="Arial" w:eastAsia="Arial" w:hAnsi="Arial"/>
          <w:sz w:val="22"/>
          <w:szCs w:val="22"/>
          <w:color w:val="auto"/>
        </w:rPr>
      </w:pPr>
    </w:p>
    <w:p>
      <w:pPr>
        <w:ind w:left="380" w:hanging="358"/>
        <w:spacing w:after="0"/>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Average daily rate is based on rentable rooms and lodge/village revenue.</w:t>
      </w:r>
    </w:p>
    <w:p>
      <w:pPr>
        <w:spacing w:after="0" w:line="287" w:lineRule="exact"/>
        <w:rPr>
          <w:rFonts w:ascii="Arial" w:cs="Arial" w:eastAsia="Arial" w:hAnsi="Arial"/>
          <w:sz w:val="22"/>
          <w:szCs w:val="22"/>
          <w:color w:val="auto"/>
        </w:rPr>
      </w:pPr>
    </w:p>
    <w:p>
      <w:pPr>
        <w:ind w:left="20" w:right="380" w:firstLine="2"/>
        <w:spacing w:after="0" w:line="251" w:lineRule="auto"/>
        <w:tabs>
          <w:tab w:leader="none" w:pos="380" w:val="left"/>
        </w:tabs>
        <w:numPr>
          <w:ilvl w:val="0"/>
          <w:numId w:val="7"/>
        </w:numPr>
        <w:rPr>
          <w:rFonts w:ascii="Arial" w:cs="Arial" w:eastAsia="Arial" w:hAnsi="Arial"/>
          <w:sz w:val="22"/>
          <w:szCs w:val="22"/>
          <w:color w:val="auto"/>
        </w:rPr>
      </w:pPr>
      <w:r>
        <w:rPr>
          <w:rFonts w:ascii="Arial" w:cs="Arial" w:eastAsia="Arial" w:hAnsi="Arial"/>
          <w:sz w:val="22"/>
          <w:szCs w:val="22"/>
          <w:color w:val="auto"/>
        </w:rPr>
        <w:t>Occupancy represents total billed days divided by rentable days. Rentable days excludes staff rooms and out-of-service rooms.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Contacts: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Frank C. Steininger</w:t>
      </w:r>
    </w:p>
    <w:p>
      <w:pPr>
        <w:spacing w:after="0" w:line="238" w:lineRule="auto"/>
        <w:rPr>
          <w:sz w:val="20"/>
          <w:szCs w:val="20"/>
          <w:color w:val="auto"/>
        </w:rPr>
      </w:pPr>
      <w:r>
        <w:rPr>
          <w:rFonts w:ascii="Arial" w:cs="Arial" w:eastAsia="Arial" w:hAnsi="Arial"/>
          <w:sz w:val="22"/>
          <w:szCs w:val="22"/>
          <w:color w:val="auto"/>
        </w:rPr>
        <w:t>Civeo Corporation</w:t>
      </w:r>
    </w:p>
    <w:p>
      <w:pPr>
        <w:spacing w:after="0" w:line="230" w:lineRule="auto"/>
        <w:rPr>
          <w:sz w:val="20"/>
          <w:szCs w:val="20"/>
          <w:color w:val="auto"/>
        </w:rPr>
      </w:pPr>
      <w:r>
        <w:rPr>
          <w:rFonts w:ascii="Arial" w:cs="Arial" w:eastAsia="Arial" w:hAnsi="Arial"/>
          <w:sz w:val="22"/>
          <w:szCs w:val="22"/>
          <w:color w:val="auto"/>
        </w:rPr>
        <w:t>Senior Vice President and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713-510-2400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Marc Cunningham</w:t>
      </w:r>
    </w:p>
    <w:p>
      <w:pPr>
        <w:spacing w:after="0" w:line="238" w:lineRule="auto"/>
        <w:rPr>
          <w:sz w:val="20"/>
          <w:szCs w:val="20"/>
          <w:color w:val="auto"/>
        </w:rPr>
      </w:pPr>
      <w:r>
        <w:rPr>
          <w:rFonts w:ascii="Arial" w:cs="Arial" w:eastAsia="Arial" w:hAnsi="Arial"/>
          <w:sz w:val="22"/>
          <w:szCs w:val="22"/>
          <w:color w:val="auto"/>
        </w:rPr>
        <w:t>Jeffrey Spittel</w:t>
      </w:r>
    </w:p>
    <w:p>
      <w:pPr>
        <w:spacing w:after="0" w:line="230" w:lineRule="auto"/>
        <w:rPr>
          <w:sz w:val="20"/>
          <w:szCs w:val="20"/>
          <w:color w:val="auto"/>
        </w:rPr>
      </w:pPr>
      <w:r>
        <w:rPr>
          <w:rFonts w:ascii="Arial" w:cs="Arial" w:eastAsia="Arial" w:hAnsi="Arial"/>
          <w:sz w:val="22"/>
          <w:szCs w:val="22"/>
          <w:color w:val="auto"/>
        </w:rPr>
        <w:t>FTI Consulting</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713-353-5407</w:t>
      </w:r>
    </w:p>
    <w:sectPr>
      <w:pgSz w:w="11900" w:h="16838" w:orient="portrait"/>
      <w:cols w:equalWidth="0" w:num="1">
        <w:col w:w="11120"/>
      </w:cols>
      <w:pgMar w:left="240" w:top="11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2019-12-29T01:08:38Z</dcterms:created>
  <dcterms:modified xsi:type="dcterms:W3CDTF">2019-12-29T01:08:38Z</dcterms:modified>
</cp:coreProperties>
</file>