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28, 2018</w:t>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CIVEO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5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British Columbia, Canada</w:t>
            </w:r>
          </w:p>
        </w:tc>
        <w:tc>
          <w:tcPr>
            <w:tcW w:w="4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1-36246</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560" w:type="dxa"/>
            <w:vAlign w:val="bottom"/>
          </w:tcPr>
          <w:p>
            <w:pPr>
              <w:jc w:val="center"/>
              <w:ind w:right="330"/>
              <w:spacing w:after="0"/>
              <w:rPr>
                <w:sz w:val="20"/>
                <w:szCs w:val="20"/>
                <w:color w:val="auto"/>
              </w:rPr>
            </w:pPr>
            <w:r>
              <w:rPr>
                <w:rFonts w:ascii="Arial" w:cs="Arial" w:eastAsia="Arial" w:hAnsi="Arial"/>
                <w:sz w:val="18"/>
                <w:szCs w:val="18"/>
                <w:color w:val="auto"/>
                <w:w w:val="91"/>
              </w:rPr>
              <w:t>(State or Other Jurisdiction of</w:t>
            </w:r>
          </w:p>
        </w:tc>
        <w:tc>
          <w:tcPr>
            <w:tcW w:w="4860" w:type="dxa"/>
            <w:vAlign w:val="bottom"/>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310"/>
              <w:spacing w:after="0"/>
              <w:rPr>
                <w:sz w:val="20"/>
                <w:szCs w:val="20"/>
                <w:color w:val="auto"/>
              </w:rPr>
            </w:pPr>
            <w:r>
              <w:rPr>
                <w:rFonts w:ascii="Arial" w:cs="Arial" w:eastAsia="Arial" w:hAnsi="Arial"/>
                <w:sz w:val="18"/>
                <w:szCs w:val="18"/>
                <w:color w:val="auto"/>
                <w:w w:val="93"/>
              </w:rPr>
              <w:t>Incorporation)</w:t>
            </w:r>
          </w:p>
        </w:tc>
        <w:tc>
          <w:tcPr>
            <w:tcW w:w="486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560" w:type="dxa"/>
            <w:vAlign w:val="bottom"/>
          </w:tcPr>
          <w:p>
            <w:pPr>
              <w:spacing w:after="0"/>
              <w:rPr>
                <w:sz w:val="24"/>
                <w:szCs w:val="24"/>
                <w:color w:val="auto"/>
              </w:rPr>
            </w:pPr>
          </w:p>
        </w:tc>
        <w:tc>
          <w:tcPr>
            <w:tcW w:w="48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Allen Center,</w:t>
            </w:r>
          </w:p>
        </w:tc>
        <w:tc>
          <w:tcPr>
            <w:tcW w:w="1940" w:type="dxa"/>
            <w:vAlign w:val="bottom"/>
          </w:tcPr>
          <w:p>
            <w:pPr>
              <w:spacing w:after="0"/>
              <w:rPr>
                <w:sz w:val="24"/>
                <w:szCs w:val="24"/>
                <w:color w:val="auto"/>
              </w:rPr>
            </w:pPr>
          </w:p>
        </w:tc>
      </w:tr>
      <w:tr>
        <w:trPr>
          <w:trHeight w:val="220"/>
        </w:trPr>
        <w:tc>
          <w:tcPr>
            <w:tcW w:w="2560" w:type="dxa"/>
            <w:vAlign w:val="bottom"/>
          </w:tcPr>
          <w:p>
            <w:pPr>
              <w:spacing w:after="0"/>
              <w:rPr>
                <w:sz w:val="19"/>
                <w:szCs w:val="19"/>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333 Clay Street, Suite 4980, Houston, Texas 77002</w:t>
            </w:r>
          </w:p>
        </w:tc>
        <w:tc>
          <w:tcPr>
            <w:tcW w:w="1940" w:type="dxa"/>
            <w:vAlign w:val="bottom"/>
          </w:tcPr>
          <w:p>
            <w:pPr>
              <w:spacing w:after="0"/>
              <w:rPr>
                <w:sz w:val="19"/>
                <w:szCs w:val="19"/>
                <w:color w:val="auto"/>
              </w:rPr>
            </w:pPr>
          </w:p>
        </w:tc>
      </w:tr>
      <w:tr>
        <w:trPr>
          <w:trHeight w:val="230"/>
        </w:trPr>
        <w:tc>
          <w:tcPr>
            <w:tcW w:w="2560" w:type="dxa"/>
            <w:vAlign w:val="bottom"/>
          </w:tcPr>
          <w:p>
            <w:pPr>
              <w:spacing w:after="0"/>
              <w:rPr>
                <w:sz w:val="20"/>
                <w:szCs w:val="20"/>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color w:val="auto"/>
                <w:w w:val="93"/>
              </w:rPr>
              <w:t>(Address of Principal Executive Offices) (Zip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left="240"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260"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April 2, 2018, Civeo Corporation (“Civeo”) filed with the Securities and Exchange Commission a Current Report on Form 8-K (the “Initial 8-K”) to disclose that it had completed its previously announced acquisition (the “Acquisition”) of Noralta Lodge Ltd. (“Noralta”).</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Form 8-K/A amends the Initial 8-K to provide financial statements and pro forma financial information for the Acquisition that are described in parts (a) and (b) of Item 9.01 below. Except as otherwise provided in this Form 8-K/A, the Initial 8-K remains unchanged.</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The audited consolidated financial statements of Noralta as of May 31, 2017 and 2016 and for each of the three years ended May 31, 2017 are incorporated herein by reference as Exhibit 99.1 to this Form 8-K/A.</w:t>
      </w:r>
    </w:p>
    <w:p>
      <w:pPr>
        <w:spacing w:after="0" w:line="17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unaudited consolidated financial statements of Noralta as of November 30, 2017 and for the six months ended November 30, 2017 and 2016 are attached as Exhibit 99.2 to this Form 8-K/A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unaudited pro forma financial information required by Item 9.01(b) of Form 8-K relating to the completion of the Acquisition is attached as Exhibit 99.3 to this Form 8-K/A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Civeo is filing the following exhibits as a part of this Form 8-K/A:</w:t>
      </w:r>
    </w:p>
    <w:p>
      <w:pPr>
        <w:spacing w:after="0" w:line="225" w:lineRule="exact"/>
        <w:rPr>
          <w:sz w:val="20"/>
          <w:szCs w:val="20"/>
          <w:color w:val="auto"/>
        </w:rPr>
      </w:pPr>
    </w:p>
    <w:p>
      <w:pPr>
        <w:ind w:left="980"/>
        <w:spacing w:after="0"/>
        <w:tabs>
          <w:tab w:leader="none" w:pos="1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
        <w:r>
          <w:rPr>
            <w:rFonts w:ascii="Arial" w:cs="Arial" w:eastAsia="Arial" w:hAnsi="Arial"/>
            <w:sz w:val="16"/>
            <w:szCs w:val="16"/>
            <w:u w:val="single" w:color="auto"/>
            <w:color w:val="0000EE"/>
          </w:rPr>
          <w:t>Consent of PricewaterhouseCoopers LLP.</w:t>
        </w:r>
      </w:hyperlink>
    </w:p>
    <w:p>
      <w:pPr>
        <w:spacing w:after="0" w:line="225" w:lineRule="exact"/>
        <w:rPr>
          <w:sz w:val="20"/>
          <w:szCs w:val="20"/>
          <w:color w:val="auto"/>
        </w:rPr>
      </w:pPr>
    </w:p>
    <w:p>
      <w:pPr>
        <w:ind w:left="1660" w:right="1480" w:hanging="688"/>
        <w:spacing w:after="0" w:line="264" w:lineRule="auto"/>
        <w:tabs>
          <w:tab w:leader="none" w:pos="1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13">
        <w:r>
          <w:rPr>
            <w:rFonts w:ascii="Arial" w:cs="Arial" w:eastAsia="Arial" w:hAnsi="Arial"/>
            <w:sz w:val="18"/>
            <w:szCs w:val="18"/>
            <w:u w:val="single" w:color="auto"/>
            <w:color w:val="0000EE"/>
          </w:rPr>
          <w:t>Audited Consolidated Financial Statements of Noralta as of May 31, 2017 and 2016 and for each of the three years</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ended May 31, 2017 (incorporated by reference from Annex F of the Proxy Statement on Schedule 14A of Civeo</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(File No. 001-36246), filed on February 2, 2018).</w:t>
        </w:r>
      </w:hyperlink>
    </w:p>
    <w:p>
      <w:pPr>
        <w:spacing w:after="0" w:line="181" w:lineRule="exact"/>
        <w:rPr>
          <w:rFonts w:ascii="Arial" w:cs="Arial" w:eastAsia="Arial" w:hAnsi="Arial"/>
          <w:sz w:val="18"/>
          <w:szCs w:val="18"/>
          <w:u w:val="single" w:color="auto"/>
          <w:color w:val="0000EE"/>
        </w:rPr>
      </w:pPr>
    </w:p>
    <w:p>
      <w:pPr>
        <w:ind w:left="1660" w:right="1600" w:hanging="688"/>
        <w:spacing w:after="0" w:line="277" w:lineRule="auto"/>
        <w:tabs>
          <w:tab w:leader="none" w:pos="164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w:anchor="page5">
        <w:r>
          <w:rPr>
            <w:rFonts w:ascii="Arial" w:cs="Arial" w:eastAsia="Arial" w:hAnsi="Arial"/>
            <w:sz w:val="18"/>
            <w:szCs w:val="18"/>
            <w:u w:val="single" w:color="auto"/>
            <w:color w:val="0000EE"/>
          </w:rPr>
          <w:t>Unaudited Consolidated Financial Statements of Noralta as of November 30, 2017 and for the Six Months Ended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November 30, 2017 and 2016.</w:t>
        </w:r>
      </w:hyperlink>
    </w:p>
    <w:p>
      <w:pPr>
        <w:spacing w:after="0" w:line="170" w:lineRule="exact"/>
        <w:rPr>
          <w:sz w:val="20"/>
          <w:szCs w:val="20"/>
          <w:color w:val="auto"/>
        </w:rPr>
      </w:pPr>
    </w:p>
    <w:p>
      <w:pPr>
        <w:ind w:left="980"/>
        <w:spacing w:after="0"/>
        <w:tabs>
          <w:tab w:leader="none" w:pos="164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25">
        <w:r>
          <w:rPr>
            <w:rFonts w:ascii="Arial" w:cs="Arial" w:eastAsia="Arial" w:hAnsi="Arial"/>
            <w:sz w:val="16"/>
            <w:szCs w:val="16"/>
            <w:u w:val="single" w:color="auto"/>
            <w:color w:val="0000EE"/>
          </w:rPr>
          <w:t>Unaudited Pro Forma Financial Information.</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Name:Frank C. Steininger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Title: Executive Vice President, Chief Financial Officer and Treasurer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April 11, 2018</w:t>
      </w:r>
    </w:p>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ACCOUNTANTS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incorporation by reference in the following Registration Statements of Civeo Corporation:</w:t>
      </w:r>
    </w:p>
    <w:p>
      <w:pPr>
        <w:spacing w:after="0" w:line="225"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Registration Statement (Form S-8 No. 333-196292, as amended) pertaining to the 2014 Equity Participation Plan of Civeo Corporation,</w:t>
      </w:r>
    </w:p>
    <w:p>
      <w:pPr>
        <w:spacing w:after="0" w:line="248" w:lineRule="exact"/>
        <w:rPr>
          <w:rFonts w:ascii="Arial" w:cs="Arial" w:eastAsia="Arial" w:hAnsi="Arial"/>
          <w:sz w:val="16"/>
          <w:szCs w:val="16"/>
          <w:color w:val="auto"/>
        </w:rPr>
      </w:pPr>
    </w:p>
    <w:p>
      <w:pPr>
        <w:ind w:left="1300" w:right="26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(Form S-8 No. 333-211393) pertaining to the Amended and Restated 2014 Equity Participation Plan of Civeo Corporation and</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(Form S-3 No. 333-212754, as amended) pertaining to the registration of common shares, preferred shares, debt securities and warrants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our report dated December 11, 2017 relating to the consolidated financial statements of Noralta Lodge Ltd., which is included in this Current Report on Form 8-K/A of Civeo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Edmonton, Alberta,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11, 2018</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Financial Statements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balance sheets as at November 30, 2017 and May 31, 2017 and consolidated statements of retained earnings, operations and cash flows for the six-month periods ended November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1712595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780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color w:val="auto"/>
              </w:rPr>
              <w:t>Canadian $ as at</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November 30, 2017</w:t>
            </w:r>
          </w:p>
        </w:tc>
        <w:tc>
          <w:tcPr>
            <w:tcW w:w="3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16,940,767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and other receivables (Note 11)</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31,541,108</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Inventory (Note 3)</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2,309,506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deposits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1,018,453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Advances to shareholder (Note 11)</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6,017,319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Assets held for sale (Note 6)</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247,454</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1,726,985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41,133,840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54,597,933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and equipment (Note 4)</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158,491,176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159,279,490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 (Note 5)</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160,850</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199,785,866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214,047,774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Bank indebtedness (Note 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9,912,842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 (Note 7)</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17,090,848</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1,822,439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7,440,837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under capital lease (Note 9)</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34,106</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Long-term debt (Note 8)</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6,000,000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4,686,698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Asset retirement obligations (Note 13)</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1,254,000</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36,114,235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28,346,127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Unearned revenue</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4,840,614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 (Note 9)</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(Note 8)</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56,000,000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94,754,822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 (Note 10)</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1,346,414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Asset retirement obligations (Note 13)</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7,812,329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Future income taxes (Note 15)</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23,946,700</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24,310,700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130,061,347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156,505,334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guarantees (Note 12)</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capital (Note 14)</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 redeemable at $478,526,771 (May 31, 2017 - $479,246,126)</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9,591,653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Contributed surplus (Note 14)</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7,924,214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52,208,552</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47,935,441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4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69,724,519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57,542,440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199,785,866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214,047,774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Statements of Retained Earnings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780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Canadian $ as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May 31, 2016</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earnings for the six-month period ended</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Premium on redemption of shares (Note 14)</w:t>
            </w:r>
          </w:p>
        </w:tc>
        <w:tc>
          <w:tcPr>
            <w:tcW w:w="5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(617,224)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 November 30, 2016</w:t>
            </w:r>
          </w:p>
        </w:tc>
        <w:tc>
          <w:tcPr>
            <w:tcW w:w="5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34,384,795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May 31, 2017</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47,935,441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earnings for the six-month period ended</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Premium on redemption of shares (Note 14)</w:t>
            </w:r>
          </w:p>
        </w:tc>
        <w:tc>
          <w:tcPr>
            <w:tcW w:w="5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(704,042)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 November 30, 2017</w:t>
            </w:r>
          </w:p>
        </w:tc>
        <w:tc>
          <w:tcPr>
            <w:tcW w:w="5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52,208,552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November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color w:val="auto"/>
              </w:rPr>
              <w:t>Canadian $ for the six-month period ended</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(Note 19)</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90,348,396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89,633,958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Wages and benefits</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17,940,304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Groceries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15,363,272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Telephone and utilities</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6,758,822</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4,238,098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 (Note 19)</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3,736,420</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Contracted services</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2,714,800</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taxes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1,408,530</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Repairs and maintenance</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1,024,806</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Aircraft and travel</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886,171</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651,759</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Lodge supplies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581,046</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Professional fees</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108,938</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51,174,868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37,946,699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39,173,528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 (Note 16)</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12,565,527</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8,804,265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10,251,924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Reorganization cost</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2,180,592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6,741,300</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7,236,895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Mobilization costs</w:t>
            </w: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17,726,157</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19,317,366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Earnings from operations</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8,881,844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27,230,916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Wildfire costs (Note 17)</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Insurance proceeds (Note 18)</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388,371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(Loss) gain on repayment of long-term debt</w:t>
            </w: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(93,075)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5,429,602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672,123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Loss on foreign exchange</w:t>
            </w: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894,424</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9,776,268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(Note 15)</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5,163,115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4,174,832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Future</w:t>
            </w: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(364,000)</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4,601,201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4,799,115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8,776,033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earnings for the period</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4,977,153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23,669,863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Statements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November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color w:val="auto"/>
              </w:rPr>
              <w:t>Canadian $ for the six-month period ended</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earnings for the period</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4,977,153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23,669,863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Items not affecting cash</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7,924,214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8,804,265</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Accretion</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72,369</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and equipment</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(672,123)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Amortization of finance fees</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3,063,792</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repayment of long-term debt</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93,075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Future income tax (recovery) expense</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(364,000)</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23,898,745</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non-cash working capital items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and other receivables</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(4,660,757)</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(6,289,554)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(255,466)</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Prepaid expenses and deposits</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211,732</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2,316,103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taxes recoverable/payable</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(5,618,398)</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Unearned revenue</w:t>
            </w: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(236,939)</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15,655,020</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29,969,176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and intangible assets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(3,042,070)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2,264,827</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Advances to shareholder</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(251,714)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(1,028,957)</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(495,164)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Proceeds on long-term debt</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54,563,613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(95,162,000)</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(58,200,000)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Finance fees paid</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Repayment of obligations under capital lease</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(161,997)</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redemption of shares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(719,288)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(617,720)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used in financing activities</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(41,479,672)</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(20,068,887)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(Decrease) increase in cash</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(26,853,609)</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9,405,125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 beginning of period</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16,940,767</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(Bank indebtedness) cash - end of period</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(9,912,842)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Noralta Lodge Ltd. and its wholly owned subsidiaries (together the “Company” or “Noralta”) supply and operate industrial lodging in Northern Alberta.</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majority of the Company’s customers operate in the oil and gas industry.</w:t>
      </w:r>
    </w:p>
    <w:p>
      <w:pPr>
        <w:spacing w:after="0" w:line="207"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jc w:val="both"/>
        <w:ind w:left="4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These interim consolidated financial statements have been prepared in accordance with Canadian Accounting Standards for Private Enterprises (“ASPE”) except that they do not include all disclosures required for annual financial statements and should be read in conjunction with the audited annual consolidated financial statements as at May 31, 2017 and May 31, 2016 and the consolidated statements of retained earnings, operations and cash flows for each of the years ended May 31, 2017, May 31, 2016 and May 31, 2015. The accounting policies used in the preparation of these interim consolidated financial statements are consistent with those followed in the preparation of the Noralta Lodge Ltd. annual financial statements for May 31, 2017 and May 31, 2016 and the consolidated statements of retained earnings, operations and cash flows for each of the years ended May 31, 2017, May 31, 2016 and May 31, 2015.</w:t>
      </w:r>
    </w:p>
    <w:p>
      <w:pPr>
        <w:spacing w:after="0" w:line="18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All figures in these interim consolidated financial statements are in Canadian dollars unless otherwise noted.</w:t>
      </w:r>
    </w:p>
    <w:p>
      <w:pPr>
        <w:spacing w:after="0" w:line="221"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Canadian $ as at</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November 30, 2017</w:t>
            </w:r>
          </w:p>
        </w:tc>
        <w:tc>
          <w:tcPr>
            <w:tcW w:w="44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May 31, 2017</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Groceries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387,628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291,578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Camp supplies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1,921,878</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1,762,462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2,309,506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2,054,040</w:t>
            </w:r>
          </w:p>
        </w:tc>
        <w:tc>
          <w:tcPr>
            <w:tcW w:w="0" w:type="dxa"/>
            <w:vAlign w:val="bottom"/>
          </w:tcPr>
          <w:p>
            <w:pPr>
              <w:spacing w:after="0"/>
              <w:rPr>
                <w:sz w:val="1"/>
                <w:szCs w:val="1"/>
                <w:color w:val="auto"/>
              </w:rPr>
            </w:pPr>
          </w:p>
        </w:tc>
      </w:tr>
      <w:tr>
        <w:trPr>
          <w:trHeight w:val="675"/>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4</w:t>
            </w: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Accumulated</w:t>
            </w:r>
          </w:p>
        </w:tc>
        <w:tc>
          <w:tcPr>
            <w:tcW w:w="16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1"/>
              </w:rPr>
              <w:t>November 30, 2017</w:t>
            </w:r>
          </w:p>
        </w:tc>
        <w:tc>
          <w:tcPr>
            <w:tcW w:w="1000" w:type="dxa"/>
            <w:vAlign w:val="bottom"/>
          </w:tcPr>
          <w:p>
            <w:pPr>
              <w:spacing w:after="0"/>
              <w:rPr>
                <w:sz w:val="24"/>
                <w:szCs w:val="24"/>
                <w:color w:val="auto"/>
              </w:rPr>
            </w:pP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Accumulated</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May 31, 2017</w:t>
            </w: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Canadian $ as at</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9"/>
              </w:rPr>
              <w:t>amortization</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2,927,920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2,927,920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2,927,920</w:t>
            </w:r>
          </w:p>
        </w:tc>
        <w:tc>
          <w:tcPr>
            <w:tcW w:w="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2,927,920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Buildings and bunkhouses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1"/>
              </w:rPr>
              <w:t>249,044,877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116,990,339</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w w:val="91"/>
              </w:rPr>
              <w:t>132,054,538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244,423,339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110,165,263</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134,258,076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6,703,798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5,463,010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1,240,788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6,413,975</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5,309,349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1,104,626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Road, paving and fences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7,631,804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2,404,863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5,226,941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7,631,804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2,058,937</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5,572,867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21,156,436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13,410,742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7,745,694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20,092,440</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12,658,260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7,434,180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3,954,703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3,102,087</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852,616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3,837,296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3,070,223</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767,073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1,946,491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1,946,491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376,656</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376,656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8,851,880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2,355,692</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6,496,188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8,851,880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2,013,788</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6,838,092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302,217,909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143,726,733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158,491,176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$ 294,555,310</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$ 135,275,820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159,279,490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spacing w:after="0" w:line="312" w:lineRule="auto"/>
        <w:rPr>
          <w:sz w:val="20"/>
          <w:szCs w:val="20"/>
          <w:color w:val="auto"/>
        </w:rPr>
      </w:pPr>
      <w:r>
        <w:rPr>
          <w:rFonts w:ascii="Arial" w:cs="Arial" w:eastAsia="Arial" w:hAnsi="Arial"/>
          <w:sz w:val="16"/>
          <w:szCs w:val="16"/>
          <w:color w:val="auto"/>
        </w:rPr>
        <w:t>Amortization relating to property and equipment charged to current operations during the six-month period ended November 30, 2017 was $8,733,752 (November 30, 2016 - $10,127,496). During the period, management entered into an arrangement for the transfer of certain assets in exchange for accommodation services. Management estimated the value of these assets to be $4,400,000 which is recorded in buildings and bunkhouses.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Accumulated</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May 31, 2017</w:t>
            </w: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Arial" w:cs="Arial" w:eastAsia="Arial" w:hAnsi="Arial"/>
                <w:sz w:val="18"/>
                <w:szCs w:val="18"/>
                <w:color w:val="auto"/>
              </w:rPr>
              <w:t>Canadian $ as at</w:t>
            </w:r>
          </w:p>
        </w:tc>
        <w:tc>
          <w:tcPr>
            <w:tcW w:w="4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7"/>
              </w:rPr>
              <w:t>amortization</w:t>
            </w: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amortization</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2,564,711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2,403,861</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160,850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2,510,261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2,339,910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170,351</w:t>
            </w:r>
          </w:p>
        </w:tc>
        <w:tc>
          <w:tcPr>
            <w:tcW w:w="0" w:type="dxa"/>
            <w:vAlign w:val="bottom"/>
          </w:tcPr>
          <w:p>
            <w:pPr>
              <w:spacing w:after="0"/>
              <w:rPr>
                <w:sz w:val="1"/>
                <w:szCs w:val="1"/>
                <w:color w:val="auto"/>
              </w:rPr>
            </w:pPr>
          </w:p>
        </w:tc>
      </w:tr>
      <w:tr>
        <w:trPr>
          <w:trHeight w:val="27"/>
        </w:trPr>
        <w:tc>
          <w:tcPr>
            <w:tcW w:w="2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Amortization relating to intangible assets charged to current operations during the six-month period ended November 30, 2017 was $70,513 (November 30, 2016 - $124,428).</w:t>
      </w:r>
    </w:p>
    <w:p>
      <w:pPr>
        <w:spacing w:after="0" w:line="166"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Accumulated</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1"/>
              </w:rPr>
              <w:t>Accumulated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May 31, 2017</w:t>
            </w: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Arial" w:cs="Arial" w:eastAsia="Arial" w:hAnsi="Arial"/>
                <w:sz w:val="18"/>
                <w:szCs w:val="18"/>
                <w:color w:val="auto"/>
              </w:rPr>
              <w:t>Canadian $ as at</w:t>
            </w:r>
          </w:p>
        </w:tc>
        <w:tc>
          <w:tcPr>
            <w:tcW w:w="4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7"/>
              </w:rPr>
              <w:t>amortization</w:t>
            </w: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amortization</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247,454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247,454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1,726,985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1,726,985</w:t>
            </w:r>
          </w:p>
        </w:tc>
        <w:tc>
          <w:tcPr>
            <w:tcW w:w="0" w:type="dxa"/>
            <w:vAlign w:val="bottom"/>
          </w:tcPr>
          <w:p>
            <w:pPr>
              <w:spacing w:after="0"/>
              <w:rPr>
                <w:sz w:val="1"/>
                <w:szCs w:val="1"/>
                <w:color w:val="auto"/>
              </w:rPr>
            </w:pPr>
          </w:p>
        </w:tc>
      </w:tr>
      <w:tr>
        <w:trPr>
          <w:trHeight w:val="27"/>
        </w:trPr>
        <w:tc>
          <w:tcPr>
            <w:tcW w:w="24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Assets held for sale relates to an aircraft and related engine owned by the Company. The aircraft’s engine was sold subsequent to November 30, 2017.</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depreciation was recorded as the asset was held for sale. Refer to note 22.</w:t>
      </w:r>
    </w:p>
    <w:p>
      <w:pPr>
        <w:spacing w:after="0" w:line="20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remittances</w:t>
      </w:r>
    </w:p>
    <w:p>
      <w:pPr>
        <w:spacing w:after="0" w:line="229"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Government remittances consist of amounts such as sales taxes and payroll withholding taxes required to be paid to the government and are recognized when they become due. At November 30, 2017 $1,152,212 (May 31, 2017 - $985,245) was included in accounts payable and accrued liabilities related to such government remittances.</w:t>
      </w:r>
    </w:p>
    <w:p>
      <w:pPr>
        <w:spacing w:after="0" w:line="177"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bank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color w:val="auto"/>
              </w:rPr>
              <w:t>Canadian $ as at</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3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 2017</w:t>
            </w:r>
          </w:p>
        </w:tc>
      </w:tr>
      <w:tr>
        <w:trPr>
          <w:trHeight w:val="210"/>
        </w:trPr>
        <w:tc>
          <w:tcPr>
            <w:tcW w:w="7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5"/>
              </w:rPr>
              <w:t>Senior secured notes due September 24, 2019, bearing interest at 7.50% payable semi-annually</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82,162,000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Term loan facility, maturing July 13, 2020</w:t>
            </w:r>
          </w:p>
        </w:tc>
        <w:tc>
          <w:tcPr>
            <w:tcW w:w="5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62,000,000</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20,343,312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finance fees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(3,063,792)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(6,000,000)</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(4,686,698)</w:t>
            </w:r>
          </w:p>
        </w:tc>
      </w:tr>
      <w:tr>
        <w:trPr>
          <w:trHeight w:val="20"/>
        </w:trPr>
        <w:tc>
          <w:tcPr>
            <w:tcW w:w="7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56,000,000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94,754,822</w:t>
            </w:r>
          </w:p>
        </w:tc>
      </w:tr>
      <w:tr>
        <w:trPr>
          <w:trHeight w:val="27"/>
        </w:trPr>
        <w:tc>
          <w:tcPr>
            <w:tcW w:w="7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Senior Secured Notes</w:t>
      </w:r>
    </w:p>
    <w:p>
      <w:pPr>
        <w:spacing w:after="0" w:line="229" w:lineRule="exact"/>
        <w:rPr>
          <w:sz w:val="20"/>
          <w:szCs w:val="20"/>
          <w:color w:val="auto"/>
        </w:rPr>
      </w:pPr>
    </w:p>
    <w:p>
      <w:pPr>
        <w:jc w:val="both"/>
        <w:ind w:left="400"/>
        <w:spacing w:after="0" w:line="272" w:lineRule="auto"/>
        <w:rPr>
          <w:sz w:val="20"/>
          <w:szCs w:val="20"/>
          <w:color w:val="auto"/>
        </w:rPr>
      </w:pPr>
      <w:r>
        <w:rPr>
          <w:rFonts w:ascii="Arial" w:cs="Arial" w:eastAsia="Arial" w:hAnsi="Arial"/>
          <w:sz w:val="17"/>
          <w:szCs w:val="17"/>
          <w:color w:val="auto"/>
        </w:rPr>
        <w:t>On September 24, 2014, the Company issued $150,000,000 of 7.50% senior secured notes due September 24, 2019. These notes were secured equally and rateably by second priority liens, subject to certain permitted liens, in substantially all of the present and future undertakings, property and assets of the Company and guarantors, subject to certain limited exceptions set out in the applicable security documents contained in the debenture. These notes pay interest semi-annually and were redeemable at the Company’s option in whole or in part, commencing on September 24, 2016 at the following redemption prices (expressed as a percentage of the principal amount of the notes): 2016 at 105.625%, 2017 at 103.750%, 2018 and thereafter at 100.000%. The outstanding notes were redeemable in accordance with the redemption provisions contained in the indenture governing such notes and were redeemable if the Company was not in compliance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5"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On November 1, 2016 the Company negotiated a repayment of $56,500,000 of its senior secured notes for $50,000,000 resulting in a $5,429,602 gain. The repayment was funded with $10,000,000 in cash on hand and a $40,000,000 bank term loan issued under the amended and restated Credit Agreement dated October 31, 2016. The gain, net of fees, was recorded in the interim consolidated statements of operations.</w:t>
      </w:r>
    </w:p>
    <w:p>
      <w:pPr>
        <w:spacing w:after="0" w:line="166"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On August 2, 2017 the Company negotiated a repayment of $79,680,000 of its senior secured notes plus $2,161,184 in accrued interest. No gain or loss was recorded because the bonds were repaid at par. The repayment was funded with $27,246,804 in cash on hand, a $30,000,000 draw on the bank term loan, and a $25,000,000 draw on the revolving credit facility portion of the July 13, 2017 Amended Credit Agreement.</w:t>
      </w:r>
    </w:p>
    <w:p>
      <w:pPr>
        <w:spacing w:after="0" w:line="166"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On September 29, 2017 the Company repaid all of its remaining senior notes. The notes were redeemed for cash at a redemption price of 103.75% of the outstanding principal amount of the redeemed notes plus accrued interest. Following completion of the redemption, the indenture was terminated effective September 29, 2017.</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jc w:val="both"/>
        <w:ind w:left="400" w:right="20"/>
        <w:spacing w:after="0" w:line="264" w:lineRule="auto"/>
        <w:rPr>
          <w:sz w:val="20"/>
          <w:szCs w:val="20"/>
          <w:color w:val="auto"/>
        </w:rPr>
      </w:pPr>
      <w:r>
        <w:rPr>
          <w:rFonts w:ascii="Arial" w:cs="Arial" w:eastAsia="Arial" w:hAnsi="Arial"/>
          <w:sz w:val="18"/>
          <w:szCs w:val="18"/>
          <w:color w:val="auto"/>
        </w:rPr>
        <w:t>On September 24, 2014, the Company entered into a credit agreement (the “Credit Agreement”) which was subsequently amended on July 28, 2015, April 1, 2016, January 9, 2017 and July 13, 2017 (the “Amended Credit Agreement”). The following has been pledged as security for The Amended Credit Agreement:</w:t>
      </w:r>
    </w:p>
    <w:p>
      <w:pPr>
        <w:spacing w:after="0" w:line="181" w:lineRule="exact"/>
        <w:rPr>
          <w:sz w:val="20"/>
          <w:szCs w:val="20"/>
          <w:color w:val="auto"/>
        </w:rPr>
      </w:pPr>
    </w:p>
    <w:p>
      <w:pPr>
        <w:ind w:left="720" w:hanging="320"/>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debenture or general security agreement containing a first priority security interest in all present and after-acquired personal property and a first priority floating charge on present and after-acquired real property;</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mortgage or debenture containing a first priority mortgage and charge over the specified lands;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general assignment of rents and leases over the specified lands;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securities pledge agreement or charge over shares (or other equivalent security applicable in the relevant jurisdiction);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supplemental security agreements if requested by the majority lenders;</w:t>
      </w:r>
    </w:p>
    <w:p>
      <w:pPr>
        <w:spacing w:after="0" w:line="225"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guarantees and all such other mortgages, debentures, assignments and other security agreements as are provided to the second lien secured parties from time to time; and</w:t>
      </w:r>
    </w:p>
    <w:p>
      <w:pPr>
        <w:spacing w:after="0" w:line="170" w:lineRule="exact"/>
        <w:rPr>
          <w:rFonts w:ascii="Arial" w:cs="Arial" w:eastAsia="Arial" w:hAnsi="Arial"/>
          <w:sz w:val="18"/>
          <w:szCs w:val="18"/>
          <w:color w:val="auto"/>
        </w:rPr>
      </w:pPr>
    </w:p>
    <w:p>
      <w:pPr>
        <w:jc w:val="both"/>
        <w:ind w:left="720" w:hanging="320"/>
        <w:spacing w:after="0" w:line="30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thereafter all such other guarantees and all such other mortgages, debentures, assignments and other security agreements as may be required by the majority lenders, acting reasonably (each in form and substance satisfactory to the majority lenders, acting reasonably) in order to, or to more effectively, charge in favour of the collateral agent on behalf of itself, the administrative agent, lenders, the cash manager and swap lenders on and against all of the undertaking assets and property (real or personal, tangible or intangible, present or future and of whatsoever nature and kind).</w:t>
      </w:r>
    </w:p>
    <w:p>
      <w:pPr>
        <w:spacing w:after="0" w:line="154" w:lineRule="exact"/>
        <w:rPr>
          <w:sz w:val="20"/>
          <w:szCs w:val="20"/>
          <w:color w:val="auto"/>
        </w:rPr>
      </w:pPr>
    </w:p>
    <w:p>
      <w:pPr>
        <w:jc w:val="both"/>
        <w:ind w:left="400"/>
        <w:spacing w:after="0" w:line="272" w:lineRule="auto"/>
        <w:rPr>
          <w:sz w:val="20"/>
          <w:szCs w:val="20"/>
          <w:color w:val="auto"/>
        </w:rPr>
      </w:pPr>
      <w:r>
        <w:rPr>
          <w:rFonts w:ascii="Arial" w:cs="Arial" w:eastAsia="Arial" w:hAnsi="Arial"/>
          <w:sz w:val="17"/>
          <w:szCs w:val="17"/>
          <w:color w:val="auto"/>
        </w:rPr>
        <w:t>The Amended Credit Agreement matures July 13, 2020. It provides a borrowing base determined by the value of receivables and equipment with Senior Adjusted Leverage Ratio and Fixed Charge Cover Ratio financial covenants. Under the terms of the Amended Credit Agreement the Senior Adjusted Leverage Ratio must not be more than 3.00:1.00 and the Fixed Charge Coverage Ratio must not be less than 1.50:1.00. The Amended Credit Agreement allows for borrowing up to $150,000,000 contingent on the value of the borrowing base defined above which includes letters of credit up to $30,000,000. The revolving facility can be drawn in both Canadian and US funds. It also contains a $50,000,000 non-revolving term loan facility. Proceeds from the term loan facility were only to be used to repurchase the senior secured notes. Reporting under the terms of the Amended Credit Agreement the Company is fully compliant with its 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5"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As at November 30, 2017, $15,000,000 (May 31, 2017 – $nil) was drawn against the revolving credit facility and there were $279,330 (May 31, 2017 – $279,330) of issued and undrawn letters of credit. As at November 30, 2017, $47,000,000 (May 31, 2017 - $20,343,312) was drawn against the term loan facility. As at November 30, 2017, the Company’s unused borrowing availability under the credit facility was $87,720,670 (May 31, 2017 – $79,377,358).</w:t>
      </w:r>
    </w:p>
    <w:p>
      <w:pPr>
        <w:spacing w:after="0" w:line="187"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Interest on the revolving facility is paid at variable rates based on the prime rate plus the applicable pricing margin (as defined in the July 13, 2017 Amended Credit Agreement). Stamping fees and interest related to the issuance of bankers’ acceptances are paid in advance on the issuance of such bankers’ acceptances. As at November 30, 2017, the prime rate was 3.20% (May 31, 2017 – 2.70%) and the stamping fee rate was 1.75% (May 31, 2017 – 1.75%).</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Expected long-term debt repayments for each of the 12 months ended November 30 over the next five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152400</wp:posOffset>
            </wp:positionV>
            <wp:extent cx="68091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Canadian $ for the periods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6809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3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9100" w:type="dxa"/>
            <w:vAlign w:val="bottom"/>
            <w:shd w:val="clear" w:color="auto" w:fill="CCEEFF"/>
          </w:tcPr>
          <w:p>
            <w:pPr>
              <w:jc w:val="right"/>
              <w:ind w:right="8650"/>
              <w:spacing w:after="0"/>
              <w:rPr>
                <w:sz w:val="20"/>
                <w:szCs w:val="20"/>
                <w:color w:val="auto"/>
              </w:rPr>
            </w:pPr>
            <w:r>
              <w:rPr>
                <w:rFonts w:ascii="Arial" w:cs="Arial" w:eastAsia="Arial" w:hAnsi="Arial"/>
                <w:sz w:val="18"/>
                <w:szCs w:val="18"/>
                <w:color w:val="auto"/>
                <w:w w:val="84"/>
              </w:rPr>
              <w:t>2018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jc w:val="right"/>
              <w:ind w:right="8650"/>
              <w:spacing w:after="0"/>
              <w:rPr>
                <w:sz w:val="20"/>
                <w:szCs w:val="20"/>
                <w:color w:val="auto"/>
              </w:rPr>
            </w:pPr>
            <w:r>
              <w:rPr>
                <w:rFonts w:ascii="Arial" w:cs="Arial" w:eastAsia="Arial" w:hAnsi="Arial"/>
                <w:sz w:val="18"/>
                <w:szCs w:val="18"/>
                <w:color w:val="auto"/>
                <w:w w:val="84"/>
              </w:rPr>
              <w:t>2019</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jc w:val="right"/>
              <w:ind w:right="8650"/>
              <w:spacing w:after="0"/>
              <w:rPr>
                <w:sz w:val="20"/>
                <w:szCs w:val="20"/>
                <w:color w:val="auto"/>
              </w:rPr>
            </w:pPr>
            <w:r>
              <w:rPr>
                <w:rFonts w:ascii="Arial" w:cs="Arial" w:eastAsia="Arial" w:hAnsi="Arial"/>
                <w:sz w:val="18"/>
                <w:szCs w:val="18"/>
                <w:color w:val="auto"/>
                <w:w w:val="84"/>
              </w:rPr>
              <w:t>2020</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jc w:val="right"/>
              <w:ind w:right="8650"/>
              <w:spacing w:after="0"/>
              <w:rPr>
                <w:sz w:val="20"/>
                <w:szCs w:val="20"/>
                <w:color w:val="auto"/>
              </w:rPr>
            </w:pPr>
            <w:r>
              <w:rPr>
                <w:rFonts w:ascii="Arial" w:cs="Arial" w:eastAsia="Arial" w:hAnsi="Arial"/>
                <w:sz w:val="18"/>
                <w:szCs w:val="18"/>
                <w:color w:val="auto"/>
                <w:w w:val="84"/>
              </w:rPr>
              <w:t>2021</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9100" w:type="dxa"/>
            <w:vAlign w:val="bottom"/>
            <w:tcBorders>
              <w:bottom w:val="single" w:sz="8" w:color="auto"/>
            </w:tcBorders>
            <w:shd w:val="clear" w:color="auto" w:fill="CCEEFF"/>
          </w:tcPr>
          <w:p>
            <w:pPr>
              <w:jc w:val="right"/>
              <w:ind w:right="8650"/>
              <w:spacing w:after="0"/>
              <w:rPr>
                <w:sz w:val="20"/>
                <w:szCs w:val="20"/>
                <w:color w:val="auto"/>
              </w:rPr>
            </w:pPr>
            <w:r>
              <w:rPr>
                <w:rFonts w:ascii="Arial" w:cs="Arial" w:eastAsia="Arial" w:hAnsi="Arial"/>
                <w:sz w:val="18"/>
                <w:szCs w:val="18"/>
                <w:color w:val="auto"/>
                <w:w w:val="84"/>
              </w:rPr>
              <w:t>2022</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7"/>
        </w:trPr>
        <w:tc>
          <w:tcPr>
            <w:tcW w:w="9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62,000,000</w:t>
            </w:r>
          </w:p>
        </w:tc>
        <w:tc>
          <w:tcPr>
            <w:tcW w:w="120" w:type="dxa"/>
            <w:vAlign w:val="bottom"/>
          </w:tcPr>
          <w:p>
            <w:pPr>
              <w:spacing w:after="0"/>
              <w:rPr>
                <w:sz w:val="18"/>
                <w:szCs w:val="18"/>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Bank indebtedness</w:t>
      </w:r>
    </w:p>
    <w:p>
      <w:pPr>
        <w:spacing w:after="0" w:line="229"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Bank indebtedness relates to amounts drawn against the swingline portion of the July 13, 2017 Amended Credit Agreement which provides for borrowing up to $15,000,000. Interest on the swingline is paid at variable rates based on the prime rate plus the applicable pricing margin (as defined in the July 13, 2017 Amended Credit Agreement). Collateral for bank indebtedness is as described above under Credit Facility.</w:t>
      </w:r>
    </w:p>
    <w:p>
      <w:pPr>
        <w:spacing w:after="0" w:line="162"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under capital lease</w:t>
      </w:r>
    </w:p>
    <w:p>
      <w:pPr>
        <w:spacing w:after="0" w:line="229"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Obligations under capital lease for equipment bear annual interest from 3% to 12% payable in monthly payments of principal and interest. Future minimum lease payments for the obligations under capital lease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117475</wp:posOffset>
            </wp:positionV>
            <wp:extent cx="68091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390"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color w:val="auto"/>
              </w:rPr>
              <w:t>Canadian $ as at</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3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 2017</w:t>
            </w:r>
          </w:p>
        </w:tc>
      </w:tr>
      <w:tr>
        <w:trPr>
          <w:trHeight w:val="210"/>
        </w:trPr>
        <w:tc>
          <w:tcPr>
            <w:tcW w:w="7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2018</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28,122</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193,040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7,402</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7,402</w:t>
            </w:r>
          </w:p>
        </w:tc>
      </w:tr>
      <w:tr>
        <w:trPr>
          <w:trHeight w:val="20"/>
        </w:trPr>
        <w:tc>
          <w:tcPr>
            <w:tcW w:w="7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35,524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200,442</w:t>
            </w:r>
          </w:p>
        </w:tc>
      </w:tr>
      <w:tr>
        <w:trPr>
          <w:trHeight w:val="216"/>
        </w:trPr>
        <w:tc>
          <w:tcPr>
            <w:tcW w:w="7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(3,284)</w:t>
            </w:r>
          </w:p>
        </w:tc>
      </w:tr>
      <w:tr>
        <w:trPr>
          <w:trHeight w:val="20"/>
        </w:trPr>
        <w:tc>
          <w:tcPr>
            <w:tcW w:w="7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35,161</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197,158</w:t>
            </w:r>
          </w:p>
        </w:tc>
      </w:tr>
      <w:tr>
        <w:trPr>
          <w:trHeight w:val="216"/>
        </w:trPr>
        <w:tc>
          <w:tcPr>
            <w:tcW w:w="7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(34,106)</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(189,847)</w:t>
            </w:r>
          </w:p>
        </w:tc>
      </w:tr>
      <w:tr>
        <w:trPr>
          <w:trHeight w:val="20"/>
        </w:trPr>
        <w:tc>
          <w:tcPr>
            <w:tcW w:w="7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7,311</w:t>
            </w:r>
          </w:p>
        </w:tc>
      </w:tr>
      <w:tr>
        <w:trPr>
          <w:trHeight w:val="27"/>
        </w:trPr>
        <w:tc>
          <w:tcPr>
            <w:tcW w:w="7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Obligations under capital lease are collateralized by equipment with a net book value of $38,266 as at November 30, 2017 (May 31, 2017 – $565,859). Assets under capital lease are recorded at a cost of $195,581 as at November 30, 2017 (May 31, 2017 – $1,974,051) and accumulated amortization of $157,315 (May 31, 2017 – $1,408,192). Amortization expense recorded on assets under capital lease was $6,753 for the six-months ended November 30, 2017 (2016 – $209,784).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Notes to the Interim Consolidated Financial Statements (Unaudited)</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Promissory note payable</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gridSpan w:val="2"/>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Canadian $ as at</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November 30, 2017</w:t>
            </w:r>
          </w:p>
        </w:tc>
        <w:tc>
          <w:tcPr>
            <w:tcW w:w="320" w:type="dxa"/>
            <w:vAlign w:val="bottom"/>
          </w:tcPr>
          <w:p>
            <w:pPr>
              <w:spacing w:after="0"/>
              <w:rPr>
                <w:sz w:val="24"/>
                <w:szCs w:val="2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May 31, 2017</w:t>
            </w:r>
          </w:p>
        </w:tc>
      </w:tr>
      <w:tr>
        <w:trPr>
          <w:trHeight w:val="210"/>
        </w:trPr>
        <w:tc>
          <w:tcPr>
            <w:tcW w:w="380" w:type="dxa"/>
            <w:vAlign w:val="bottom"/>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Promissory note payable to Balle Air Ltd., no interest, no terms for repayment</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1,346,414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w w:val="90"/>
              </w:rPr>
              <w:t>The promissory note payable is subordinated to the long-term debt described in Note 8 and therefore is presented as long-term.</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Related party transactions</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11040" w:type="dxa"/>
            <w:vAlign w:val="bottom"/>
            <w:gridSpan w:val="7"/>
          </w:tcPr>
          <w:p>
            <w:pPr>
              <w:ind w:left="20"/>
              <w:spacing w:after="0"/>
              <w:rPr>
                <w:sz w:val="20"/>
                <w:szCs w:val="20"/>
                <w:color w:val="auto"/>
              </w:rPr>
            </w:pPr>
            <w:r>
              <w:rPr>
                <w:rFonts w:ascii="Arial" w:cs="Arial" w:eastAsia="Arial" w:hAnsi="Arial"/>
                <w:sz w:val="18"/>
                <w:szCs w:val="18"/>
                <w:color w:val="auto"/>
                <w:w w:val="97"/>
              </w:rPr>
              <w:t>Related parties include the Company’s parent, Torgerson Family Trust, and companies controlled by a trustee of the parent, including Svenco</w:t>
            </w: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20"/>
              <w:spacing w:after="0"/>
              <w:rPr>
                <w:sz w:val="20"/>
                <w:szCs w:val="20"/>
                <w:color w:val="auto"/>
              </w:rPr>
            </w:pPr>
            <w:r>
              <w:rPr>
                <w:rFonts w:ascii="Arial" w:cs="Arial" w:eastAsia="Arial" w:hAnsi="Arial"/>
                <w:sz w:val="18"/>
                <w:szCs w:val="18"/>
                <w:color w:val="auto"/>
                <w:w w:val="98"/>
              </w:rPr>
              <w:t>Investments Ltd., 989677 Alberta Ltd., Balle Air Ltd. and Industrial Life Support Inc. Related parties also include a company controlled by an</w:t>
            </w: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20"/>
              <w:spacing w:after="0"/>
              <w:rPr>
                <w:sz w:val="20"/>
                <w:szCs w:val="20"/>
                <w:color w:val="auto"/>
              </w:rPr>
            </w:pPr>
            <w:r>
              <w:rPr>
                <w:rFonts w:ascii="Arial" w:cs="Arial" w:eastAsia="Arial" w:hAnsi="Arial"/>
                <w:sz w:val="18"/>
                <w:szCs w:val="18"/>
                <w:color w:val="auto"/>
                <w:w w:val="93"/>
              </w:rPr>
              <w:t>immediate family member of a trustee of the Company’s parent, Balle Capital Inc., as well as partnerships over which the Company has joint control,</w:t>
            </w: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20"/>
              <w:spacing w:after="0"/>
              <w:rPr>
                <w:sz w:val="20"/>
                <w:szCs w:val="20"/>
                <w:color w:val="auto"/>
              </w:rPr>
            </w:pPr>
            <w:r>
              <w:rPr>
                <w:rFonts w:ascii="Arial" w:cs="Arial" w:eastAsia="Arial" w:hAnsi="Arial"/>
                <w:sz w:val="18"/>
                <w:szCs w:val="18"/>
                <w:color w:val="auto"/>
                <w:w w:val="93"/>
              </w:rPr>
              <w:t>Dene Koe Workforce Lodging and Services Limited Partnership and Willow Lake Facilities Management Limited Partnership. 989677 Alberta Ltd. is</w:t>
            </w:r>
          </w:p>
        </w:tc>
      </w:tr>
      <w:tr>
        <w:trPr>
          <w:trHeight w:val="230"/>
        </w:trPr>
        <w:tc>
          <w:tcPr>
            <w:tcW w:w="38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also a preferred shareholder of the Company.</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11040" w:type="dxa"/>
            <w:vAlign w:val="bottom"/>
            <w:gridSpan w:val="7"/>
          </w:tcPr>
          <w:p>
            <w:pPr>
              <w:ind w:left="20"/>
              <w:spacing w:after="0"/>
              <w:rPr>
                <w:sz w:val="20"/>
                <w:szCs w:val="20"/>
                <w:color w:val="auto"/>
              </w:rPr>
            </w:pPr>
            <w:r>
              <w:rPr>
                <w:rFonts w:ascii="Arial" w:cs="Arial" w:eastAsia="Arial" w:hAnsi="Arial"/>
                <w:sz w:val="18"/>
                <w:szCs w:val="18"/>
                <w:color w:val="auto"/>
                <w:w w:val="93"/>
              </w:rPr>
              <w:t>Transactions with related parties in the normal course of operations have been recorded in these consolidated financial statements at the exchange</w:t>
            </w: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20"/>
              <w:spacing w:after="0"/>
              <w:rPr>
                <w:sz w:val="20"/>
                <w:szCs w:val="20"/>
                <w:color w:val="auto"/>
              </w:rPr>
            </w:pPr>
            <w:r>
              <w:rPr>
                <w:rFonts w:ascii="Arial" w:cs="Arial" w:eastAsia="Arial" w:hAnsi="Arial"/>
                <w:sz w:val="18"/>
                <w:szCs w:val="18"/>
                <w:color w:val="auto"/>
                <w:w w:val="90"/>
              </w:rPr>
              <w:t>amount, which is the amount of consideration established and agreed to by the related parties. Transactions with related parties not in the normal course</w:t>
            </w:r>
          </w:p>
        </w:tc>
      </w:tr>
      <w:tr>
        <w:trPr>
          <w:trHeight w:val="230"/>
        </w:trPr>
        <w:tc>
          <w:tcPr>
            <w:tcW w:w="38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w w:val="92"/>
              </w:rPr>
              <w:t>of operations have been recorded in these consolidated financial statements at the carrying amount.</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Transactions</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gridSpan w:val="2"/>
          </w:tcPr>
          <w:p>
            <w:pPr>
              <w:spacing w:after="0"/>
              <w:rPr>
                <w:sz w:val="19"/>
                <w:szCs w:val="19"/>
                <w:color w:val="auto"/>
              </w:rPr>
            </w:pPr>
          </w:p>
        </w:tc>
        <w:tc>
          <w:tcPr>
            <w:tcW w:w="320" w:type="dxa"/>
            <w:vAlign w:val="bottom"/>
            <w:gridSpan w:val="2"/>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Canadian $ for the six-month period ended</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November 30, 2017</w:t>
            </w:r>
          </w:p>
        </w:tc>
        <w:tc>
          <w:tcPr>
            <w:tcW w:w="18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November 30, 2016</w:t>
            </w:r>
          </w:p>
        </w:tc>
      </w:tr>
      <w:tr>
        <w:trPr>
          <w:trHeight w:val="210"/>
        </w:trPr>
        <w:tc>
          <w:tcPr>
            <w:tcW w:w="380" w:type="dxa"/>
            <w:vAlign w:val="bottom"/>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Willow Lake Facilities Management Limited Partnership</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Services</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Dene Koe Workforce Lodging and Services Limited Partnership</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Lodging Services</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68,940,849</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27,608,329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68,940,849</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27,617,523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Balle Air Ltd.</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Travel</w:t>
            </w:r>
          </w:p>
        </w:tc>
        <w:tc>
          <w:tcPr>
            <w:tcW w:w="5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48,195</w:t>
            </w: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48,195</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Key management personnel</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Share-based compensation</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7,924,214</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7,972,409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48,195</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Proceeds on sale of property and equipment to 989677 Alberta Ltd.</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21,779</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Purchases of property and equipment from 989677 Alberta Ltd.</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20,826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2"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There was no gain or loss on the sale or purchase of equipment with 989677 Alberta Ltd. Share-based compensation expense for key management personnel relates to executives who were awarded Class H shares in an equity participation plan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color w:val="auto"/>
              </w:rPr>
              <w:t>Canadian $ as at</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November 30, 2017</w:t>
            </w:r>
          </w:p>
        </w:tc>
        <w:tc>
          <w:tcPr>
            <w:tcW w:w="4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 2017</w:t>
            </w:r>
          </w:p>
        </w:tc>
      </w:tr>
      <w:tr>
        <w:trPr>
          <w:trHeight w:val="210"/>
        </w:trPr>
        <w:tc>
          <w:tcPr>
            <w:tcW w:w="7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and other receivables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Balle Air Ltd.</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2,029,690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1,822,669</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Dene Koe Workforce Lodging and Services Limited Partnership</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17,989,903</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10,704,702</w:t>
            </w:r>
          </w:p>
        </w:tc>
      </w:tr>
      <w:tr>
        <w:trPr>
          <w:trHeight w:val="20"/>
        </w:trPr>
        <w:tc>
          <w:tcPr>
            <w:tcW w:w="7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19,828,742</w:t>
            </w:r>
          </w:p>
        </w:tc>
        <w:tc>
          <w:tcPr>
            <w:tcW w:w="4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12,527,371</w:t>
            </w:r>
          </w:p>
        </w:tc>
      </w:tr>
      <w:tr>
        <w:trPr>
          <w:trHeight w:val="216"/>
        </w:trPr>
        <w:tc>
          <w:tcPr>
            <w:tcW w:w="7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b w:val="1"/>
                <w:bCs w:val="1"/>
                <w:color w:val="auto"/>
              </w:rPr>
              <w:t>Advances to shareholder</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989677 Alberta Ltd.</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6,017,319</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5,765,605</w:t>
            </w:r>
          </w:p>
        </w:tc>
      </w:tr>
      <w:tr>
        <w:trPr>
          <w:trHeight w:val="216"/>
        </w:trPr>
        <w:tc>
          <w:tcPr>
            <w:tcW w:w="7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Promissory note payable (Note 10)</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Balle Air Ltd.</w:t>
            </w:r>
          </w:p>
        </w:tc>
        <w:tc>
          <w:tcPr>
            <w:tcW w:w="5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1,346,414</w:t>
            </w:r>
          </w:p>
        </w:tc>
        <w:tc>
          <w:tcPr>
            <w:tcW w:w="4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1,346,414</w:t>
            </w:r>
          </w:p>
        </w:tc>
      </w:tr>
      <w:tr>
        <w:trPr>
          <w:trHeight w:val="216"/>
        </w:trPr>
        <w:tc>
          <w:tcPr>
            <w:tcW w:w="7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b w:val="1"/>
                <w:bCs w:val="1"/>
                <w:color w:val="auto"/>
              </w:rPr>
              <w:t>Senior secured notes (Note 8)</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Svenco Investments Ltd.</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18,500,000</w:t>
            </w:r>
          </w:p>
        </w:tc>
      </w:tr>
      <w:tr>
        <w:trPr>
          <w:trHeight w:val="27"/>
        </w:trPr>
        <w:tc>
          <w:tcPr>
            <w:tcW w:w="7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Trade and other receivables from related parties are non-interest bearing and have no specified repayment terms. Advances to 989677 Alberta Ltd. are non-interest bearing without specified repayment terms. Refer to Note 8 for terms of repayment and interest rate associated with the senior secured notes.</w:t>
      </w:r>
    </w:p>
    <w:p>
      <w:pPr>
        <w:spacing w:after="0" w:line="17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guarantees</w:t>
      </w:r>
    </w:p>
    <w:p>
      <w:pPr>
        <w:spacing w:after="0" w:line="229"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land, premises, equipment leases and contracts for telephone, cable and internet services expiring from April 2018 to December 2022. Future minimum contractual obligations in the next five years and thereafter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117475</wp:posOffset>
            </wp:positionV>
            <wp:extent cx="68091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390"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Equipment</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Premises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Canadian $ for the years ended</w:t>
            </w: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Land leasing</w:t>
            </w:r>
          </w:p>
        </w:tc>
        <w:tc>
          <w:tcPr>
            <w:tcW w:w="3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leasing</w:t>
            </w:r>
          </w:p>
        </w:tc>
        <w:tc>
          <w:tcPr>
            <w:tcW w:w="4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Utilities</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leasing</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818,700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44,355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1,431,061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2,312,536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1,637,400</w:t>
            </w:r>
          </w:p>
        </w:tc>
        <w:tc>
          <w:tcPr>
            <w:tcW w:w="3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53,895</w:t>
            </w: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2,005,243</w:t>
            </w: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18,420</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3,714,958</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1,637,400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53,895</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1,377,035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3,068,330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1,637,400</w:t>
            </w:r>
          </w:p>
        </w:tc>
        <w:tc>
          <w:tcPr>
            <w:tcW w:w="3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53,895</w:t>
            </w: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1,643,068</w:t>
            </w: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3,334,363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1,831,100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1,541,271</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3,372,371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7,562,000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206,040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7,997,678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15,802,558</w:t>
            </w:r>
          </w:p>
        </w:tc>
      </w:tr>
      <w:tr>
        <w:trPr>
          <w:trHeight w:val="27"/>
        </w:trPr>
        <w:tc>
          <w:tcPr>
            <w:tcW w:w="3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is liable under two letters of guarantee for $279,330 issued by the lenders to both vendors and customers as per contractual arrangements.</w:t>
      </w:r>
    </w:p>
    <w:p>
      <w:pPr>
        <w:spacing w:after="0" w:line="244"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obligations</w:t>
      </w:r>
    </w:p>
    <w:p>
      <w:pPr>
        <w:spacing w:after="0" w:line="229" w:lineRule="exact"/>
        <w:rPr>
          <w:rFonts w:ascii="Arial" w:cs="Arial" w:eastAsia="Arial" w:hAnsi="Arial"/>
          <w:sz w:val="18"/>
          <w:szCs w:val="18"/>
          <w:b w:val="1"/>
          <w:bCs w:val="1"/>
          <w:color w:val="auto"/>
        </w:rPr>
      </w:pPr>
    </w:p>
    <w:p>
      <w:pPr>
        <w:jc w:val="both"/>
        <w:ind w:left="4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Asset retirement obligations include constructive site restoration obligations to restore lands to their previous condition when lodges are dismantled and removed. The estimated present value of rehabilitating these lands at the end of their useful lives has been estimated using existing technology at inflated prices and discounted using a risk free rate. The future value amount at November 30, 2017 was $12,043,149 and was determined using a risk-free interest rate of 1.87% and an inflation rate of 2.00%. The timing of these payments is dependent on various factors, such as the estimated lives of the equipment and industry activity in the region but is anticipated to occur between 2018 and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118745</wp:posOffset>
            </wp:positionV>
            <wp:extent cx="68091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Canadian $ as at</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3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 2017</w:t>
            </w:r>
          </w:p>
        </w:tc>
        <w:tc>
          <w:tcPr>
            <w:tcW w:w="200" w:type="dxa"/>
            <w:vAlign w:val="bottom"/>
          </w:tcPr>
          <w:p>
            <w:pPr>
              <w:spacing w:after="0"/>
              <w:rPr>
                <w:sz w:val="20"/>
                <w:szCs w:val="20"/>
                <w:color w:val="auto"/>
              </w:rPr>
            </w:pPr>
          </w:p>
        </w:tc>
      </w:tr>
      <w:tr>
        <w:trPr>
          <w:trHeight w:val="210"/>
        </w:trPr>
        <w:tc>
          <w:tcPr>
            <w:tcW w:w="380" w:type="dxa"/>
            <w:vAlign w:val="bottom"/>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8,993,960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8,851,880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Accretion</w:t>
            </w: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72,369</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5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9,066,329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8,993,960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(1,254,000)</w:t>
            </w:r>
          </w:p>
        </w:tc>
        <w:tc>
          <w:tcPr>
            <w:tcW w:w="20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73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7,812,329</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7,739,960</w:t>
            </w:r>
          </w:p>
        </w:tc>
        <w:tc>
          <w:tcPr>
            <w:tcW w:w="120" w:type="dxa"/>
            <w:vAlign w:val="bottom"/>
            <w:tcBorders>
              <w:top w:val="single" w:sz="8" w:color="CCEEFF"/>
            </w:tcBorders>
          </w:tcPr>
          <w:p>
            <w:pPr>
              <w:spacing w:after="0"/>
              <w:rPr>
                <w:sz w:val="18"/>
                <w:szCs w:val="18"/>
                <w:color w:val="auto"/>
              </w:rPr>
            </w:pPr>
          </w:p>
        </w:tc>
        <w:tc>
          <w:tcPr>
            <w:tcW w:w="200" w:type="dxa"/>
            <w:vAlign w:val="bottom"/>
          </w:tcPr>
          <w:p>
            <w:pPr>
              <w:spacing w:after="0"/>
              <w:rPr>
                <w:sz w:val="18"/>
                <w:szCs w:val="18"/>
                <w:color w:val="auto"/>
              </w:rPr>
            </w:pPr>
          </w:p>
        </w:tc>
      </w:tr>
      <w:tr>
        <w:trPr>
          <w:trHeight w:val="790"/>
        </w:trPr>
        <w:tc>
          <w:tcPr>
            <w:tcW w:w="3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968"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right="10000" w:hanging="392"/>
        <w:spacing w:after="0" w:line="566" w:lineRule="auto"/>
        <w:tabs>
          <w:tab w:leader="none" w:pos="403"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u w:val="single" w:color="auto"/>
          <w:color w:val="auto"/>
        </w:rPr>
        <w:t>Authorized</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Unlimited Class A, B and C common shares, voting</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Unlimited Class D common shares, non-voting</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Unlimited Class E preferred shares, voting</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Unlimited Class F preferred shares, non-voting, non-cumulative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Unlimited Class G and H preferred shares, non-voting, non-cumulative, retractable at $1 per share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152400</wp:posOffset>
            </wp:positionV>
            <wp:extent cx="68091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November 30,</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color w:val="auto"/>
              </w:rPr>
              <w:t>Canadian $ as at</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 2017</w:t>
            </w:r>
          </w:p>
        </w:tc>
      </w:tr>
      <w:tr>
        <w:trPr>
          <w:trHeight w:val="20"/>
        </w:trPr>
        <w:tc>
          <w:tcPr>
            <w:tcW w:w="4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340" w:type="dxa"/>
            <w:vAlign w:val="bottom"/>
          </w:tcPr>
          <w:p>
            <w:pPr>
              <w:spacing w:after="0"/>
              <w:rPr>
                <w:sz w:val="24"/>
                <w:szCs w:val="24"/>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Number of shares</w:t>
            </w:r>
          </w:p>
        </w:tc>
        <w:tc>
          <w:tcPr>
            <w:tcW w:w="30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Number of shares</w:t>
            </w:r>
          </w:p>
        </w:tc>
        <w:tc>
          <w:tcPr>
            <w:tcW w:w="3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and outstanding</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B shares issued and outstanding</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0"/>
        </w:trPr>
        <w:tc>
          <w:tcPr>
            <w:tcW w:w="4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Class H shares issued and outstanding</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Balance - beginning of period</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55,246,126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1,126,800</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56,068,244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1,144,239</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Redeemed in period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(719,355)</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(822,118)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(17,439)</w:t>
            </w:r>
          </w:p>
        </w:tc>
      </w:tr>
      <w:tr>
        <w:trPr>
          <w:trHeight w:val="210"/>
        </w:trPr>
        <w:tc>
          <w:tcPr>
            <w:tcW w:w="4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Balance - end of period</w:t>
            </w:r>
          </w:p>
        </w:tc>
        <w:tc>
          <w:tcPr>
            <w:tcW w:w="1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54,526,771</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1,111,534</w:t>
            </w:r>
          </w:p>
        </w:tc>
        <w:tc>
          <w:tcPr>
            <w:tcW w:w="1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55,246,126</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1,126,800</w:t>
            </w:r>
          </w:p>
        </w:tc>
        <w:tc>
          <w:tcPr>
            <w:tcW w:w="120" w:type="dxa"/>
            <w:vAlign w:val="bottom"/>
            <w:tcBorders>
              <w:top w:val="single" w:sz="8" w:color="CCEEFF"/>
            </w:tcBorders>
          </w:tcPr>
          <w:p>
            <w:pPr>
              <w:spacing w:after="0"/>
              <w:rPr>
                <w:sz w:val="18"/>
                <w:szCs w:val="18"/>
                <w:color w:val="auto"/>
              </w:rPr>
            </w:pPr>
          </w:p>
        </w:tc>
      </w:tr>
      <w:tr>
        <w:trPr>
          <w:trHeight w:val="216"/>
        </w:trPr>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Class G shares issued and outstanding</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 beginning of period</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424,000,000</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8,480,099</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424,000,000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8,480,099</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Issued in period</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 end of period</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424,000,000</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8,480,099</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424,000,000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8,480,099</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preferred shares</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478,526,771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9,591,633</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479,246,126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9,606,899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380"/>
        <w:spacing w:after="0" w:line="286" w:lineRule="auto"/>
        <w:rPr>
          <w:sz w:val="20"/>
          <w:szCs w:val="20"/>
          <w:color w:val="auto"/>
        </w:rPr>
      </w:pPr>
      <w:r>
        <w:rPr>
          <w:rFonts w:ascii="Arial" w:cs="Arial" w:eastAsia="Arial" w:hAnsi="Arial"/>
          <w:sz w:val="17"/>
          <w:szCs w:val="17"/>
          <w:color w:val="auto"/>
        </w:rPr>
        <w:t>For the six-month period ending November 30, 2017 the Company redeemed 719,355 (twelve-month period ended May 31, 2017 – 822,118) Class H shares for $719,355 (May 31, 2017 – 822,118). The discount on redemption of $704,042 (November 30, 2016 - $617,224) was charged to retained earnings. The total redemption amount for the preferred shares is $478,526,771 (May 31, 2017 - $ 479,246,126).</w:t>
      </w:r>
    </w:p>
    <w:p>
      <w:pPr>
        <w:spacing w:after="0" w:line="166"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During the period the Company introduced long-term incentive plans to allow for equity participation of certain key executives. As part of the plans, the Company undertook a 3 for 1 share split of its common shares. Compensation expense for the period ended November 30, 2017 was $7,924,214 with a corresponding increase to contributed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7"/>
          <w:szCs w:val="17"/>
          <w:color w:val="auto"/>
        </w:rPr>
        <w:t>The provision for income taxes differs from what would be expected by applying statutory rates. A reconciliation of the difference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159385</wp:posOffset>
            </wp:positionV>
            <wp:extent cx="67748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color w:val="auto"/>
              </w:rPr>
              <w:t>Canadian $ for the six-month period ended</w:t>
            </w:r>
          </w:p>
        </w:tc>
        <w:tc>
          <w:tcPr>
            <w:tcW w:w="18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8"/>
              </w:rPr>
              <w:t>November 30, 2017</w:t>
            </w:r>
          </w:p>
        </w:tc>
        <w:tc>
          <w:tcPr>
            <w:tcW w:w="17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November 30, 2016</w:t>
            </w:r>
          </w:p>
        </w:tc>
      </w:tr>
      <w:tr>
        <w:trPr>
          <w:trHeight w:val="210"/>
        </w:trPr>
        <w:tc>
          <w:tcPr>
            <w:tcW w:w="7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9,776,268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32,445,896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Combined federal and provincial income tax rate</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27.00%</w:t>
            </w:r>
          </w:p>
        </w:tc>
        <w:tc>
          <w:tcPr>
            <w:tcW w:w="4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income tax provision</w:t>
            </w:r>
          </w:p>
        </w:tc>
        <w:tc>
          <w:tcPr>
            <w:tcW w:w="5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2,639,592</w:t>
            </w: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8,760,392</w:t>
            </w:r>
          </w:p>
        </w:tc>
        <w:tc>
          <w:tcPr>
            <w:tcW w:w="1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Non-temporary differences</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20,445</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Non-deductible share-based compensation</w:t>
            </w:r>
          </w:p>
        </w:tc>
        <w:tc>
          <w:tcPr>
            <w:tcW w:w="5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2,139,538</w:t>
            </w:r>
          </w:p>
        </w:tc>
        <w:tc>
          <w:tcPr>
            <w:tcW w:w="4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(460)</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4,799,115</w:t>
            </w:r>
          </w:p>
        </w:tc>
        <w:tc>
          <w:tcPr>
            <w:tcW w:w="4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8,776,033</w:t>
            </w:r>
          </w:p>
        </w:tc>
      </w:tr>
      <w:tr>
        <w:trPr>
          <w:trHeight w:val="210"/>
        </w:trPr>
        <w:tc>
          <w:tcPr>
            <w:tcW w:w="7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Represented by:</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5,163,115</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4,174,832</w:t>
            </w:r>
          </w:p>
        </w:tc>
      </w:tr>
      <w:tr>
        <w:trPr>
          <w:trHeight w:val="216"/>
        </w:trPr>
        <w:tc>
          <w:tcPr>
            <w:tcW w:w="7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Future income tax (recovery) expense</w:t>
            </w: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(364,000)</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4,601,201</w:t>
            </w:r>
          </w:p>
        </w:tc>
        <w:tc>
          <w:tcPr>
            <w:tcW w:w="160" w:type="dxa"/>
            <w:vAlign w:val="bottom"/>
          </w:tcPr>
          <w:p>
            <w:pPr>
              <w:spacing w:after="0"/>
              <w:rPr>
                <w:sz w:val="18"/>
                <w:szCs w:val="18"/>
                <w:color w:val="auto"/>
              </w:rPr>
            </w:pPr>
          </w:p>
        </w:tc>
      </w:tr>
      <w:tr>
        <w:trPr>
          <w:trHeight w:val="21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4,799,115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8,776,033</w:t>
            </w:r>
          </w:p>
        </w:tc>
      </w:tr>
      <w:tr>
        <w:trPr>
          <w:trHeight w:val="216"/>
        </w:trPr>
        <w:tc>
          <w:tcPr>
            <w:tcW w:w="7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4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r>
      <w:tr>
        <w:trPr>
          <w:trHeight w:val="432"/>
        </w:trPr>
        <w:tc>
          <w:tcPr>
            <w:tcW w:w="7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components of net future tax asset (liability) recognized are as follows:</w:t>
            </w:r>
          </w:p>
        </w:tc>
        <w:tc>
          <w:tcPr>
            <w:tcW w:w="5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137160</wp:posOffset>
            </wp:positionV>
            <wp:extent cx="68091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15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November 30,</w:t>
            </w:r>
          </w:p>
        </w:tc>
        <w:tc>
          <w:tcPr>
            <w:tcW w:w="15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November 30,</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November 30,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color w:val="auto"/>
              </w:rPr>
              <w:t>Canadian $ as at</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May 31, 2017</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May 31, 2017</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May 31, 2017</w:t>
            </w:r>
          </w:p>
        </w:tc>
      </w:tr>
      <w:tr>
        <w:trPr>
          <w:trHeight w:val="210"/>
        </w:trPr>
        <w:tc>
          <w:tcPr>
            <w:tcW w:w="20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(26,820,229)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(27,111,898)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(26,820,229)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(27,111,898)</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(96,468)</w:t>
            </w:r>
          </w:p>
        </w:tc>
        <w:tc>
          <w:tcPr>
            <w:tcW w:w="2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(96,468)</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2"/>
              </w:rPr>
              <w:t>Asset retirement obligations</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2,447,909</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2,428,369</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2,447,909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2,428,369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Capital losses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38,488</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38,488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38,488</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38,488</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375,052</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375,052</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375,052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375,052</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9,493</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53,232</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9,493</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53,232</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2,587</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2,525</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w:t>
            </w:r>
          </w:p>
        </w:tc>
      </w:tr>
      <w:tr>
        <w:trPr>
          <w:trHeight w:val="210"/>
        </w:trPr>
        <w:tc>
          <w:tcPr>
            <w:tcW w:w="20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liability</w:t>
            </w:r>
          </w:p>
        </w:tc>
        <w:tc>
          <w:tcPr>
            <w:tcW w:w="1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(24,310,700)</w:t>
            </w:r>
          </w:p>
        </w:tc>
      </w:tr>
      <w:tr>
        <w:trPr>
          <w:trHeight w:val="27"/>
        </w:trPr>
        <w:tc>
          <w:tcPr>
            <w:tcW w:w="208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Movements in temporary differences were all recognized within earnings during the six-month period ended November 30, 2017 and November 30, 2016.</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 analysis of the future income tax liability between current and non-current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152400</wp:posOffset>
            </wp:positionV>
            <wp:extent cx="68091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Canadian $ as at</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3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 2017</w:t>
            </w:r>
          </w:p>
        </w:tc>
        <w:tc>
          <w:tcPr>
            <w:tcW w:w="200" w:type="dxa"/>
            <w:vAlign w:val="bottom"/>
          </w:tcPr>
          <w:p>
            <w:pPr>
              <w:spacing w:after="0"/>
              <w:rPr>
                <w:sz w:val="20"/>
                <w:szCs w:val="20"/>
                <w:color w:val="auto"/>
              </w:rPr>
            </w:pPr>
          </w:p>
        </w:tc>
      </w:tr>
      <w:tr>
        <w:trPr>
          <w:trHeight w:val="210"/>
        </w:trPr>
        <w:tc>
          <w:tcPr>
            <w:tcW w:w="380" w:type="dxa"/>
            <w:vAlign w:val="bottom"/>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assets: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Future income tax asset to be recovered after more than 12 months</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2,870,942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2,895,141</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Future income tax asset to be recovered within 12 months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2,587</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2,873,529</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2,897,666</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Future income tax liabilities:</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Future income tax liability to be recovered after more than 12 months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(26,820,229)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(27,208,366)</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Future income tax liability to be recovered within 12 months</w:t>
            </w:r>
          </w:p>
        </w:tc>
        <w:tc>
          <w:tcPr>
            <w:tcW w:w="4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(26,820,229)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(27,208,366)</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liability</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(24,310,700)</w:t>
            </w:r>
          </w:p>
        </w:tc>
        <w:tc>
          <w:tcPr>
            <w:tcW w:w="200" w:type="dxa"/>
            <w:vAlign w:val="bottom"/>
          </w:tcPr>
          <w:p>
            <w:pPr>
              <w:spacing w:after="0"/>
              <w:rPr>
                <w:sz w:val="18"/>
                <w:szCs w:val="18"/>
                <w:color w:val="auto"/>
              </w:rPr>
            </w:pPr>
          </w:p>
        </w:tc>
      </w:tr>
      <w:tr>
        <w:trPr>
          <w:trHeight w:val="790"/>
        </w:trPr>
        <w:tc>
          <w:tcPr>
            <w:tcW w:w="380" w:type="dxa"/>
            <w:vAlign w:val="bottom"/>
            <w:tcBorders>
              <w:bottom w:val="single" w:sz="8" w:color="auto"/>
            </w:tcBorders>
          </w:tcPr>
          <w:p>
            <w:pPr>
              <w:spacing w:after="0"/>
              <w:rPr>
                <w:sz w:val="24"/>
                <w:szCs w:val="24"/>
                <w:color w:val="auto"/>
              </w:rPr>
            </w:pPr>
          </w:p>
        </w:tc>
        <w:tc>
          <w:tcPr>
            <w:tcW w:w="73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886"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color w:val="auto"/>
              </w:rPr>
              <w:t>Canadian $ for the six-month period ending</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 2017</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November 30, 2016</w:t>
            </w:r>
          </w:p>
        </w:tc>
      </w:tr>
      <w:tr>
        <w:trPr>
          <w:trHeight w:val="210"/>
        </w:trPr>
        <w:tc>
          <w:tcPr>
            <w:tcW w:w="7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Wages and benefits</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3,190,407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3,356,608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7,924,214</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505,603</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354,493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5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206,935</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90,793</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Office and miscellaneous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202,825</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161,837</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Repairs and maintenance</w:t>
            </w:r>
          </w:p>
        </w:tc>
        <w:tc>
          <w:tcPr>
            <w:tcW w:w="5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178,316</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48,974</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Travel and automotive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174,363</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81,405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Telephone and utilities</w:t>
            </w:r>
          </w:p>
        </w:tc>
        <w:tc>
          <w:tcPr>
            <w:tcW w:w="5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143,485</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106,761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51,923</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93,591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Property taxes</w:t>
            </w:r>
          </w:p>
        </w:tc>
        <w:tc>
          <w:tcPr>
            <w:tcW w:w="5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23,218</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11,495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14,148</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10,764</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Bad debt (recovery) expense</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(49,910)</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822,256</w:t>
            </w:r>
          </w:p>
        </w:tc>
      </w:tr>
      <w:tr>
        <w:trPr>
          <w:trHeight w:val="20"/>
        </w:trPr>
        <w:tc>
          <w:tcPr>
            <w:tcW w:w="7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12,565,527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5,138,977</w:t>
            </w:r>
          </w:p>
        </w:tc>
      </w:tr>
      <w:tr>
        <w:trPr>
          <w:trHeight w:val="27"/>
        </w:trPr>
        <w:tc>
          <w:tcPr>
            <w:tcW w:w="7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Wildfire costs</w:t>
      </w:r>
    </w:p>
    <w:p>
      <w:pPr>
        <w:spacing w:after="0" w:line="229" w:lineRule="exact"/>
        <w:rPr>
          <w:rFonts w:ascii="Arial" w:cs="Arial" w:eastAsia="Arial" w:hAnsi="Arial"/>
          <w:sz w:val="18"/>
          <w:szCs w:val="18"/>
          <w:b w:val="1"/>
          <w:bCs w:val="1"/>
          <w:color w:val="auto"/>
        </w:rPr>
      </w:pPr>
    </w:p>
    <w:p>
      <w:pPr>
        <w:ind w:left="4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May 2016 there were major wildfires in the Fort McMurray region of Alberta and the Company incurred costs related to the protection of its assets and in restarting operations after the fires were extinguished.</w:t>
      </w:r>
    </w:p>
    <w:p>
      <w:pPr>
        <w:spacing w:after="0" w:line="166" w:lineRule="exact"/>
        <w:rPr>
          <w:rFonts w:ascii="Arial" w:cs="Arial" w:eastAsia="Arial" w:hAnsi="Arial"/>
          <w:sz w:val="18"/>
          <w:szCs w:val="18"/>
          <w:b w:val="1"/>
          <w:bCs w:val="1"/>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proceeds</w:t>
      </w:r>
    </w:p>
    <w:p>
      <w:pPr>
        <w:spacing w:after="0" w:line="22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7"/>
          <w:szCs w:val="17"/>
          <w:color w:val="auto"/>
        </w:rPr>
        <w:t>Insurance proceeds are payments received relating to extra expense incurred and business interruption insurance for the May 2016 wildfire.</w:t>
      </w:r>
    </w:p>
    <w:p>
      <w:pPr>
        <w:spacing w:after="0" w:line="232" w:lineRule="exact"/>
        <w:rPr>
          <w:rFonts w:ascii="Arial" w:cs="Arial" w:eastAsia="Arial" w:hAnsi="Arial"/>
          <w:sz w:val="18"/>
          <w:szCs w:val="18"/>
          <w:b w:val="1"/>
          <w:bCs w:val="1"/>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Rent Expense</w:t>
      </w:r>
    </w:p>
    <w:p>
      <w:pPr>
        <w:spacing w:after="0" w:line="229" w:lineRule="exact"/>
        <w:rPr>
          <w:rFonts w:ascii="Arial" w:cs="Arial" w:eastAsia="Arial" w:hAnsi="Arial"/>
          <w:sz w:val="18"/>
          <w:szCs w:val="18"/>
          <w:b w:val="1"/>
          <w:bCs w:val="1"/>
          <w:color w:val="auto"/>
        </w:rPr>
      </w:pPr>
    </w:p>
    <w:p>
      <w:pPr>
        <w:ind w:lef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During the period the Company entered into an arrangement for use of certain assets in exchange for the provision of accommodation services. The impact on revenue and rent expense for the six-months ended November 30, 2017 was $2,886,318 (November 30, 2016 – nil).</w:t>
      </w:r>
    </w:p>
    <w:p>
      <w:pPr>
        <w:spacing w:after="0" w:line="142" w:lineRule="exact"/>
        <w:rPr>
          <w:rFonts w:ascii="Arial" w:cs="Arial" w:eastAsia="Arial" w:hAnsi="Arial"/>
          <w:sz w:val="18"/>
          <w:szCs w:val="18"/>
          <w:b w:val="1"/>
          <w:bCs w:val="1"/>
          <w:color w:val="auto"/>
        </w:rPr>
      </w:pPr>
    </w:p>
    <w:p>
      <w:pPr>
        <w:ind w:left="400" w:right="9340" w:hanging="392"/>
        <w:spacing w:after="0" w:line="566" w:lineRule="auto"/>
        <w:tabs>
          <w:tab w:leader="none" w:pos="403"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Credit risk</w:t>
      </w:r>
    </w:p>
    <w:p>
      <w:pPr>
        <w:jc w:val="both"/>
        <w:ind w:left="4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is exposed to credit risk through its trade and other receivables. The Company performs ongoing credit evaluations of its customers’ financial condition and limits the amount of credit extended when deemed necessary. The Company maintains provisions for potential credit losses and any such losses to date have been within management’s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Liquidity risk relates to the risk the Company will encounter difficulty in meeting obligations associated with its financial liabilities. The Company’s policy in managing liquidity is to ensure it has sufficient resources to meet its liabilities without incurring undue losses or risking damages to the Company’s reputation. In the current environment of low commodity prices, specifically oil and natural gas, management does this by monitoring its cash flows and adjusting the Company’s scale of operations as needed.</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aggregate amount of principal repayments of financial liabilities estimated to be required in each of the next five years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152400</wp:posOffset>
            </wp:positionV>
            <wp:extent cx="68091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Canadian $ 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68091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3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2018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30,003,690</w:t>
            </w: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48,346,414</w:t>
            </w:r>
          </w:p>
        </w:tc>
        <w:tc>
          <w:tcPr>
            <w:tcW w:w="120" w:type="dxa"/>
            <w:vAlign w:val="bottom"/>
          </w:tcPr>
          <w:p>
            <w:pPr>
              <w:spacing w:after="0"/>
              <w:rPr>
                <w:sz w:val="18"/>
                <w:szCs w:val="18"/>
                <w:color w:val="auto"/>
              </w:rPr>
            </w:pPr>
          </w:p>
        </w:tc>
      </w:tr>
      <w:tr>
        <w:trPr>
          <w:trHeight w:val="216"/>
        </w:trPr>
        <w:tc>
          <w:tcPr>
            <w:tcW w:w="9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7"/>
        </w:trPr>
        <w:tc>
          <w:tcPr>
            <w:tcW w:w="9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90,350,104</w:t>
            </w:r>
          </w:p>
        </w:tc>
        <w:tc>
          <w:tcPr>
            <w:tcW w:w="120" w:type="dxa"/>
            <w:vAlign w:val="bottom"/>
          </w:tcPr>
          <w:p>
            <w:pPr>
              <w:spacing w:after="0"/>
              <w:rPr>
                <w:sz w:val="18"/>
                <w:szCs w:val="18"/>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risk</w:t>
      </w:r>
    </w:p>
    <w:p>
      <w:pPr>
        <w:spacing w:after="0" w:line="229"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Company is exposed to interest rate risk due to floating rates on its term loan. The Company manages its exposure to this risk by minimizing its borrowings. Based on period-end balances, a plus or minus 1% change in interest rates would change interest expense by $620,000 (May 31, 2017 – $203,433) on debt subject to floating rates</w:t>
      </w:r>
    </w:p>
    <w:p>
      <w:pPr>
        <w:spacing w:after="0" w:line="177"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Economic dependence</w:t>
      </w:r>
    </w:p>
    <w:p>
      <w:pPr>
        <w:spacing w:after="0" w:line="229"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six-month period ended November 30, 2017, 92% of revenues were from 2 customers (November 30, 2016 – 82% from two customers). There are currently two contracts in place with these customers which come due on May 1, 2022 and June 21, 2027.</w:t>
      </w:r>
    </w:p>
    <w:p>
      <w:pPr>
        <w:spacing w:after="0" w:line="166" w:lineRule="exact"/>
        <w:rPr>
          <w:rFonts w:ascii="Arial" w:cs="Arial" w:eastAsia="Arial" w:hAnsi="Arial"/>
          <w:sz w:val="18"/>
          <w:szCs w:val="18"/>
          <w:b w:val="1"/>
          <w:bCs w:val="1"/>
          <w:color w:val="auto"/>
        </w:rPr>
      </w:pPr>
    </w:p>
    <w:p>
      <w:pPr>
        <w:ind w:left="400" w:right="9600" w:hanging="392"/>
        <w:spacing w:after="0" w:line="604" w:lineRule="auto"/>
        <w:tabs>
          <w:tab w:leader="none" w:pos="403"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Sale of aircraft</w:t>
      </w:r>
    </w:p>
    <w:p>
      <w:pPr>
        <w:ind w:left="400"/>
        <w:spacing w:after="0"/>
        <w:rPr>
          <w:rFonts w:ascii="Arial" w:cs="Arial" w:eastAsia="Arial" w:hAnsi="Arial"/>
          <w:sz w:val="15"/>
          <w:szCs w:val="15"/>
          <w:b w:val="1"/>
          <w:bCs w:val="1"/>
          <w:color w:val="auto"/>
        </w:rPr>
      </w:pPr>
      <w:r>
        <w:rPr>
          <w:rFonts w:ascii="Arial" w:cs="Arial" w:eastAsia="Arial" w:hAnsi="Arial"/>
          <w:sz w:val="17"/>
          <w:szCs w:val="17"/>
          <w:color w:val="auto"/>
        </w:rPr>
        <w:t>On February 7, 2018 the Company entered into a sale agreement with a third party for disposal of its aircraft engine for cash consideration.</w:t>
      </w:r>
    </w:p>
    <w:p>
      <w:pPr>
        <w:spacing w:after="0" w:line="232"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Civeo Corporation acquisition</w:t>
      </w:r>
    </w:p>
    <w:p>
      <w:pPr>
        <w:spacing w:after="0" w:line="229" w:lineRule="exact"/>
        <w:rPr>
          <w:rFonts w:ascii="Arial" w:cs="Arial" w:eastAsia="Arial" w:hAnsi="Arial"/>
          <w:sz w:val="15"/>
          <w:szCs w:val="15"/>
          <w:b w:val="1"/>
          <w:bCs w:val="1"/>
          <w:color w:val="auto"/>
        </w:rPr>
      </w:pPr>
    </w:p>
    <w:p>
      <w:pPr>
        <w:jc w:val="both"/>
        <w:ind w:left="40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On November 27, 2017 Civeo Corporation (“Civeo”) and the Company announced they had entered into a definitive agreement for Civeo to acquire Noralta for a total consideration of approximately $367.0 million CAD on a cash-free, debt-free basis, subject to adjustments. Under the terms of the agreement, Civeo acquired 100% of Noralta’s equity comprising approximately $210.0 million CAD in cash, 32.8 million Civeo common shares issued to Noralta’s equity holders, and non-revolving convertible preferred equity issued to Noralta’s equity holders with a 2.0% divided rate initially convertible into 29.3 million Civeo common shares.</w:t>
      </w:r>
    </w:p>
    <w:p>
      <w:pPr>
        <w:spacing w:after="0" w:line="188" w:lineRule="exact"/>
        <w:rPr>
          <w:rFonts w:ascii="Arial" w:cs="Arial" w:eastAsia="Arial" w:hAnsi="Arial"/>
          <w:sz w:val="15"/>
          <w:szCs w:val="15"/>
          <w:b w:val="1"/>
          <w:bCs w:val="1"/>
          <w:color w:val="auto"/>
        </w:rPr>
      </w:pPr>
    </w:p>
    <w:p>
      <w:pPr>
        <w:jc w:val="both"/>
        <w:ind w:left="40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On March 15, 2018 Noralta entered into an amendment (“the Amending Agreement”) with Civeo to the share purchase agreement. The Amending Agreement amends the Share Purchase Agreement to, among other things, place an additional $30.0 million of the total consideration into an escrow account comprised of $15.0 million cash, 2,340,824 Civeo common shares and 692 Civeo convertible preferred shares (collectively, the “Contingent Consideration”) to be released to Civeo and/or the current shareholders of Noralta based on the actual increased employee compensation costs that may be incurred by Noralta as a result of the recent union certification of certain classes of Noralta employees by UNITE HERE Local 47 (“Local 47”)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5"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On March 14, 2018, the Alberta Labour Relations Board approved an application for certification as bargaining agent brought by Local 47 affecting certain classes of employees of the Company. As a result of this approval, Local 47 has been certified as bargaining agent for such Noralta employees and it is expected that a collective bargaining agreement will be entered into between Noralta and Local 47 for the referenced employees of Noralta. When a collective bargaining agreement is reached, it is anticipated that the Company will be subject to increased employee compensation costs and would experience a decrease in earnings from what was previously expected. The actual expected increased employee compensation costs will not be known until a collective bargaining agreement has been reached between Noralta and Local 47. Accordingly, the parties have agreed that the Contingent Consideration will be deposited into escrow upon the closing of the transaction contemplated by the Share Purchase Agreement to potentially adjust the purchase price to compensate Civeo for the expected increase in employee compensation costs resulting from collective bargaining agreement with Local 47.</w:t>
      </w:r>
    </w:p>
    <w:p>
      <w:pPr>
        <w:spacing w:after="0" w:line="197"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On April 2, 2018, the Civeo transaction closed. At close, the Company was committed to paying compensation of approximately $8.0 million. In addition, all of the Company’s long-term debt was repaid immediately prior to close.</w:t>
      </w:r>
    </w:p>
    <w:p>
      <w:pPr>
        <w:spacing w:after="0" w:line="166"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ASPE to US GAAP Reconciliation</w:t>
      </w:r>
    </w:p>
    <w:p>
      <w:pPr>
        <w:spacing w:after="0" w:line="229" w:lineRule="exact"/>
        <w:rPr>
          <w:rFonts w:ascii="Arial" w:cs="Arial" w:eastAsia="Arial" w:hAnsi="Arial"/>
          <w:sz w:val="18"/>
          <w:szCs w:val="18"/>
          <w:b w:val="1"/>
          <w:bCs w:val="1"/>
          <w:color w:val="auto"/>
        </w:rPr>
      </w:pPr>
    </w:p>
    <w:p>
      <w:pPr>
        <w:jc w:val="both"/>
        <w:ind w:lef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reconciliations below illustrate the impact of applying United States Generally Accepted Accounting Principles (“US GAAP”) to the Company’s interim financial information as at November 30, 2017 and May 31, 2017 and for the six-month periods ended November 30, 2017 and November 30, 2016. The Company prepares its financial information in accordance with Canadian Accounting Standards for Private Enterprises (“ASPE”). An explanation of the adjustments that were made are as follows:</w:t>
      </w:r>
    </w:p>
    <w:p>
      <w:pPr>
        <w:spacing w:after="0" w:line="186" w:lineRule="exact"/>
        <w:rPr>
          <w:rFonts w:ascii="Arial" w:cs="Arial" w:eastAsia="Arial" w:hAnsi="Arial"/>
          <w:sz w:val="18"/>
          <w:szCs w:val="18"/>
          <w:b w:val="1"/>
          <w:bCs w:val="1"/>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U.S. GAAP requires the use of a credit-adjusted risk-free rate for discounting when an expected present-value technique is used for estimating the fair value of asset retirement obligations. Under ASPE, a pre-tax discount is used to reflect current market assessments of the time value of money and the risks specific to the liability.</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U.S. GAAP requires consolidation decisions first be made under the Variable Interest Entity (“VIE”) model. ASPE focuses on the concept of control in determining whether a parent-subsidiary relationship exists. It was determined that certain limited partnership arrangements required consolidation under the VIE model because Noralta was the primary beneficiary and had the obligation to absorb losses and the right to receive benefits.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U.S. GAAP requires that advances from a shareholder be classified as a reduction in a Company’s equity to properly reflect the nature of the advances and attendant circumstances giving rise to the transactions. ASPE does not require such presentation.</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Company’s Class G and H preferred shares are redeemable at the option of the holder and have no mandatory redemption feature. Because they were issued as part of a tax planning arrangement they were presented as equity under ASPE. Under US GAAP, the preferred shares are presented as mezzanine equity at redemption values to reflect their debt and equity characteristics. This required a balance sheet reclassification of preferred shares within shareholders’ equity of $9,591,653 (May 31, 2017 - $9,606,899) to mezzanine equity at redemption value of $478,526,771 (May 31, 2017 - $479,246,126) with the difference charged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Interim Consolidated Balance Sheet as at November 30,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Previous Canadian</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ASPE to US GAAP</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Canadian $</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ASPE</w:t>
            </w:r>
          </w:p>
        </w:tc>
        <w:tc>
          <w:tcPr>
            <w:tcW w:w="4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US GAAP</w:t>
            </w:r>
          </w:p>
        </w:tc>
        <w:tc>
          <w:tcPr>
            <w:tcW w:w="200" w:type="dxa"/>
            <w:vAlign w:val="bottom"/>
          </w:tcPr>
          <w:p>
            <w:pPr>
              <w:spacing w:after="0"/>
              <w:rPr>
                <w:sz w:val="20"/>
                <w:szCs w:val="20"/>
                <w:color w:val="auto"/>
              </w:rPr>
            </w:pPr>
          </w:p>
        </w:tc>
      </w:tr>
      <w:tr>
        <w:trPr>
          <w:trHeight w:val="210"/>
        </w:trPr>
        <w:tc>
          <w:tcPr>
            <w:tcW w:w="380" w:type="dxa"/>
            <w:vAlign w:val="bottom"/>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Cash</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ii)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613,254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613,254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ii)</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31,541,108</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1,852,597</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33,393,705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2,309,506</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2,309,506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deposits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1,018,453</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1,018,453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Advances to shareholder</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iii)</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6,017,319</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(6,017,319)</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2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247,454</w:t>
            </w: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41,133,840</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(3,551,468)</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37,582,372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i)</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158,491,176</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(4,900,588)</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153,590,588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160,850</w:t>
            </w: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199,785,866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(8,452,056)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191,333,810</w:t>
            </w:r>
          </w:p>
        </w:tc>
        <w:tc>
          <w:tcPr>
            <w:tcW w:w="120" w:type="dxa"/>
            <w:vAlign w:val="bottom"/>
            <w:tcBorders>
              <w:bottom w:val="single" w:sz="8" w:color="CCEEFF"/>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Bank indebtedness</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9,912,842</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9,912,842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ii)</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17,090,848</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2,465,851</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19,556,699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1,822,439</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1,822,439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under capital lease</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34,106</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34,106</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6,000,000</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Asset retirement obligations</w:t>
            </w:r>
          </w:p>
        </w:tc>
        <w:tc>
          <w:tcPr>
            <w:tcW w:w="2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1,254,000</w:t>
            </w: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36,114,235</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2,465,851</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38,580,086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Unearned revenue</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4,840,614</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4,840,614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Long-term debt</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56,000,000</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1,346,414</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i)</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7,812,329</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(5,491,308)</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2,321,021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w:t>
            </w:r>
          </w:p>
        </w:tc>
        <w:tc>
          <w:tcPr>
            <w:tcW w:w="2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i)</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23,946,700</w:t>
            </w: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159,494</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24,106,194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2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130,061,347</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(2,865,963)</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127,195,384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Preferred shares</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iv)</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478,526,771</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478,526,771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capital</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iv)</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9,591,653</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(9,591,653)</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7,924,214</w:t>
            </w:r>
          </w:p>
        </w:tc>
        <w:tc>
          <w:tcPr>
            <w:tcW w:w="4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7,924,214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i) ii) iii) iv)</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52,208,552</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(474,521,211)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(422,312,659)</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69,724,519</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(484,112,864)</w:t>
            </w:r>
          </w:p>
        </w:tc>
        <w:tc>
          <w:tcPr>
            <w:tcW w:w="4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(414,388,345)</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199,785,866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(8,452,056)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191,333,810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790"/>
        </w:trPr>
        <w:tc>
          <w:tcPr>
            <w:tcW w:w="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Interim Consolidated Balance Sheet as at May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Previous Canadian</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ASPE to US GAAP</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Canadian $</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ASPE</w:t>
            </w:r>
          </w:p>
        </w:tc>
        <w:tc>
          <w:tcPr>
            <w:tcW w:w="42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US GAAP</w:t>
            </w:r>
          </w:p>
        </w:tc>
        <w:tc>
          <w:tcPr>
            <w:tcW w:w="200" w:type="dxa"/>
            <w:vAlign w:val="bottom"/>
          </w:tcPr>
          <w:p>
            <w:pPr>
              <w:spacing w:after="0"/>
              <w:rPr>
                <w:sz w:val="20"/>
                <w:szCs w:val="20"/>
                <w:color w:val="auto"/>
              </w:rPr>
            </w:pPr>
          </w:p>
        </w:tc>
      </w:tr>
      <w:tr>
        <w:trPr>
          <w:trHeight w:val="210"/>
        </w:trPr>
        <w:tc>
          <w:tcPr>
            <w:tcW w:w="380" w:type="dxa"/>
            <w:vAlign w:val="bottom"/>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Cash</w:t>
            </w:r>
          </w:p>
        </w:tc>
        <w:tc>
          <w:tcPr>
            <w:tcW w:w="1740" w:type="dxa"/>
            <w:vAlign w:val="bottom"/>
          </w:tcPr>
          <w:p>
            <w:pPr>
              <w:jc w:val="right"/>
              <w:spacing w:after="0"/>
              <w:rPr>
                <w:sz w:val="20"/>
                <w:szCs w:val="20"/>
                <w:color w:val="auto"/>
              </w:rPr>
            </w:pPr>
            <w:r>
              <w:rPr>
                <w:rFonts w:ascii="Arial" w:cs="Arial" w:eastAsia="Arial" w:hAnsi="Arial"/>
                <w:sz w:val="18"/>
                <w:szCs w:val="18"/>
                <w:color w:val="auto"/>
              </w:rPr>
              <w:t>ii)</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16,940,767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362,213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17,302,980</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26,880,351</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382,667</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27,263,018</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2,054,040</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2,054,040</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deposits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1,230,185</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1,230,185</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Advances to shareholder</w:t>
            </w:r>
          </w:p>
        </w:tc>
        <w:tc>
          <w:tcPr>
            <w:tcW w:w="1740" w:type="dxa"/>
            <w:vAlign w:val="bottom"/>
          </w:tcPr>
          <w:p>
            <w:pPr>
              <w:jc w:val="right"/>
              <w:spacing w:after="0"/>
              <w:rPr>
                <w:sz w:val="20"/>
                <w:szCs w:val="20"/>
                <w:color w:val="auto"/>
              </w:rPr>
            </w:pPr>
            <w:r>
              <w:rPr>
                <w:rFonts w:ascii="Arial" w:cs="Arial" w:eastAsia="Arial" w:hAnsi="Arial"/>
                <w:sz w:val="18"/>
                <w:szCs w:val="18"/>
                <w:color w:val="auto"/>
              </w:rPr>
              <w:t>iii)</w:t>
            </w: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5,765,605</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(5,765,605)</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1,726,985</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1,726,985</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54,597,933</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(5,020,725)</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49,577,208</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740" w:type="dxa"/>
            <w:vAlign w:val="bottom"/>
          </w:tcPr>
          <w:p>
            <w:pPr>
              <w:jc w:val="right"/>
              <w:spacing w:after="0"/>
              <w:rPr>
                <w:sz w:val="20"/>
                <w:szCs w:val="20"/>
                <w:color w:val="auto"/>
              </w:rPr>
            </w:pPr>
            <w:r>
              <w:rPr>
                <w:rFonts w:ascii="Arial" w:cs="Arial" w:eastAsia="Arial" w:hAnsi="Arial"/>
                <w:sz w:val="18"/>
                <w:szCs w:val="18"/>
                <w:color w:val="auto"/>
              </w:rPr>
              <w:t>i)</w:t>
            </w: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159,279,490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(4,999,820)</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154,279,670</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170,351</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170,351</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214,047,774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(10,020,545)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204,027,229</w:t>
            </w: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740" w:type="dxa"/>
            <w:vAlign w:val="bottom"/>
          </w:tcPr>
          <w:p>
            <w:pPr>
              <w:jc w:val="right"/>
              <w:spacing w:after="0"/>
              <w:rPr>
                <w:sz w:val="20"/>
                <w:szCs w:val="20"/>
                <w:color w:val="auto"/>
              </w:rPr>
            </w:pPr>
            <w:r>
              <w:rPr>
                <w:rFonts w:ascii="Arial" w:cs="Arial" w:eastAsia="Arial" w:hAnsi="Arial"/>
                <w:sz w:val="18"/>
                <w:szCs w:val="18"/>
                <w:color w:val="auto"/>
              </w:rPr>
              <w:t>ii)</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14,774,745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744,880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15,519,625</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7,440,837</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7,440,837</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Obligations under capital lease</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189,847</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189,847</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4,686,698</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4,686,698</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Asset retirement obligations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1,254,000</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1,254,000</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28,346,127</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744,880</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29,091,007</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7,311</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7,311</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94,754,822</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94,754,822</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1,346,414</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1,346,414</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i)</w:t>
            </w: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7,739,960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(5,517,080)</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2,222,880</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24,310,700</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139,660</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24,450,360</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156,505,334</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(4,632,540)</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151,872,794</w:t>
            </w: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Preferred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iv)</w:t>
            </w: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479,246,126</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479,246,126</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capital</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9,606,899</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(9,606,899)</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740" w:type="dxa"/>
            <w:vAlign w:val="bottom"/>
          </w:tcPr>
          <w:p>
            <w:pPr>
              <w:jc w:val="right"/>
              <w:spacing w:after="0"/>
              <w:rPr>
                <w:sz w:val="20"/>
                <w:szCs w:val="20"/>
                <w:color w:val="auto"/>
              </w:rPr>
            </w:pPr>
            <w:r>
              <w:rPr>
                <w:rFonts w:ascii="Arial" w:cs="Arial" w:eastAsia="Arial" w:hAnsi="Arial"/>
                <w:sz w:val="18"/>
                <w:szCs w:val="18"/>
                <w:color w:val="auto"/>
              </w:rPr>
              <w:t>i) ii) iii) iv)</w:t>
            </w: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47,935,441</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(475,027,232)</w:t>
            </w:r>
          </w:p>
        </w:tc>
        <w:tc>
          <w:tcPr>
            <w:tcW w:w="4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(427,091,791)</w:t>
            </w:r>
          </w:p>
        </w:tc>
        <w:tc>
          <w:tcPr>
            <w:tcW w:w="2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57,542,440</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(484,634,131)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(427,091,691)</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214,047,774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(10,020,545)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204,027,229</w:t>
            </w:r>
          </w:p>
        </w:tc>
        <w:tc>
          <w:tcPr>
            <w:tcW w:w="200" w:type="dxa"/>
            <w:vAlign w:val="bottom"/>
          </w:tcPr>
          <w:p>
            <w:pPr>
              <w:spacing w:after="0"/>
              <w:rPr>
                <w:sz w:val="18"/>
                <w:szCs w:val="18"/>
                <w:color w:val="auto"/>
              </w:rPr>
            </w:pPr>
          </w:p>
        </w:tc>
      </w:tr>
      <w:tr>
        <w:trPr>
          <w:trHeight w:val="790"/>
        </w:trPr>
        <w:tc>
          <w:tcPr>
            <w:tcW w:w="380" w:type="dxa"/>
            <w:vAlign w:val="bottom"/>
            <w:tcBorders>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Interim Consolidated Statement of Operations for the six-month period ended November 30,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Previous Canadian</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ASPE to US GAAP</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Canadian $</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ASPE</w:t>
            </w:r>
          </w:p>
        </w:tc>
        <w:tc>
          <w:tcPr>
            <w:tcW w:w="4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adjustments</w:t>
            </w:r>
          </w:p>
        </w:tc>
        <w:tc>
          <w:tcPr>
            <w:tcW w:w="4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US GAAP</w:t>
            </w:r>
          </w:p>
        </w:tc>
        <w:tc>
          <w:tcPr>
            <w:tcW w:w="200" w:type="dxa"/>
            <w:vAlign w:val="bottom"/>
          </w:tcPr>
          <w:p>
            <w:pPr>
              <w:spacing w:after="0"/>
              <w:rPr>
                <w:sz w:val="20"/>
                <w:szCs w:val="20"/>
                <w:color w:val="auto"/>
              </w:rPr>
            </w:pPr>
          </w:p>
        </w:tc>
      </w:tr>
      <w:tr>
        <w:trPr>
          <w:trHeight w:val="210"/>
        </w:trPr>
        <w:tc>
          <w:tcPr>
            <w:tcW w:w="38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ii) $</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90,348,396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2,342,269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92,690,665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Wages and benefits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17,940,304</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17,940,304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Groceries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15,363,272</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15,363,272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Telephone and utilities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6,758,822</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6,758,822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3,736,420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3,736,420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Contracted Services</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ii)</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2,714,800</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2,342,269</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5,057,069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Aircraft and travel</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886,171</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886,171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Repairs and maintenance</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1,024,806</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taxes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1,408,530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1,408,530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Lodge supplies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581,046</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581,046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651,759</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651,759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Professional fees</w:t>
            </w:r>
          </w:p>
        </w:tc>
        <w:tc>
          <w:tcPr>
            <w:tcW w:w="1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108,938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51,174,868</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2,342,269</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53,517,137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39,173,528</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39,173,528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12,565,527</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12,565,527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i)</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8,804,265</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(99,232)</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8,705,033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Reorganization cost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2,180,592</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2,180,592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Interest</w:t>
            </w:r>
          </w:p>
        </w:tc>
        <w:tc>
          <w:tcPr>
            <w:tcW w:w="1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6,741,300</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17,726,157</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(99,232)</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17,626,925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operations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8,881,844</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99,232</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8,981,076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Insurance proceeds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388,371</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388,371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i)</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(72,369)</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25,772</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(46,597)</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Loss on repayment of long-term debt</w:t>
            </w:r>
          </w:p>
        </w:tc>
        <w:tc>
          <w:tcPr>
            <w:tcW w:w="1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(93,075)</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(93,075)</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672,123</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672,123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Loss on foreign exchange</w:t>
            </w:r>
          </w:p>
        </w:tc>
        <w:tc>
          <w:tcPr>
            <w:tcW w:w="1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894,424</w:t>
            </w: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25,772</w:t>
            </w:r>
          </w:p>
        </w:tc>
        <w:tc>
          <w:tcPr>
            <w:tcW w:w="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920,196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9,776,268</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125,004</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9,901,272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5,163,115</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5,163,115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i)</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33,751</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(330,249)</w:t>
            </w:r>
          </w:p>
        </w:tc>
        <w:tc>
          <w:tcPr>
            <w:tcW w:w="20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4,799,115</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33,751</w:t>
            </w: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4,832,866</w:t>
            </w:r>
          </w:p>
        </w:tc>
        <w:tc>
          <w:tcPr>
            <w:tcW w:w="120" w:type="dxa"/>
            <w:vAlign w:val="bottom"/>
            <w:tcBorders>
              <w:top w:val="single" w:sz="8" w:color="CCEEFF"/>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and comprehensive income for the period</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4,977,153</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91,253</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5,068,406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790"/>
        </w:trPr>
        <w:tc>
          <w:tcPr>
            <w:tcW w:w="3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Noralta Lodge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Consolidated Financial Statements (Unaudited)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Interim Consolidated Statement of Operations for the six-month period ended November 30, 2016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154940</wp:posOffset>
            </wp:positionV>
            <wp:extent cx="68091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Previous Canadian</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ASPE to US GAAP</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Canadian $</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ASPE</w:t>
            </w:r>
          </w:p>
        </w:tc>
        <w:tc>
          <w:tcPr>
            <w:tcW w:w="4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adjustments</w:t>
            </w:r>
          </w:p>
        </w:tc>
        <w:tc>
          <w:tcPr>
            <w:tcW w:w="4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US GAAP</w:t>
            </w:r>
          </w:p>
        </w:tc>
      </w:tr>
      <w:tr>
        <w:trPr>
          <w:trHeight w:val="210"/>
        </w:trPr>
        <w:tc>
          <w:tcPr>
            <w:tcW w:w="47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ii) $</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89,633,958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1,188,344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90,822,302</w:t>
            </w: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Wages and benefits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16,481,818</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16,481,818</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Groceries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9,918,640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9,918,640</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Telephone and utilities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4,238,098</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4,238,098</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2,058,826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2,058,826</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Contracted services</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ii)</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1,295,955</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1,188,344</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2,484,299</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Aircraft and travel</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1,026,091</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1,026,091</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Repairs and maintenance</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862,320</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862,320</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taxes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598,617</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598,617</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Lodge supplies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879,309</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879,309</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423,702</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423,702</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163,323</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163,323</w:t>
            </w:r>
          </w:p>
        </w:tc>
      </w:tr>
      <w:tr>
        <w:trPr>
          <w:trHeight w:val="20"/>
        </w:trPr>
        <w:tc>
          <w:tcPr>
            <w:tcW w:w="4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37,946,699</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1,188,344</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39,135,043</w:t>
            </w: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51,687,259</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51,687,259</w:t>
            </w: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5,138,977</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5,138,977</w:t>
            </w: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i)</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10,251,924</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(277,768)</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9,974,156</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Reorganization cost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758,333</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758,333</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7,236,895</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7,236,895</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Mobilization costs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1,070,214</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1,070,214</w:t>
            </w:r>
          </w:p>
        </w:tc>
      </w:tr>
      <w:tr>
        <w:trPr>
          <w:trHeight w:val="20"/>
        </w:trPr>
        <w:tc>
          <w:tcPr>
            <w:tcW w:w="4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19,317,366</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(277,768)</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19,039,598</w:t>
            </w:r>
          </w:p>
        </w:tc>
      </w:tr>
      <w:tr>
        <w:trPr>
          <w:trHeight w:val="216"/>
        </w:trPr>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Earnings from operations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27,230,916</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277,768</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27,508,684</w:t>
            </w:r>
          </w:p>
        </w:tc>
      </w:tr>
      <w:tr>
        <w:trPr>
          <w:trHeight w:val="216"/>
        </w:trPr>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Wildfire costs</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(169,068)</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(169,068)</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Accretion</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i)</w:t>
            </w:r>
          </w:p>
        </w:tc>
        <w:tc>
          <w:tcPr>
            <w:tcW w:w="1260" w:type="dxa"/>
            <w:vAlign w:val="bottom"/>
          </w:tcPr>
          <w:p>
            <w:pPr>
              <w:jc w:val="right"/>
              <w:spacing w:after="0"/>
              <w:rPr>
                <w:sz w:val="20"/>
                <w:szCs w:val="20"/>
                <w:color w:val="auto"/>
              </w:rPr>
            </w:pPr>
            <w:r>
              <w:rPr>
                <w:rFonts w:ascii="Arial" w:cs="Arial" w:eastAsia="Arial" w:hAnsi="Arial"/>
                <w:sz w:val="18"/>
                <w:szCs w:val="18"/>
                <w:color w:val="auto"/>
              </w:rPr>
              <w:t>(71,040)</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19,137</w:t>
            </w: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(51,903)</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repayment of long-term debt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5,429,602</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5,429,602</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26,895</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26,895</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foreign exchange</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w:t>
            </w:r>
          </w:p>
        </w:tc>
      </w:tr>
      <w:tr>
        <w:trPr>
          <w:trHeight w:val="20"/>
        </w:trPr>
        <w:tc>
          <w:tcPr>
            <w:tcW w:w="4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5,214,980</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19,137</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5,234,117</w:t>
            </w:r>
          </w:p>
        </w:tc>
      </w:tr>
      <w:tr>
        <w:trPr>
          <w:trHeight w:val="216"/>
        </w:trPr>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32,445,896</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296,905</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32,742,801</w:t>
            </w:r>
          </w:p>
        </w:tc>
      </w:tr>
      <w:tr>
        <w:trPr>
          <w:trHeight w:val="216"/>
        </w:trPr>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4,174,832</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4,174,832</w:t>
            </w: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Deferred</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i)</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4,601,201</w:t>
            </w:r>
          </w:p>
        </w:tc>
        <w:tc>
          <w:tcPr>
            <w:tcW w:w="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80,164</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4,681,365</w:t>
            </w:r>
          </w:p>
        </w:tc>
      </w:tr>
      <w:tr>
        <w:trPr>
          <w:trHeight w:val="20"/>
        </w:trPr>
        <w:tc>
          <w:tcPr>
            <w:tcW w:w="4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8,776,033</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80,164</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8,856,197</w:t>
            </w:r>
          </w:p>
        </w:tc>
      </w:tr>
      <w:tr>
        <w:trPr>
          <w:trHeight w:val="216"/>
        </w:trPr>
        <w:tc>
          <w:tcPr>
            <w:tcW w:w="4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comprehensive income for the period</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23,669,863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216,741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23,886,604</w:t>
            </w:r>
          </w:p>
        </w:tc>
      </w:tr>
      <w:tr>
        <w:trPr>
          <w:trHeight w:val="27"/>
        </w:trPr>
        <w:tc>
          <w:tcPr>
            <w:tcW w:w="47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ectPr>
          <w:pgSz w:w="11900" w:h="16838" w:orient="portrait"/>
          <w:cols w:equalWidth="0" w:num="1">
            <w:col w:w="11220"/>
          </w:cols>
          <w:pgMar w:left="240" w:top="57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DATA</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unaudited pro forma combined financial data, which we refer to as the pro forma financial statements, give effect to the acquisition (the “Acquisition”) of Noralta Lodge Ltd. (“Noralta”) to be accounted for under the acquisition method of accounting in accordance with Accounting Standards Codification 805, Business Combinations (“ASC 805”) by Civeo.</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unaudited pro forma combined statement of operations has been prepared to give effect to the Acquisition as if it had been completed on January 1, 2017. The unaudited pro forma combined balance sheet has been prepared to give effect to the Acquisition as if it had been completed on December 31,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 forma financial statements are based on the historical audited and unaudited consolidated financial position and results of operations of Civeo and Noralta. The pro forma financial statements should be read in conjunction with the historical consolidated financial statements and related notes of Noralta included in and incorporated by reference into this Current Report on Form 8-K/A (the “Form 8-K/A”).</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2, 2018, Civeo acquired, directly or indirectly, all of the issued and outstanding shares of Noralta pursuant to the previously announced Share Purchase Agreement dated as of November 26, 2017, and as amended on March 15, 2018 (collectively, the “Purchase Agreement”). As a result, Civeo will account for the Acquisition as an acquisition of Noralta. Accordingly, Noralta’s tangible and identifiable intangible assets acquired and liabilities assumed will be recorded at fair value on April 2, 2018, with the excess of the purchase consideration over the fair value of Noralta’s net assets recorded as goodwill. Valuations of property, plant and equipment and intangible and other assets acquired and liabilities assumed are preliminary as management is still reviewing the characteristics and assumptions related to Noralta’s assets acquired and liabilities assumed. Estimates and assumptions are subject to change upon finalization of these preliminary valuations. The completion of the valuation work could result in significantly different depreciation and amortization expenses and balance sheet classifications.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 forma financial statements were prepared in accordance with Article 11 of SEC Regulation S-X. The pro forma adjustments reflecting completion of the Acquisition are based upon the acquisition method of accounting in accordance with U.S. GAAP, and upon the assumptions set forth in the notes to the pro forma financial statements.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historical financial data has been adjusted to give pro forma effect to events that are (1) directly attributable to the Acquisition, (2) factually supportable, and (3) with respect to the statement of operations, expected to have a continuing impact on the combined results. The pro forma financial statements do not reflect any revenue enhancements, anticipated synergies or dis-synergies, operating efficiencies or cost savings that may be achieved. The fair value adjustments applied to the assets acquired and liabilities assumed reflected in the pro forma financial statements are preliminary and are based on management’s estimates of the fair value and useful lives of the assets acquired and liabilities assumed.</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pro forma adjustments included in this Form 8-K/A are subject to modification as additional information becomes available and as additional analyses are performed depending on changes in interest rates, changes in foreign currency rates, and the final fair value determination of the assets acquired and liabilities assumed. The final allocation of the total purchase accounting will be determined after the completion of thorough analyses to determine the fair value of Noralta’s tangible and identifiable intangible assets acquired and liabilities assumed as of the Acquisition date. Increases or decreases in the fair values of the net assets acquired as compared with the information shown in the pro forma financial statements may change the amount of the total purchase consideration allocated to goodwill and other assets and liabilities, and may impact the combined statement of operations due to adjustments in depreciation and amortization of the adjusted assets or liabilities. Any changes to Noralta’s equity, including results of operations from November 30, 2017 through April 2, 2018, will also change the purchase accounting, which may include the recording of a lower or higher amount of goodwill. The final adjustments may be materially different from the pro forma financial statements presented in this Form 8-K/A.</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pro forma financial statements are not intended to represent or be indicative of the consolidated results of operations or financial position that would have been reported had the Acquisition been completed as of the dates presented, and should not be taken as representative of the future consolidated results of operations or financial position of the combined company following the Acquisition. The actual financial position and results of operations of the combined company following the Acquisition may significantly differ from the pro forma financial statements reflected herein due to a variety of factors.</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pro forma financial statements are based upon available information and certain assumptions that management believes are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20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Historical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Noralta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Transaction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Civeo</w:t>
            </w:r>
          </w:p>
        </w:tc>
        <w:tc>
          <w:tcPr>
            <w:tcW w:w="8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(Notes 2 and 6)</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Adjustments</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161,162</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(161,162)</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132,212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693,833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59,783</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95,963</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91,325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853,912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148,459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258,663</w:t>
            </w:r>
          </w:p>
        </w:tc>
        <w:tc>
          <w:tcPr>
            <w:tcW w:w="1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1,261,034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5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27,812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12,652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4(c)</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(12,347)</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75,629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(7,862)</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277,990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161,162</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(43,451)</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40,799</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377,545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98,692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149,603</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625,840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371,296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(371,296)</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123,622</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(6,149)</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(8,825)</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Preferred equity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52,267</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(3,737)</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(579,113)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(327,678)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434,288</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(106,610)</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held in treasury at cost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(328,213)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(328,213)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480,356</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480,356</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853,912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148,459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258,663</w:t>
            </w:r>
          </w:p>
        </w:tc>
        <w:tc>
          <w:tcPr>
            <w:tcW w:w="1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1,261,034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Historical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Noralta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Transaction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Civeo</w:t>
            </w:r>
          </w:p>
        </w:tc>
        <w:tc>
          <w:tcPr>
            <w:tcW w:w="8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(Notes 2 and 6)</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Adjustments</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371,462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124,931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5(a)</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382,276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124,931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505,902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and other costs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Product costs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12,280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126,443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(13,855)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17,653</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480,247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(97,971)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27,088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(1,519)</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 to third-parties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8,998</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(7,050)</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5(f)</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(105,254)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14,552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income (loss) attributable to Civeo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(105,713)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14,552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1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(91,528)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Preferred share dividend</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(1,936)</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20"/>
              <w:spacing w:after="0" w:line="201" w:lineRule="exact"/>
              <w:rPr>
                <w:sz w:val="20"/>
                <w:szCs w:val="20"/>
                <w:color w:val="auto"/>
              </w:rPr>
            </w:pPr>
            <w:r>
              <w:rPr>
                <w:rFonts w:ascii="Arial" w:cs="Arial" w:eastAsia="Arial" w:hAnsi="Arial"/>
                <w:sz w:val="18"/>
                <w:szCs w:val="18"/>
                <w:color w:val="auto"/>
                <w:w w:val="95"/>
              </w:rPr>
              <w:t>Net income (loss) attributable to Civeo Corporation common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(105,713)</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14,552</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(2,303)</w:t>
            </w:r>
          </w:p>
        </w:tc>
        <w:tc>
          <w:tcPr>
            <w:tcW w:w="1120" w:type="dxa"/>
            <w:vAlign w:val="bottom"/>
          </w:tcPr>
          <w:p>
            <w:pPr>
              <w:spacing w:after="0"/>
              <w:rPr>
                <w:sz w:val="17"/>
                <w:szCs w:val="17"/>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(93,464)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vMerge w:val="restart"/>
          </w:tcPr>
          <w:p>
            <w:pPr>
              <w:ind w:left="480"/>
              <w:spacing w:after="0" w:line="190" w:lineRule="exact"/>
              <w:rPr>
                <w:sz w:val="20"/>
                <w:szCs w:val="20"/>
                <w:color w:val="auto"/>
              </w:rPr>
            </w:pPr>
            <w:r>
              <w:rPr>
                <w:rFonts w:ascii="Arial" w:cs="Arial" w:eastAsia="Arial" w:hAnsi="Arial"/>
                <w:sz w:val="18"/>
                <w:szCs w:val="18"/>
                <w:color w:val="auto"/>
              </w:rPr>
              <w:t>shareholders</w:t>
            </w:r>
          </w:p>
        </w:tc>
        <w:tc>
          <w:tcPr>
            <w:tcW w:w="14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Per Share Data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loss attributable to Civeo Corporation common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loss attributable to Civeo Corporation common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128,365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32,791</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32,791</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Acquisition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2, 2018, Civeo completed its previously announced Acquisition of Noralta. In the Acquisition, Civeo acquired all of the outstanding shares of Noralta in exchange for (i) C$207,726,429 in cash, subject to customary post-closing adjustments for working capital, indebtedness and transaction expenses, of which C$43,459,749 will be held in escrow by Alliance Trust Company (the “Escrow Agent”) to support the sellers’ indemnification obligations and certain obligations of the sellers to compensate Civeo for certain increases to employee compensation costs that may be incurred by Noralta as a result of the recent union certification of certain classes of Noralta employees, (ii) 32,790,868 common shares of Civeo, of which 13,491,100 shares will be held in escrow by the Escrow Agent and released based on certain conditions related to Noralta customer contracts remaining in place and 2,340,824 shares will be held in escrow by the Escrow Agent and released based on Noralta employee compensation cost increases described above, and (iii) 9,679 shares of non-voting Class A Series 1 preferred shares of Civeo with an initial liquidation preference of $96,790,000, of which 692 shares will be held in escrow by the Escrow Agent and released based on Noralta employee compensation cost increases described above.</w:t>
      </w:r>
    </w:p>
    <w:p>
      <w:pPr>
        <w:spacing w:after="0" w:line="37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unaudited pro forma combined financial statements are based on Civeo’s and Noralta’s historical consolidated financial statements as adjusted to give pro forma effect to the Acquisition. Civeo’s fiscal year-end is December 31, 2017, whereas Noralta’s fiscal year-end is May 31, 2017. The unaudited pro forma combined financial statements as at December 31, 2017 and for the year ended December 31, 2017 have been prepared using calculated historical results of Noralta (the “historical adjusted results”) that end within 93 days or less of the respective pro forma period. In order to calculate the historical adjusted results for Noralta in the unaudited pro forma combined statement of operations for the year ended December 31, 2017, the six months ended November 30, 2016 have been deducted from the twelve months ended May 31, 2017 and this calculated six month period has been added to the six months ended November 30, 2017. Noralta’s historical adjusted balance sheet included in the pro forma financial statements is as of November 30, 2017.</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historical financial information of Noralta is reported pursuant to ASPE and presented in Canadian dollars. The historical financial information of Civeo is reported pursuant to U.S. GAAP and presented in U.S. dollars. The historical adjusted results used in the preparation of the pro forma financial statements includes adjustments and reclassifications to convert the balance sheet and statement of operations of Noralta from ASPE to U.S. GAAP and to translate the financial statements from Canadian dollars to U.S. dollars (see Note 6).</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historical financial data has been adjusted to give pro forma effect to events that are (i) directly attributable to the Acquisition, (ii) factually supportable, and (iii) with respect to the unaudited pro forma combined statement of operations, expected to have a continuing impact on the combined results. The pro forma adjustments are preliminary and based on assumptions and estimates of the fair value and useful lives of the assets acquired and liabilities assumed, and have been prepared by Civeo management to illustrate the estimated effect of the Acquisition and certain other adjustments. The unaudited pro forma combined statement of operations for the year ended December 31, 2017 gives effect to the acquisition of Noralta as if it had occurred on January 1, 2017. The unaudited pro forma combined balance sheet as of December 31, 2017 gives effect to the acquisition of Noralta as if it has occurred on December 31, 2017.</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April 2, 2018, the combined company owns 100% of Noralta. Subsequent to April 2, 2018, any transactions occurring between Civeo and Noralta are considered intercompany transactions and will be eliminated. Adjustments to reflect the elimination of balances and transactions between Civeo and Noralta as of and for the periods presented have been made in the pro forma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 forma financial statements were prepared in accordance with Article 11 of SEC Regulation S-X. The accounting policies under U.S. GAAP used in the preparation of the pro forma financial statements are those set forth in Civeo’s audited financial statements included in its Annual Report on Form 10-K for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The accounting policies of Noralta under ASPE are as described in Note 2 to its historical consolidated financial statements which have been incorporated by reference in this Form 8-K/A. The conversion of the Noralta historical consolidated financial statements from ASPE to U.S. GAAP and the translation from Canadian dollar amounts into U.S. dollars is discussed further in Note 6 below.</w:t>
      </w:r>
    </w:p>
    <w:p>
      <w:pPr>
        <w:spacing w:after="0" w:line="17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Purchase Consideration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total purchase consideration received by Noralta shareholders was based on the fair value of the Common Shares and Preferred Shares issued on April 2, 2018. The estimated purchase consideration below reflects the fair value of Common Shares issued, which is based on the closing price on March 29, 2018 of Civeo Common Shares of $3.77 per share. The estimated purchase consideration below reflects the estimated fair value of Preferred Shares issued, which is valued at 54% of the initial liquidation preference of the Preferred Shares of $96.79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purchase consideration and estimated fair value of Noralta’s net assets acquired as of the Acquisition date is presented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U.S. Dollars, except per share data)</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Common Share price as of March 29, 2018</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 consideration</w:t>
            </w:r>
          </w:p>
        </w:tc>
        <w:tc>
          <w:tcPr>
            <w:tcW w:w="10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Cash consideration</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Share consideration</w:t>
            </w: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Estimated purchase consideration</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acquisition method of accounting, Civeo will record the Noralta assets acquired and liabilities assumed at their respective fair value at the Acquisition date. The pro forma adjustments are preliminary based on estimates of the fair value and useful lives of the assets as of February 28, 2018, and have been prepared by Civeo management to illustrate the estimated effect of the Acquisition. The purchase accounting is dependent upon certain valuation and other studies that have not yet been completed. Accordingly, the preliminary purchase accounting is subject to further adjustments as additional information becomes available and as additional analyses and final valuations are conducted. The final valuations could differ materially from the preliminary valuations presented below and, as such, no assurances can be provided regarding the preliminary purchase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The following table summarizes the preliminary allocation of the purchase consideration to the identifiable assets acquired and liabilities assumed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Noralta, with the excess of the purchase consideration issued over the fair value of Noralta’s net assets recorded as goodwill:</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U.S. Dollars)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Calculation of goodwill:</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60"/>
              <w:spacing w:after="0"/>
              <w:rPr>
                <w:sz w:val="20"/>
                <w:szCs w:val="20"/>
                <w:color w:val="auto"/>
              </w:rPr>
            </w:pPr>
            <w:r>
              <w:rPr>
                <w:rFonts w:ascii="Arial" w:cs="Arial" w:eastAsia="Arial" w:hAnsi="Arial"/>
                <w:sz w:val="18"/>
                <w:szCs w:val="18"/>
                <w:color w:val="auto"/>
              </w:rPr>
              <w:t>Estimated purchase consideration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Historical book value of net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Plus: Liabilities not assumed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Current maturities of long-term debt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 net of current maturities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Bank indebtedness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Promissory notes payable</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adjustments to assets acquired and liabilities assumed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Other current assets - fair value of right of return of cash consideration in escrow</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Identifiable intangible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(40,799)</w:t>
            </w:r>
          </w:p>
        </w:tc>
        <w:tc>
          <w:tcPr>
            <w:tcW w:w="0" w:type="dxa"/>
            <w:vAlign w:val="bottom"/>
          </w:tcPr>
          <w:p>
            <w:pPr>
              <w:spacing w:after="0"/>
              <w:rPr>
                <w:sz w:val="1"/>
                <w:szCs w:val="1"/>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w w:val="96"/>
              </w:rPr>
              <w:t>Preferred equity - fair value of right of return of preferred share consideration in escrow</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Additional paid-in capital - fair value of right of return of common share consideration in escrow</w:t>
            </w: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0"/>
              </w:rPr>
              <w:t>Estimated Useful</w:t>
            </w: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700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U.S. dollars, except estimated useful lives)</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Life</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Identifiable intangible assets</w:t>
            </w: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60"/>
              <w:spacing w:after="0"/>
              <w:rPr>
                <w:sz w:val="20"/>
                <w:szCs w:val="20"/>
                <w:color w:val="auto"/>
              </w:rPr>
            </w:pPr>
            <w:r>
              <w:rPr>
                <w:rFonts w:ascii="Arial" w:cs="Arial" w:eastAsia="Arial" w:hAnsi="Arial"/>
                <w:sz w:val="18"/>
                <w:szCs w:val="18"/>
                <w:color w:val="auto"/>
              </w:rPr>
              <w:t>Noralta trade name</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contracts</w:t>
            </w: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Notes to Unaudited Pro Forma Combined Balance Sheet</w:t>
      </w:r>
    </w:p>
    <w:p>
      <w:pPr>
        <w:spacing w:after="0" w:line="229" w:lineRule="exact"/>
        <w:rPr>
          <w:rFonts w:ascii="Arial" w:cs="Arial" w:eastAsia="Arial" w:hAnsi="Arial"/>
          <w:sz w:val="18"/>
          <w:szCs w:val="18"/>
          <w:b w:val="1"/>
          <w:bCs w:val="1"/>
          <w:color w:val="auto"/>
        </w:rPr>
      </w:pPr>
    </w:p>
    <w:p>
      <w:pPr>
        <w:jc w:val="both"/>
        <w:ind w:left="1300" w:right="2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Simultaneous with the closing of the Acquisition, Civeo drew on its existing revolving credit facility (the “credit facility”) to finance the cash component of the purchase consideration. Adjustment represents the additional cash used and debt financing incurred by Civeo to fund the estimated purchase consideration.</w:t>
      </w:r>
    </w:p>
    <w:p>
      <w:pPr>
        <w:spacing w:after="0" w:line="181" w:lineRule="exact"/>
        <w:rPr>
          <w:rFonts w:ascii="Arial" w:cs="Arial" w:eastAsia="Arial" w:hAnsi="Arial"/>
          <w:sz w:val="18"/>
          <w:szCs w:val="18"/>
          <w:color w:val="auto"/>
        </w:rPr>
      </w:pPr>
    </w:p>
    <w:p>
      <w:pPr>
        <w:ind w:left="1300" w:right="28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the net adjustment to Noralta assets acquired and liabilities assumed based on the estimated preliminary fair value of the assets acquired and liabilities assumed as discussed in Note 3.</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the elimination of accounts receivable and accounts payable in connection with historical services provided by Civeo to Noralta.</w:t>
      </w:r>
    </w:p>
    <w:p>
      <w:pPr>
        <w:spacing w:after="0" w:line="170" w:lineRule="exact"/>
        <w:rPr>
          <w:rFonts w:ascii="Arial" w:cs="Arial" w:eastAsia="Arial" w:hAnsi="Arial"/>
          <w:sz w:val="18"/>
          <w:szCs w:val="18"/>
          <w:color w:val="auto"/>
        </w:rPr>
      </w:pPr>
    </w:p>
    <w:p>
      <w:pPr>
        <w:jc w:val="both"/>
        <w:ind w:left="1300" w:right="2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an estimate of the future transaction related costs directly attributable to the Acquisition, including advisory and legal fees that are recorded as an adjustment to the unaudited pro forma combined balance sheet. These amounts will be expensed as incurred in the future and are not reflected in the unaudited pro forma combined statement of operations.</w:t>
      </w:r>
    </w:p>
    <w:p>
      <w:pPr>
        <w:spacing w:after="0" w:line="181" w:lineRule="exact"/>
        <w:rPr>
          <w:rFonts w:ascii="Arial" w:cs="Arial" w:eastAsia="Arial" w:hAnsi="Arial"/>
          <w:sz w:val="18"/>
          <w:szCs w:val="18"/>
          <w:color w:val="auto"/>
        </w:rPr>
      </w:pPr>
    </w:p>
    <w:p>
      <w:pPr>
        <w:jc w:val="both"/>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 the elimination of historical share capital and liabilities of Noralta not assumed upon completion of the Acquisition. Based on the terms of the Purchase Agreement, certain liabilities of Noralta were not assumed by Civeo. The pro forma financial statements have been adjusted to remove such liabilities.</w:t>
      </w:r>
    </w:p>
    <w:p>
      <w:pPr>
        <w:spacing w:after="0" w:line="181" w:lineRule="exact"/>
        <w:rPr>
          <w:rFonts w:ascii="Arial" w:cs="Arial" w:eastAsia="Arial" w:hAnsi="Arial"/>
          <w:sz w:val="18"/>
          <w:szCs w:val="18"/>
          <w:color w:val="auto"/>
        </w:rPr>
      </w:pPr>
    </w:p>
    <w:p>
      <w:pPr>
        <w:ind w:left="1300" w:right="24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the net adjustment to deferred tax liabilities resulting from the preliminary purchase accounting adjustments to assets acquired utilizing the Canadian Federal statutory tax rate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Notes to Unaudited Pro Forma Combined Statement of Operations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elimination of revenue and expenses in connection with historical services provided by Civeo to Noralta.</w:t>
      </w:r>
    </w:p>
    <w:p>
      <w:pPr>
        <w:spacing w:after="0" w:line="225" w:lineRule="exact"/>
        <w:rPr>
          <w:rFonts w:ascii="Arial" w:cs="Arial" w:eastAsia="Arial" w:hAnsi="Arial"/>
          <w:sz w:val="18"/>
          <w:szCs w:val="18"/>
          <w:color w:val="auto"/>
        </w:rPr>
      </w:pPr>
    </w:p>
    <w:p>
      <w:pPr>
        <w:jc w:val="both"/>
        <w:ind w:left="1300" w:right="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elimination of transaction related expenses that were directly attributable to the Acquisition, including advisory and legal fees. For pro forma purposes, these expenditures have been removed from the unaudited pro forma combined statement of operations, as they are non-recurring transaction related expenses.</w:t>
      </w:r>
    </w:p>
    <w:p>
      <w:pPr>
        <w:spacing w:after="0" w:line="181" w:lineRule="exact"/>
        <w:rPr>
          <w:rFonts w:ascii="Arial" w:cs="Arial" w:eastAsia="Arial" w:hAnsi="Arial"/>
          <w:sz w:val="18"/>
          <w:szCs w:val="18"/>
          <w:color w:val="auto"/>
        </w:rPr>
      </w:pPr>
    </w:p>
    <w:p>
      <w:pPr>
        <w:jc w:val="both"/>
        <w:ind w:left="1300" w:right="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elimination of Noralta’s historical depreciation and amortization expense, and the recognition of depreciation and amortization expense based on the fair value of the assets acquired (see Note 4 (b)) which will be amortized over the remaining useful life of the asset using Civeo’s useful life assumption for the respective asset classes.</w:t>
      </w:r>
    </w:p>
    <w:p>
      <w:pPr>
        <w:spacing w:after="0" w:line="181" w:lineRule="exact"/>
        <w:rPr>
          <w:rFonts w:ascii="Arial" w:cs="Arial" w:eastAsia="Arial" w:hAnsi="Arial"/>
          <w:sz w:val="18"/>
          <w:szCs w:val="18"/>
          <w:color w:val="auto"/>
        </w:rPr>
      </w:pPr>
    </w:p>
    <w:p>
      <w:pPr>
        <w:ind w:left="1300" w:right="3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elimination of Noralta’s historical interest expense and gain on extinguishment of debt. Based on the terms of the asset purchase agreement, none of Noralta’s long-term debt was assumed by Civeo in the Acquisition.</w:t>
      </w:r>
    </w:p>
    <w:p>
      <w:pPr>
        <w:spacing w:after="0" w:line="170" w:lineRule="exact"/>
        <w:rPr>
          <w:rFonts w:ascii="Arial" w:cs="Arial" w:eastAsia="Arial" w:hAnsi="Arial"/>
          <w:sz w:val="18"/>
          <w:szCs w:val="18"/>
          <w:color w:val="auto"/>
        </w:rPr>
      </w:pPr>
    </w:p>
    <w:p>
      <w:pPr>
        <w:jc w:val="both"/>
        <w:ind w:left="1300" w:right="300" w:hanging="644"/>
        <w:spacing w:after="0" w:line="29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Represents the adjustment to record interest expense related to additional financing required to fund the cash component of the purchase consideration. Simultaneous with the closing of the Acquisition, Civeo drew on its credit facility to finance the cash component of the purchase consideration. To reflect this additional financing, there is an adjustment to include additional interest expense calculated using a rate of 5.3% on the additional draw against the credit facility, less a reduction related to the undrawn commitment fee contained within the credit facility calculated using a rate of 0.79%. Each 0.125% change in assumed interest rates for Civeo's credit facility would change pro forma interest expense by approximately $0.2 million for the year ended December 31, 2017.</w:t>
      </w:r>
    </w:p>
    <w:p>
      <w:pPr>
        <w:spacing w:after="0" w:line="164" w:lineRule="exact"/>
        <w:rPr>
          <w:rFonts w:ascii="Arial" w:cs="Arial" w:eastAsia="Arial" w:hAnsi="Arial"/>
          <w:sz w:val="16"/>
          <w:szCs w:val="16"/>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tax effect of preliminary purchase accounting adjustments utilizing the Canadian statutory tax rate of 27%.</w:t>
      </w:r>
    </w:p>
    <w:p>
      <w:pPr>
        <w:spacing w:after="0" w:line="225" w:lineRule="exact"/>
        <w:rPr>
          <w:rFonts w:ascii="Arial" w:cs="Arial" w:eastAsia="Arial" w:hAnsi="Arial"/>
          <w:sz w:val="18"/>
          <w:szCs w:val="18"/>
          <w:color w:val="auto"/>
        </w:rPr>
      </w:pPr>
    </w:p>
    <w:p>
      <w:pPr>
        <w:jc w:val="both"/>
        <w:ind w:left="1300" w:right="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an adjustment to the weighted average shares outstanding for Civeo to illustrate the number of Common Shares that are expected to be issued to consummate the Acquisition and assumes no conversion of the Preferred Shares as such conversion would be anti-dilutive.</w:t>
      </w:r>
    </w:p>
    <w:p>
      <w:pPr>
        <w:spacing w:after="0" w:line="181"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adjustment to record dividends related to the Preferred Shares calculated using the 2% annual dividend rate and the initial liquidation preference.</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Noralta Historical Financial Statements to Conform to U.S. GAAP</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Noralta’s historical financial statements have been prepared in accordance with ASPE, which differs in certain material respects from U.S. GAAP. In order to prepare pro forma financial statements, Noralta’s historical financial statements have been adjusted to reflect Noralta’s consolidated statements of operations and statement of financial position on a U.S.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NORALTA LODGE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HISTORICAL ADJUSTED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U.S. Dollars ("USD") and Canadian Dollars ("CAD")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ASPE to 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Historical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w w:val="94"/>
              </w:rPr>
              <w:t>Reclassification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GAAP</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Conversion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Noralta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Noralta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(Note 6(a))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Noralta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(Note 6(c))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CAD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CAD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CAD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CAD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USD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6(b)i</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31,541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and other receivables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6(b)i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Prepaid expenses and deposits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Advances to shareholder</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6(b)ii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(3,551)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37,582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158,491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(4,901)</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6(b)iii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153,751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199,785</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(8,452)</w:t>
            </w:r>
          </w:p>
        </w:tc>
        <w:tc>
          <w:tcPr>
            <w:tcW w:w="8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191,333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indebtedness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(17,091)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6(b)i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under capital lease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Obligations under capital lease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Promissory note payable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Future income taxes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6(b)iii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(5,491)</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6(b)iii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(2,866)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127,195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478,527</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6(b)iv</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478,527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shares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6(b)iv</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Contributed surplus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(7,924)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52,209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6(b)i,</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6(b)ii,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52,209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(474,522)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6(b)iii,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(422,313)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(327,678)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6(b)iv</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(484,113)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(414,389)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199,785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(8,452)</w:t>
            </w:r>
          </w:p>
        </w:tc>
        <w:tc>
          <w:tcPr>
            <w:tcW w:w="8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148,459</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38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NORALTA LODGE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HISTORICAL ADJUSTED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TWELVE MONTHS ENDED NOVEMBER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U.S. Dollars ("USD") and Canadian Dollars ("CAD")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ASPE to US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Historical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Reclassification</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GAAP</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Conversion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Noralta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Noralta</w:t>
            </w:r>
          </w:p>
        </w:tc>
        <w:tc>
          <w:tcPr>
            <w:tcW w:w="1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(Note 6(a))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3"/>
              </w:rPr>
              <w:t>Notes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Noralta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(Note 6(c))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CAD</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CAD</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CAD</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CAD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USD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159,440</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3,308</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6(b)i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162,748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and other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84,325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6(b)i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Wages and benefits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31,202</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(31,202)</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Groceries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25,067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(25,067)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Telephone and utilities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(11,439)</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Contracted Services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(3,833)</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Aircraft and travel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Repairs and maintenance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Lodge supplies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3,308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(17,881)</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(18,426)</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6(b)iii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Reorganization cost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Mobilization and demobilization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3,690</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780" w:type="dxa"/>
            <w:vAlign w:val="bottom"/>
          </w:tcPr>
          <w:p>
            <w:pPr>
              <w:jc w:val="center"/>
              <w:spacing w:after="0"/>
              <w:rPr>
                <w:sz w:val="20"/>
                <w:szCs w:val="20"/>
                <w:color w:val="auto"/>
              </w:rPr>
            </w:pPr>
            <w:r>
              <w:rPr>
                <w:rFonts w:ascii="Arial" w:cs="Arial" w:eastAsia="Arial" w:hAnsi="Arial"/>
                <w:sz w:val="18"/>
                <w:szCs w:val="18"/>
                <w:color w:val="auto"/>
              </w:rPr>
              <w:t>6(b)iii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(11,721)</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 expense to third-parties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(11,721)</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Wildfire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Insurance proceeds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(2,932)</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Gain on repayment of long-term debt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property and equipment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Loss on foreign exchange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(11,721)</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(8,452)</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Future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780" w:type="dxa"/>
            <w:vAlign w:val="bottom"/>
          </w:tcPr>
          <w:p>
            <w:pPr>
              <w:jc w:val="center"/>
              <w:spacing w:after="0"/>
              <w:rPr>
                <w:sz w:val="20"/>
                <w:szCs w:val="20"/>
                <w:color w:val="auto"/>
              </w:rPr>
            </w:pPr>
            <w:r>
              <w:rPr>
                <w:rFonts w:ascii="Arial" w:cs="Arial" w:eastAsia="Arial" w:hAnsi="Arial"/>
                <w:sz w:val="18"/>
                <w:szCs w:val="18"/>
                <w:color w:val="auto"/>
              </w:rPr>
              <w:t>6(b)iii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Noralta</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18,958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5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ind w:left="386" w:hanging="386"/>
        <w:spacing w:after="0" w:line="277" w:lineRule="auto"/>
        <w:tabs>
          <w:tab w:leader="none" w:pos="3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reclassifications of historical Noralta financial statement line items to conform to the expected financial statement line items of the combined company following the Acquisition.</w:t>
      </w:r>
    </w:p>
    <w:p>
      <w:pPr>
        <w:spacing w:after="0" w:line="170" w:lineRule="exact"/>
        <w:rPr>
          <w:rFonts w:ascii="Arial" w:cs="Arial" w:eastAsia="Arial" w:hAnsi="Arial"/>
          <w:sz w:val="18"/>
          <w:szCs w:val="18"/>
          <w:color w:val="auto"/>
        </w:rPr>
      </w:pPr>
    </w:p>
    <w:p>
      <w:pPr>
        <w:ind w:left="386" w:hanging="386"/>
        <w:spacing w:after="0" w:line="308" w:lineRule="auto"/>
        <w:tabs>
          <w:tab w:leader="none" w:pos="38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adjustments to illustrate the impact of applying U.S. GAAP to Noralta’s historical financial information. Previously, Noralta prepared its historical financial information in accordance with ASPE. An explanation of the adjustments that were made are as follows:</w:t>
      </w:r>
    </w:p>
    <w:p>
      <w:pPr>
        <w:spacing w:after="0" w:line="146" w:lineRule="exact"/>
        <w:rPr>
          <w:rFonts w:ascii="Arial" w:cs="Arial" w:eastAsia="Arial" w:hAnsi="Arial"/>
          <w:sz w:val="17"/>
          <w:szCs w:val="17"/>
          <w:color w:val="auto"/>
        </w:rPr>
      </w:pPr>
    </w:p>
    <w:p>
      <w:pPr>
        <w:jc w:val="both"/>
        <w:ind w:left="806" w:right="140" w:hanging="442"/>
        <w:spacing w:after="0" w:line="302" w:lineRule="auto"/>
        <w:tabs>
          <w:tab w:leader="none" w:pos="806" w:val="left"/>
        </w:tabs>
        <w:numPr>
          <w:ilvl w:val="2"/>
          <w:numId w:val="24"/>
        </w:numPr>
        <w:rPr>
          <w:rFonts w:ascii="Arial" w:cs="Arial" w:eastAsia="Arial" w:hAnsi="Arial"/>
          <w:sz w:val="16"/>
          <w:szCs w:val="16"/>
          <w:color w:val="auto"/>
        </w:rPr>
      </w:pPr>
      <w:r>
        <w:rPr>
          <w:rFonts w:ascii="Arial" w:cs="Arial" w:eastAsia="Arial" w:hAnsi="Arial"/>
          <w:sz w:val="16"/>
          <w:szCs w:val="16"/>
          <w:color w:val="auto"/>
        </w:rPr>
        <w:t>U.S. GAAP requires consolidation decisions first be made under the Variable Interest Entity (“VIE”) model. ASPE focuses on the concept of control in determining whether a parent-subsidiary relationship exists. It was determined that certain limited partnership arrangements required consolidation under the VIE model because Noralta was the primary beneficiary and had the obligation to absorb losses and right to receive benefits. Accordingly, this adjustment reflects the impact of consolidation of these arrangements.</w:t>
      </w:r>
    </w:p>
    <w:p>
      <w:pPr>
        <w:spacing w:after="0" w:line="154" w:lineRule="exact"/>
        <w:rPr>
          <w:rFonts w:ascii="Arial" w:cs="Arial" w:eastAsia="Arial" w:hAnsi="Arial"/>
          <w:sz w:val="16"/>
          <w:szCs w:val="16"/>
          <w:color w:val="auto"/>
        </w:rPr>
      </w:pPr>
    </w:p>
    <w:p>
      <w:pPr>
        <w:jc w:val="both"/>
        <w:ind w:left="846" w:right="140" w:hanging="482"/>
        <w:spacing w:after="0" w:line="264" w:lineRule="auto"/>
        <w:tabs>
          <w:tab w:leader="none" w:pos="846" w:val="left"/>
        </w:tabs>
        <w:numPr>
          <w:ilvl w:val="2"/>
          <w:numId w:val="24"/>
        </w:numPr>
        <w:rPr>
          <w:rFonts w:ascii="Arial" w:cs="Arial" w:eastAsia="Arial" w:hAnsi="Arial"/>
          <w:sz w:val="18"/>
          <w:szCs w:val="18"/>
          <w:color w:val="auto"/>
        </w:rPr>
      </w:pPr>
      <w:r>
        <w:rPr>
          <w:rFonts w:ascii="Arial" w:cs="Arial" w:eastAsia="Arial" w:hAnsi="Arial"/>
          <w:sz w:val="18"/>
          <w:szCs w:val="18"/>
          <w:color w:val="auto"/>
        </w:rPr>
        <w:t>U.S. GAAP requires that advances to a shareholder be classified as a reduction in equity to properly reflect the nature of the advances and attendant circumstances giving rise to the transactions. ASPE does not require such presentation. This adjustment reflects the reclassification of shareholder advances to equity.</w:t>
      </w:r>
    </w:p>
    <w:p>
      <w:pPr>
        <w:spacing w:after="0" w:line="181" w:lineRule="exact"/>
        <w:rPr>
          <w:rFonts w:ascii="Arial" w:cs="Arial" w:eastAsia="Arial" w:hAnsi="Arial"/>
          <w:sz w:val="18"/>
          <w:szCs w:val="18"/>
          <w:color w:val="auto"/>
        </w:rPr>
      </w:pPr>
    </w:p>
    <w:p>
      <w:pPr>
        <w:jc w:val="both"/>
        <w:ind w:left="886" w:right="140" w:hanging="522"/>
        <w:spacing w:after="0" w:line="259" w:lineRule="auto"/>
        <w:tabs>
          <w:tab w:leader="none" w:pos="886" w:val="left"/>
        </w:tabs>
        <w:numPr>
          <w:ilvl w:val="2"/>
          <w:numId w:val="24"/>
        </w:numPr>
        <w:rPr>
          <w:rFonts w:ascii="Arial" w:cs="Arial" w:eastAsia="Arial" w:hAnsi="Arial"/>
          <w:sz w:val="18"/>
          <w:szCs w:val="18"/>
          <w:color w:val="auto"/>
        </w:rPr>
      </w:pPr>
      <w:r>
        <w:rPr>
          <w:rFonts w:ascii="Arial" w:cs="Arial" w:eastAsia="Arial" w:hAnsi="Arial"/>
          <w:sz w:val="18"/>
          <w:szCs w:val="18"/>
          <w:color w:val="auto"/>
        </w:rPr>
        <w:t>U.S. GAAP requires the use of a credit-adjusted risk-free rate for discounting when an expected present-value technique is used for estimating the fair value of asset retirement obligations. Under ASPE, a pre-tax discount is used to reflect current market assessments of the time value of money and the risks specific to the liability. This adjustment reflects the use of the credit-adjusted risk-free rate on Noralta’s asset retirement obligations.</w:t>
      </w:r>
    </w:p>
    <w:p>
      <w:pPr>
        <w:spacing w:after="0" w:line="186" w:lineRule="exact"/>
        <w:rPr>
          <w:rFonts w:ascii="Arial" w:cs="Arial" w:eastAsia="Arial" w:hAnsi="Arial"/>
          <w:sz w:val="18"/>
          <w:szCs w:val="18"/>
          <w:color w:val="auto"/>
        </w:rPr>
      </w:pPr>
    </w:p>
    <w:p>
      <w:pPr>
        <w:jc w:val="both"/>
        <w:ind w:left="886" w:right="140" w:hanging="522"/>
        <w:spacing w:after="0" w:line="257" w:lineRule="auto"/>
        <w:tabs>
          <w:tab w:leader="none" w:pos="886"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Noralta’s Class G and H preferred shares are redeemable at the option of the holder and have no mandatory redemption feature. Because they were issued as part of a tax planning arrangement they were presented as equity under ASPE. Under U.S. GAAP, the preferred shares are presented as mezzanine equity at redemption value to reflect their debt and equity characteristics. Accordingly, this adjustment reflects a balance sheet reclassification of preferred shares within shareholders’ equity to mezzanine equity at the redemption value, with the difference charged to retained earnings.</w:t>
      </w:r>
    </w:p>
    <w:p>
      <w:pPr>
        <w:spacing w:after="0" w:line="188" w:lineRule="exact"/>
        <w:rPr>
          <w:rFonts w:ascii="Arial" w:cs="Arial" w:eastAsia="Arial" w:hAnsi="Arial"/>
          <w:sz w:val="18"/>
          <w:szCs w:val="18"/>
          <w:color w:val="auto"/>
        </w:rPr>
      </w:pPr>
    </w:p>
    <w:p>
      <w:pPr>
        <w:ind w:left="566" w:right="140" w:hanging="526"/>
        <w:spacing w:after="0" w:line="342" w:lineRule="auto"/>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adjusted historical results have been translated from Canadian Dollars to U.S. dollars using the exchange rates derived from the Bank of Canada of 0.78 as of November 30, 2017, and the average exchange rate of 0.76 during the twelve months ended November 30, 2017.</w:t>
      </w:r>
    </w:p>
    <w:sectPr>
      <w:pgSz w:w="11900" w:h="16838" w:orient="portrait"/>
      <w:cols w:equalWidth="0" w:num="1">
        <w:col w:w="10786"/>
      </w:cols>
      <w:pgMar w:left="694" w:top="5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Roman"/>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5"/>
      <w:numFmt w:val="bullet"/>
      <w:start w:val="1"/>
    </w:lvl>
  </w:abstractNum>
  <w:abstractNum w:abstractNumId="6">
    <w:nsid w:val="41A7C4C9"/>
    <w:multiLevelType w:val="hybridMultilevel"/>
    <w:lvl w:ilvl="0">
      <w:lvlJc w:val="left"/>
      <w:lvlText w:val="6"/>
      <w:numFmt w:val="bullet"/>
      <w:start w:val="1"/>
    </w:lvl>
  </w:abstractNum>
  <w:abstractNum w:abstractNumId="7">
    <w:nsid w:val="6B68079A"/>
    <w:multiLevelType w:val="hybridMultilevel"/>
    <w:lvl w:ilvl="0">
      <w:lvlJc w:val="left"/>
      <w:lvlText w:val="7"/>
      <w:numFmt w:val="bullet"/>
      <w:start w:val="1"/>
    </w:lvl>
  </w:abstractNum>
  <w:abstractNum w:abstractNumId="8">
    <w:nsid w:val="4E6AFB66"/>
    <w:multiLevelType w:val="hybridMultilevel"/>
    <w:lvl w:ilvl="0">
      <w:lvlJc w:val="left"/>
      <w:lvlText w:val="8"/>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9"/>
      <w:numFmt w:val="bullet"/>
      <w:start w:val="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1"/>
      <w:numFmt w:val="decimal"/>
      <w:start w:val="17"/>
    </w:lvl>
  </w:abstractNum>
  <w:abstractNum w:abstractNumId="16">
    <w:nsid w:val="436C6125"/>
    <w:multiLevelType w:val="hybridMultilevel"/>
    <w:lvl w:ilvl="0">
      <w:lvlJc w:val="left"/>
      <w:lvlText w:val="%1"/>
      <w:numFmt w:val="decimal"/>
      <w:start w:val="21"/>
    </w:lvl>
  </w:abstractNum>
  <w:abstractNum w:abstractNumId="17">
    <w:nsid w:val="628C895D"/>
    <w:multiLevelType w:val="hybridMultilevel"/>
    <w:lvl w:ilvl="0">
      <w:lvlJc w:val="left"/>
      <w:lvlText w:val="%1"/>
      <w:numFmt w:val="decimal"/>
      <w:start w:val="23"/>
    </w:lvl>
    <w:lvl w:ilvl="1">
      <w:lvlJc w:val="left"/>
      <w:lvlText w:val="%2)"/>
      <w:numFmt w:val="lowerRoman"/>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3"/>
    </w:lvl>
  </w:abstractNum>
  <w:abstractNum w:abstractNumId="21">
    <w:nsid w:val="2D1D5AE9"/>
    <w:multiLevelType w:val="hybridMultilevel"/>
    <w:lvl w:ilvl="0">
      <w:lvlJc w:val="left"/>
      <w:lvlText w:val="%1."/>
      <w:numFmt w:val="decimal"/>
      <w:start w:val="4"/>
    </w:lvl>
    <w:lvl w:ilvl="1">
      <w:lvlJc w:val="left"/>
      <w:lvlText w:val="(%2)"/>
      <w:numFmt w:val="lowerLetter"/>
      <w:start w:val="1"/>
    </w:lvl>
  </w:abstractNum>
  <w:abstractNum w:abstractNumId="22">
    <w:nsid w:val="6763845E"/>
    <w:multiLevelType w:val="hybridMultilevel"/>
    <w:lvl w:ilvl="0">
      <w:lvlJc w:val="left"/>
      <w:lvlText w:val="%1."/>
      <w:numFmt w:val="decimal"/>
      <w:start w:val="5"/>
    </w:lvl>
    <w:lvl w:ilvl="1">
      <w:lvlJc w:val="left"/>
      <w:lvlText w:val="(%2)"/>
      <w:numFmt w:val="lowerLetter"/>
      <w:start w:val="1"/>
    </w:lvl>
  </w:abstractNum>
  <w:abstractNum w:abstractNumId="23">
    <w:nsid w:val="75A2A8D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13" Type="http://schemas.openxmlformats.org/officeDocument/2006/relationships/hyperlink" Target="http://www.sec.gov/Archives/edgar/data/1590584/000119312518029739/d472403ddefm14a.htm#toc472403_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2019-12-28T23:29:14Z</dcterms:created>
  <dcterms:modified xsi:type="dcterms:W3CDTF">2019-12-28T23:29:14Z</dcterms:modified>
</cp:coreProperties>
</file>