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UNITED STATES</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5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45"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quarterly period ended March 31, 2026</w:t>
      </w:r>
    </w:p>
    <w:p>
      <w:pPr>
        <w:spacing w:after="0" w:line="6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OR</w:t>
      </w:r>
    </w:p>
    <w:p>
      <w:pPr>
        <w:spacing w:after="0" w:line="106" w:lineRule="exact"/>
        <w:rPr>
          <w:sz w:val="24"/>
          <w:szCs w:val="24"/>
          <w:color w:val="auto"/>
        </w:rPr>
      </w:pPr>
    </w:p>
    <w:p>
      <w:pPr>
        <w:ind w:left="1280" w:hanging="786"/>
        <w:spacing w:after="0"/>
        <w:tabs>
          <w:tab w:leader="none" w:pos="12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50"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For the transition period from _________________________ to _________________________</w:t>
      </w:r>
    </w:p>
    <w:p>
      <w:pPr>
        <w:spacing w:after="0" w:line="1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001-36246</w:t>
      </w:r>
    </w:p>
    <w:p>
      <w:pPr>
        <w:spacing w:after="0" w:line="1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2939415</wp:posOffset>
            </wp:positionH>
            <wp:positionV relativeFrom="paragraph">
              <wp:posOffset>41275</wp:posOffset>
            </wp:positionV>
            <wp:extent cx="1363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43"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British Columbia, Canada</w:t>
            </w:r>
          </w:p>
        </w:tc>
        <w:tc>
          <w:tcPr>
            <w:tcW w:w="1100" w:type="dxa"/>
            <w:vAlign w:val="bottom"/>
          </w:tcPr>
          <w:p>
            <w:pPr>
              <w:spacing w:after="0"/>
              <w:rPr>
                <w:sz w:val="17"/>
                <w:szCs w:val="17"/>
                <w:color w:val="auto"/>
              </w:rPr>
            </w:pPr>
          </w:p>
        </w:tc>
        <w:tc>
          <w:tcPr>
            <w:tcW w:w="4240" w:type="dxa"/>
            <w:vAlign w:val="bottom"/>
            <w:gridSpan w:val="5"/>
          </w:tcPr>
          <w:p>
            <w:pPr>
              <w:jc w:val="right"/>
              <w:ind w:right="240"/>
              <w:spacing w:after="0"/>
              <w:rPr>
                <w:sz w:val="20"/>
                <w:szCs w:val="20"/>
                <w:color w:val="auto"/>
              </w:rPr>
            </w:pPr>
            <w:r>
              <w:rPr>
                <w:rFonts w:ascii="Times New Roman" w:cs="Times New Roman" w:eastAsia="Times New Roman" w:hAnsi="Times New Roman"/>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240" w:type="dxa"/>
            <w:vAlign w:val="bottom"/>
            <w:gridSpan w:val="5"/>
          </w:tcPr>
          <w:p>
            <w:pPr>
              <w:jc w:val="center"/>
              <w:ind w:left="2833"/>
              <w:spacing w:after="0"/>
              <w:rPr>
                <w:sz w:val="20"/>
                <w:szCs w:val="20"/>
                <w:color w:val="auto"/>
              </w:rPr>
            </w:pPr>
            <w:r>
              <w:rPr>
                <w:rFonts w:ascii="Times New Roman" w:cs="Times New Roman" w:eastAsia="Times New Roman" w:hAnsi="Times New Roman"/>
                <w:sz w:val="17"/>
                <w:szCs w:val="17"/>
                <w:color w:val="auto"/>
              </w:rPr>
              <w:t>(I.R.S. Employer</w:t>
            </w:r>
          </w:p>
        </w:tc>
      </w:tr>
      <w:tr>
        <w:trPr>
          <w:trHeight w:val="228"/>
        </w:trPr>
        <w:tc>
          <w:tcPr>
            <w:tcW w:w="3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24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06"/>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Three Allen Center, 333 Clay Street, Suite 4400,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Houston, Texas</w:t>
            </w:r>
          </w:p>
        </w:tc>
        <w:tc>
          <w:tcPr>
            <w:tcW w:w="3160" w:type="dxa"/>
            <w:vAlign w:val="bottom"/>
          </w:tcPr>
          <w:p>
            <w:pPr>
              <w:spacing w:after="0"/>
              <w:rPr>
                <w:sz w:val="20"/>
                <w:szCs w:val="20"/>
                <w:color w:val="auto"/>
              </w:rPr>
            </w:pPr>
          </w:p>
        </w:tc>
        <w:tc>
          <w:tcPr>
            <w:tcW w:w="108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color w:val="auto"/>
              </w:rPr>
              <w:t>(Zip Code)</w:t>
            </w:r>
          </w:p>
        </w:tc>
      </w:tr>
      <w:tr>
        <w:trPr>
          <w:trHeight w:val="228"/>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01"/>
        </w:trPr>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Times New Roman" w:cs="Times New Roman" w:eastAsia="Times New Roman" w:hAnsi="Times New Roman"/>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8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3"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6"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5"/>
          <w:szCs w:val="15"/>
          <w:color w:val="auto"/>
        </w:rPr>
        <w:t>Common Shares, no par value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Trading Symbol</w:t>
      </w:r>
    </w:p>
    <w:p>
      <w:pPr>
        <w:spacing w:after="0" w:line="3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color w:val="auto"/>
        </w:rPr>
        <w:t>CVEO</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37"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6"/>
          <w:szCs w:val="16"/>
          <w:color w:val="auto"/>
        </w:rPr>
        <w:t>New York Stock Exchange</w:t>
      </w:r>
    </w:p>
    <w:p>
      <w:pPr>
        <w:spacing w:after="0" w:line="109" w:lineRule="exact"/>
        <w:rPr>
          <w:sz w:val="24"/>
          <w:szCs w:val="24"/>
          <w:color w:val="auto"/>
        </w:rPr>
      </w:pPr>
    </w:p>
    <w:p>
      <w:pPr>
        <w:sectPr>
          <w:pgSz w:w="11900" w:h="16838" w:orient="portrait"/>
          <w:cols w:equalWidth="0" w:num="3">
            <w:col w:w="3560" w:space="720"/>
            <w:col w:w="1760" w:space="720"/>
            <w:col w:w="4480"/>
          </w:cols>
          <w:pgMar w:left="320" w:top="1440" w:right="339" w:bottom="1440" w:gutter="0" w:footer="0" w:header="0"/>
          <w:type w:val="continuous"/>
        </w:sectPr>
      </w:pPr>
    </w:p>
    <w:p>
      <w:pPr>
        <w:ind w:right="26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60"/>
        <w:spacing w:after="0" w:line="161" w:lineRule="exact"/>
        <w:tabs>
          <w:tab w:leader="none" w:pos="376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7"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7" w:lineRule="exact"/>
        <w:rPr>
          <w:sz w:val="24"/>
          <w:szCs w:val="24"/>
          <w:color w:val="auto"/>
        </w:rPr>
      </w:pPr>
    </w:p>
    <w:p>
      <w:pPr>
        <w:ind w:left="3260"/>
        <w:spacing w:after="0" w:line="161" w:lineRule="exact"/>
        <w:tabs>
          <w:tab w:leader="none" w:pos="376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1"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3" w:lineRule="exact"/>
        <w:rPr>
          <w:sz w:val="24"/>
          <w:szCs w:val="24"/>
          <w:color w:val="auto"/>
        </w:rPr>
      </w:pPr>
    </w:p>
    <w:p>
      <w:pPr>
        <w:sectPr>
          <w:pgSz w:w="11900" w:h="16838" w:orient="portrait"/>
          <w:cols w:equalWidth="0" w:num="6">
            <w:col w:w="1340" w:space="560"/>
            <w:col w:w="160" w:space="420"/>
            <w:col w:w="1540" w:space="720"/>
            <w:col w:w="140" w:space="460"/>
            <w:col w:w="2240" w:space="720"/>
            <w:col w:w="2940"/>
          </w:cols>
          <w:pgMar w:left="320" w:top="1440" w:right="339" w:bottom="1440" w:gutter="0" w:footer="0" w:header="0"/>
          <w:type w:val="continuous"/>
        </w:sectPr>
      </w:pPr>
    </w:p>
    <w:p>
      <w:pPr>
        <w:spacing w:after="0" w:line="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50"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2"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50" w:lineRule="exact"/>
        <w:rPr>
          <w:sz w:val="24"/>
          <w:szCs w:val="24"/>
          <w:color w:val="auto"/>
        </w:rPr>
      </w:pPr>
    </w:p>
    <w:p>
      <w:pPr>
        <w:ind w:right="320"/>
        <w:spacing w:after="0" w:line="20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573405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53" w:lineRule="exact"/>
        <w:rPr>
          <w:sz w:val="20"/>
          <w:szCs w:val="20"/>
          <w:color w:val="auto"/>
        </w:rPr>
      </w:pPr>
    </w:p>
    <w:p>
      <w:pPr>
        <w:jc w:val="both"/>
        <w:ind w:left="3260"/>
        <w:spacing w:after="0" w:line="161" w:lineRule="exact"/>
        <w:tabs>
          <w:tab w:leader="none" w:pos="376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10,943,296 common shares outstanding as of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564515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INDEX</w:t>
      </w:r>
    </w:p>
    <w:p>
      <w:pPr>
        <w:spacing w:after="0" w:line="152"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4"/>
          <w:szCs w:val="14"/>
          <w:b w:val="1"/>
          <w:bCs w:val="1"/>
          <w:u w:val="single" w:color="auto"/>
          <w:color w:val="auto"/>
        </w:rPr>
        <w:t>Page No.</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12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124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2446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 w:type="dxa"/>
            <w:vAlign w:val="bottom"/>
            <w:shd w:val="clear" w:color="auto" w:fill="CCEEFF"/>
          </w:tcPr>
          <w:p>
            <w:pPr>
              <w:spacing w:after="0"/>
              <w:rPr>
                <w:sz w:val="17"/>
                <w:szCs w:val="17"/>
                <w:color w:val="auto"/>
              </w:rPr>
            </w:pPr>
          </w:p>
        </w:tc>
        <w:tc>
          <w:tcPr>
            <w:tcW w:w="10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Operations for the Three Months Ended March 31, 2026 and 2025</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Comprehensive Income (Loss) for the Three Months Ended March 31, 2026 and 2025</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5</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Consolidated Balance Sheets – as of March 31, 2026 (unaudited) and December 31, 2025</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560" w:type="dxa"/>
            <w:vAlign w:val="bottom"/>
            <w:shd w:val="clear" w:color="auto" w:fill="CCEEFF"/>
          </w:tcPr>
          <w:p>
            <w:pPr>
              <w:spacing w:after="0"/>
              <w:rPr>
                <w:sz w:val="12"/>
                <w:szCs w:val="12"/>
                <w:color w:val="auto"/>
              </w:rPr>
            </w:pPr>
          </w:p>
        </w:tc>
        <w:tc>
          <w:tcPr>
            <w:tcW w:w="1052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Changes in Shareholders’ Equity for the Three Months Ended March 31, 2026 and 2025</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7</w:t>
            </w:r>
          </w:p>
        </w:tc>
        <w:tc>
          <w:tcPr>
            <w:tcW w:w="20" w:type="dxa"/>
            <w:vAlign w:val="bottom"/>
            <w:shd w:val="clear" w:color="auto" w:fill="CCEEFF"/>
          </w:tcPr>
          <w:p>
            <w:pPr>
              <w:spacing w:after="0"/>
              <w:rPr>
                <w:sz w:val="12"/>
                <w:szCs w:val="12"/>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Unaudited Consolidated Statements of Cash Flows for the Three Months Ended March 31, 2026 and 2025</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rPr>
              <w:t>8</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560" w:type="dxa"/>
            <w:vAlign w:val="bottom"/>
            <w:shd w:val="clear" w:color="auto" w:fill="CCEEFF"/>
          </w:tcPr>
          <w:p>
            <w:pPr>
              <w:spacing w:after="0"/>
              <w:rPr>
                <w:sz w:val="15"/>
                <w:szCs w:val="15"/>
                <w:color w:val="auto"/>
              </w:rPr>
            </w:pPr>
          </w:p>
        </w:tc>
        <w:tc>
          <w:tcPr>
            <w:tcW w:w="1052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1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rPr>
              <w:t>9</w:t>
            </w:r>
          </w:p>
        </w:tc>
        <w:tc>
          <w:tcPr>
            <w:tcW w:w="20" w:type="dxa"/>
            <w:vAlign w:val="bottom"/>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21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21</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32</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1"/>
        </w:trPr>
        <w:tc>
          <w:tcPr>
            <w:tcW w:w="1108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4.  Controls and Procedures</w:t>
            </w:r>
          </w:p>
        </w:tc>
        <w:tc>
          <w:tcPr>
            <w:tcW w:w="140" w:type="dxa"/>
            <w:vAlign w:val="bottom"/>
            <w:tcBorders>
              <w:bottom w:val="single" w:sz="8" w:color="0000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32</w:t>
            </w:r>
          </w:p>
        </w:tc>
        <w:tc>
          <w:tcPr>
            <w:tcW w:w="20" w:type="dxa"/>
            <w:vAlign w:val="bottom"/>
            <w:tcBorders>
              <w:bottom w:val="single" w:sz="8" w:color="CCEEFF"/>
            </w:tcBorders>
            <w:shd w:val="clear" w:color="auto" w:fill="CCEEFF"/>
          </w:tcPr>
          <w:p>
            <w:pPr>
              <w:spacing w:after="0"/>
              <w:rPr>
                <w:sz w:val="15"/>
                <w:szCs w:val="15"/>
                <w:color w:val="auto"/>
              </w:rPr>
            </w:pPr>
          </w:p>
        </w:tc>
      </w:tr>
      <w:tr>
        <w:trPr>
          <w:trHeight w:val="210"/>
        </w:trPr>
        <w:tc>
          <w:tcPr>
            <w:tcW w:w="56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60" w:type="dxa"/>
            <w:vAlign w:val="bottom"/>
          </w:tcPr>
          <w:p>
            <w:pPr>
              <w:spacing w:after="0"/>
              <w:rPr>
                <w:sz w:val="16"/>
                <w:szCs w:val="16"/>
                <w:color w:val="auto"/>
              </w:rPr>
            </w:pPr>
          </w:p>
        </w:tc>
        <w:tc>
          <w:tcPr>
            <w:tcW w:w="10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Legal Proceedings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33</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1A.</w:t>
            </w:r>
          </w:p>
        </w:tc>
        <w:tc>
          <w:tcPr>
            <w:tcW w:w="105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Risk Factors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33</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2. Unregistered Sales of Equity Securities and Use of Proceeds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33</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5.</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Other Information</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33</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Item 6.</w:t>
            </w:r>
          </w:p>
        </w:tc>
        <w:tc>
          <w:tcPr>
            <w:tcW w:w="10520" w:type="dxa"/>
            <w:vAlign w:val="bottom"/>
          </w:tcPr>
          <w:p>
            <w:pPr>
              <w:ind w:left="40"/>
              <w:spacing w:after="0" w:line="144" w:lineRule="exact"/>
              <w:rPr>
                <w:sz w:val="20"/>
                <w:szCs w:val="20"/>
                <w:color w:val="auto"/>
              </w:rPr>
            </w:pPr>
            <w:r>
              <w:rPr>
                <w:rFonts w:ascii="Times New Roman" w:cs="Times New Roman" w:eastAsia="Times New Roman" w:hAnsi="Times New Roman"/>
                <w:sz w:val="14"/>
                <w:szCs w:val="14"/>
                <w:color w:val="auto"/>
              </w:rPr>
              <w:t>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34</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560" w:type="dxa"/>
            <w:vAlign w:val="bottom"/>
          </w:tcPr>
          <w:p>
            <w:pPr>
              <w:spacing w:after="0"/>
              <w:rPr>
                <w:sz w:val="12"/>
                <w:szCs w:val="12"/>
                <w:color w:val="auto"/>
              </w:rPr>
            </w:pPr>
          </w:p>
        </w:tc>
        <w:tc>
          <w:tcPr>
            <w:tcW w:w="1052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(a) Index of Exhibits</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34</w:t>
            </w:r>
          </w:p>
        </w:tc>
        <w:tc>
          <w:tcPr>
            <w:tcW w:w="20" w:type="dxa"/>
            <w:vAlign w:val="bottom"/>
          </w:tcPr>
          <w:p>
            <w:pPr>
              <w:spacing w:after="0"/>
              <w:rPr>
                <w:sz w:val="12"/>
                <w:szCs w:val="12"/>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44"/>
        </w:trPr>
        <w:tc>
          <w:tcPr>
            <w:tcW w:w="110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Signature Page</w:t>
            </w:r>
          </w:p>
        </w:tc>
        <w:tc>
          <w:tcPr>
            <w:tcW w:w="140" w:type="dxa"/>
            <w:vAlign w:val="bottom"/>
            <w:tcBorders>
              <w:bottom w:val="single" w:sz="8" w:color="0000FF"/>
            </w:tcBorders>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0000FF"/>
                <w:w w:val="85"/>
              </w:rPr>
              <w:t>36</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3" w:name="page4"/>
    <w:bookmarkEnd w:id="3"/>
    <w:p>
      <w:pPr>
        <w:ind w:left="400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230"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3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9" w:lineRule="exact"/>
        <w:rPr>
          <w:sz w:val="20"/>
          <w:szCs w:val="20"/>
          <w:color w:val="auto"/>
        </w:rPr>
      </w:pPr>
    </w:p>
    <w:tbl>
      <w:tblPr>
        <w:tblLayout w:type="fixed"/>
        <w:tblInd w:w="1240" w:type="dxa"/>
        <w:tblCellMar>
          <w:top w:w="0" w:type="dxa"/>
          <w:left w:w="0" w:type="dxa"/>
          <w:bottom w:w="0" w:type="dxa"/>
          <w:right w:w="0" w:type="dxa"/>
        </w:tblCellMar>
      </w:tblPr>
      <w:tr>
        <w:trPr>
          <w:trHeight w:val="204"/>
        </w:trPr>
        <w:tc>
          <w:tcPr>
            <w:tcW w:w="60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9"/>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172,667</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144,044</w:t>
            </w:r>
          </w:p>
        </w:tc>
      </w:tr>
      <w:tr>
        <w:trPr>
          <w:trHeight w:val="20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9"/>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Service and other costs</w:t>
            </w:r>
          </w:p>
        </w:tc>
        <w:tc>
          <w:tcPr>
            <w:tcW w:w="26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132,506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114,615</w:t>
            </w:r>
          </w:p>
        </w:tc>
      </w:tr>
      <w:tr>
        <w:trPr>
          <w:trHeight w:val="204"/>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20,068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18,185</w:t>
            </w:r>
          </w:p>
        </w:tc>
      </w:tr>
      <w:tr>
        <w:trPr>
          <w:trHeight w:val="189"/>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17,308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16,253</w:t>
            </w:r>
          </w:p>
        </w:tc>
      </w:tr>
      <w:tr>
        <w:trPr>
          <w:trHeight w:val="197"/>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r>
      <w:tr>
        <w:trPr>
          <w:trHeight w:val="190"/>
        </w:trPr>
        <w:tc>
          <w:tcPr>
            <w:tcW w:w="6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169,544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149,560</w:t>
            </w:r>
          </w:p>
        </w:tc>
      </w:tr>
      <w:tr>
        <w:trPr>
          <w:trHeight w:val="19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3,123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r>
      <w:tr>
        <w:trPr>
          <w:trHeight w:val="189"/>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3"/>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(6,762)</w:t>
            </w:r>
          </w:p>
        </w:tc>
      </w:tr>
      <w:tr>
        <w:trPr>
          <w:trHeight w:val="20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r>
      <w:tr>
        <w:trPr>
          <w:trHeight w:val="183"/>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w:t>
            </w:r>
          </w:p>
        </w:tc>
      </w:tr>
      <w:tr>
        <w:trPr>
          <w:trHeight w:val="204"/>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Civeo Corporation</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(9,842)</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6"/>
        </w:trPr>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(see Note 6)</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9"/>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Basic net loss per share attributable to Civeo Corporation common shareholders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(0.72)</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9"/>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 attributable to Civeo Corporation common shareholders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(0.72)</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9"/>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4"/>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11,122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13,600</w:t>
            </w:r>
          </w:p>
        </w:tc>
      </w:tr>
      <w:tr>
        <w:trPr>
          <w:trHeight w:val="189"/>
        </w:trPr>
        <w:tc>
          <w:tcPr>
            <w:tcW w:w="6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11,122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w:t>
            </w:r>
          </w:p>
        </w:tc>
      </w:tr>
      <w:tr>
        <w:trPr>
          <w:trHeight w:val="217"/>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2"/>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Dividends per common share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r>
    </w:tbl>
    <w:p>
      <w:pPr>
        <w:spacing w:after="0" w:line="200" w:lineRule="exact"/>
        <w:rPr>
          <w:sz w:val="20"/>
          <w:szCs w:val="20"/>
          <w:color w:val="auto"/>
        </w:rPr>
      </w:pPr>
    </w:p>
    <w:p>
      <w:pPr>
        <w:spacing w:after="0" w:line="34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979"/>
          </w:cols>
          <w:pgMar w:left="480" w:top="1377" w:right="1440" w:bottom="1440" w:gutter="0" w:footer="0" w:header="0"/>
        </w:sectPr>
      </w:pPr>
    </w:p>
    <w:bookmarkStart w:id="4" w:name="page5"/>
    <w:bookmarkEnd w:id="4"/>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9" w:lineRule="exact"/>
        <w:rPr>
          <w:sz w:val="20"/>
          <w:szCs w:val="20"/>
          <w:color w:val="auto"/>
        </w:rPr>
      </w:pPr>
    </w:p>
    <w:tbl>
      <w:tblPr>
        <w:tblLayout w:type="fixed"/>
        <w:tblInd w:w="300" w:type="dxa"/>
        <w:tblCellMar>
          <w:top w:w="0" w:type="dxa"/>
          <w:left w:w="0" w:type="dxa"/>
          <w:bottom w:w="0" w:type="dxa"/>
          <w:right w:w="0" w:type="dxa"/>
        </w:tblCellMar>
      </w:tblPr>
      <w:tr>
        <w:trPr>
          <w:trHeight w:val="204"/>
        </w:trPr>
        <w:tc>
          <w:tcPr>
            <w:tcW w:w="60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5"/>
        </w:trPr>
        <w:tc>
          <w:tcPr>
            <w:tcW w:w="6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(3,803)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(9,850)</w:t>
            </w:r>
          </w:p>
        </w:tc>
      </w:tr>
      <w:tr>
        <w:trPr>
          <w:trHeight w:val="131"/>
        </w:trPr>
        <w:tc>
          <w:tcPr>
            <w:tcW w:w="6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9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taxes:</w:t>
            </w: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 net of zero taxes</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w:t>
            </w:r>
          </w:p>
        </w:tc>
      </w:tr>
      <w:tr>
        <w:trPr>
          <w:trHeight w:val="19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net of taxes</w:t>
            </w:r>
          </w:p>
        </w:tc>
        <w:tc>
          <w:tcPr>
            <w:tcW w:w="7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r>
      <w:tr>
        <w:trPr>
          <w:trHeight w:val="131"/>
        </w:trPr>
        <w:tc>
          <w:tcPr>
            <w:tcW w:w="6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9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w:t>
            </w:r>
          </w:p>
        </w:tc>
      </w:tr>
      <w:tr>
        <w:trPr>
          <w:trHeight w:val="190"/>
        </w:trPr>
        <w:tc>
          <w:tcPr>
            <w:tcW w:w="6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21"/>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Civeo Corporation</w:t>
            </w:r>
          </w:p>
        </w:tc>
        <w:tc>
          <w:tcPr>
            <w:tcW w:w="72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1377" w:right="1440"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 Excluding Share Amounts)</w:t>
      </w:r>
    </w:p>
    <w:p>
      <w:pPr>
        <w:sectPr>
          <w:pgSz w:w="11900" w:h="16838" w:orient="portrait"/>
          <w:cols w:equalWidth="0" w:num="1">
            <w:col w:w="11180"/>
          </w:cols>
          <w:pgMar w:left="480" w:top="13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Inventories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193" w:lineRule="exact"/>
        <w:rPr>
          <w:sz w:val="20"/>
          <w:szCs w:val="20"/>
          <w:color w:val="auto"/>
        </w:rPr>
      </w:pPr>
    </w:p>
    <w:p>
      <w:pPr>
        <w:ind w:left="20"/>
        <w:spacing w:after="0" w:line="292" w:lineRule="auto"/>
        <w:rPr>
          <w:sz w:val="20"/>
          <w:szCs w:val="20"/>
          <w:color w:val="auto"/>
        </w:rPr>
      </w:pPr>
      <w:r>
        <w:rPr>
          <w:rFonts w:ascii="Times New Roman" w:cs="Times New Roman" w:eastAsia="Times New Roman" w:hAnsi="Times New Roman"/>
          <w:sz w:val="14"/>
          <w:szCs w:val="14"/>
          <w:color w:val="auto"/>
        </w:rPr>
        <w:t>Property, plant and equipment, net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76"/>
        </w:trPr>
        <w:tc>
          <w:tcPr>
            <w:tcW w:w="4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187"/>
        </w:trPr>
        <w:tc>
          <w:tcPr>
            <w:tcW w:w="4380" w:type="dxa"/>
            <w:vAlign w:val="bottom"/>
            <w:gridSpan w:val="2"/>
          </w:tcPr>
          <w:p>
            <w:pPr>
              <w:jc w:val="right"/>
              <w:ind w:right="3790"/>
              <w:spacing w:after="0"/>
              <w:rPr>
                <w:sz w:val="20"/>
                <w:szCs w:val="20"/>
                <w:color w:val="auto"/>
              </w:rPr>
            </w:pPr>
            <w:r>
              <w:rPr>
                <w:rFonts w:ascii="Times New Roman" w:cs="Times New Roman" w:eastAsia="Times New Roman" w:hAnsi="Times New Roman"/>
                <w:sz w:val="14"/>
                <w:szCs w:val="14"/>
                <w:color w:val="auto"/>
                <w:w w:val="98"/>
              </w:rPr>
              <w:t>ASSETS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550"/>
        </w:trPr>
        <w:tc>
          <w:tcPr>
            <w:tcW w:w="43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16,549</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14,439</w:t>
            </w:r>
          </w:p>
        </w:tc>
      </w:t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90,470</w:t>
            </w:r>
          </w:p>
        </w:tc>
      </w:t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w:t>
            </w:r>
          </w:p>
        </w:tc>
      </w:t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17,209</w:t>
            </w:r>
          </w:p>
        </w:tc>
      </w:t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r>
      <w:tr>
        <w:trPr>
          <w:trHeight w:val="23"/>
        </w:trPr>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131,213</w:t>
            </w:r>
          </w:p>
        </w:tc>
      </w:tr>
      <w:tr>
        <w:trPr>
          <w:trHeight w:val="344"/>
        </w:trPr>
        <w:tc>
          <w:tcPr>
            <w:tcW w:w="4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235,259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244,517</w:t>
            </w:r>
          </w:p>
        </w:tc>
      </w:t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w:t>
            </w:r>
          </w:p>
        </w:tc>
      </w:t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70,410</w:t>
            </w:r>
          </w:p>
        </w:tc>
      </w:t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14,485</w:t>
            </w:r>
          </w:p>
        </w:tc>
      </w:tr>
      <w:tr>
        <w:trPr>
          <w:trHeight w:val="196"/>
        </w:trPr>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9,245</w:t>
            </w:r>
          </w:p>
        </w:tc>
      </w:tr>
      <w:tr>
        <w:trPr>
          <w:trHeight w:val="23"/>
        </w:trPr>
        <w:tc>
          <w:tcPr>
            <w:tcW w:w="438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41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491,605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477,411</w:t>
            </w:r>
          </w:p>
        </w:tc>
      </w:tr>
      <w:tr>
        <w:trPr>
          <w:trHeight w:val="26"/>
        </w:trPr>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-1995805</wp:posOffset>
            </wp:positionV>
            <wp:extent cx="7098030" cy="124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-1771015</wp:posOffset>
            </wp:positionV>
            <wp:extent cx="7098030" cy="124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-1521460</wp:posOffset>
            </wp:positionV>
            <wp:extent cx="7098030" cy="124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-1271905</wp:posOffset>
            </wp:positionV>
            <wp:extent cx="7098030" cy="124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-1022350</wp:posOffset>
            </wp:positionV>
            <wp:extent cx="7098030" cy="133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3335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-789305</wp:posOffset>
            </wp:positionV>
            <wp:extent cx="7098030" cy="124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-539750</wp:posOffset>
            </wp:positionV>
            <wp:extent cx="7098030"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-290195</wp:posOffset>
            </wp:positionV>
            <wp:extent cx="7098030" cy="124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24460"/>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-15875</wp:posOffset>
            </wp:positionV>
            <wp:extent cx="7098030" cy="99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9969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45" w:lineRule="exact"/>
        <w:rPr>
          <w:sz w:val="20"/>
          <w:szCs w:val="20"/>
          <w:color w:val="auto"/>
        </w:rPr>
      </w:pPr>
    </w:p>
    <w:p>
      <w:pPr>
        <w:sectPr>
          <w:pgSz w:w="11900" w:h="16838" w:orient="portrait"/>
          <w:cols w:equalWidth="0" w:num="2">
            <w:col w:w="1940" w:space="520"/>
            <w:col w:w="8720"/>
          </w:cols>
          <w:pgMar w:left="480" w:top="1377" w:right="23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7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5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44,282</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30,837</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6,761</w:t>
            </w:r>
          </w:p>
        </w:tc>
        <w:tc>
          <w:tcPr>
            <w:tcW w:w="0" w:type="dxa"/>
            <w:vAlign w:val="bottom"/>
          </w:tcPr>
          <w:p>
            <w:pPr>
              <w:spacing w:after="0"/>
              <w:rPr>
                <w:sz w:val="1"/>
                <w:szCs w:val="1"/>
                <w:color w:val="auto"/>
              </w:rPr>
            </w:pPr>
          </w:p>
        </w:tc>
      </w:tr>
      <w:tr>
        <w:trPr>
          <w:trHeight w:val="183"/>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81,074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84,936</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212,276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182,842</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20,197</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20,789</w:t>
            </w:r>
          </w:p>
        </w:tc>
        <w:tc>
          <w:tcPr>
            <w:tcW w:w="0" w:type="dxa"/>
            <w:vAlign w:val="bottom"/>
          </w:tcPr>
          <w:p>
            <w:pPr>
              <w:spacing w:after="0"/>
              <w:rPr>
                <w:sz w:val="1"/>
                <w:szCs w:val="1"/>
                <w:color w:val="auto"/>
              </w:rPr>
            </w:pPr>
          </w:p>
        </w:tc>
      </w:tr>
      <w:tr>
        <w:trPr>
          <w:trHeight w:val="183"/>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330,859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303,027</w:t>
            </w: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shares (no par value; 46,000,000 shares authorized, 11,393,480 shares and 11,872,028 shares issued, respectively, and</w:t>
            </w:r>
          </w:p>
        </w:tc>
        <w:tc>
          <w:tcPr>
            <w:tcW w:w="5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10,943,296 shares and 11,434,033 shares outstanding, respectively)</w:t>
            </w:r>
          </w:p>
        </w:tc>
        <w:tc>
          <w:tcPr>
            <w:tcW w:w="5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1,635,135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1,634,883</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(1,077,359)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(1,058,911)</w:t>
            </w:r>
          </w:p>
        </w:tc>
        <w:tc>
          <w:tcPr>
            <w:tcW w:w="0" w:type="dxa"/>
            <w:vAlign w:val="bottom"/>
          </w:tcPr>
          <w:p>
            <w:pPr>
              <w:spacing w:after="0"/>
              <w:rPr>
                <w:sz w:val="1"/>
                <w:szCs w:val="1"/>
                <w:color w:val="auto"/>
              </w:rPr>
            </w:pPr>
          </w:p>
        </w:tc>
      </w:tr>
      <w:tr>
        <w:trPr>
          <w:trHeight w:val="189"/>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shares held in treasury at cost, 450,184 and 437,995 shares, respectively</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(10,775)</w:t>
            </w:r>
          </w:p>
        </w:tc>
        <w:tc>
          <w:tcPr>
            <w:tcW w:w="0" w:type="dxa"/>
            <w:vAlign w:val="bottom"/>
          </w:tcPr>
          <w:p>
            <w:pPr>
              <w:spacing w:after="0"/>
              <w:rPr>
                <w:sz w:val="1"/>
                <w:szCs w:val="1"/>
                <w:color w:val="auto"/>
              </w:rPr>
            </w:pPr>
          </w:p>
        </w:tc>
      </w:tr>
      <w:tr>
        <w:trPr>
          <w:trHeight w:val="204"/>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(385,918)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(390,813)</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Civeo Corporation shareholders’ equity</w:t>
            </w: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160,746</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174,384</w:t>
            </w: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160,746</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174,384</w:t>
            </w:r>
          </w:p>
        </w:tc>
        <w:tc>
          <w:tcPr>
            <w:tcW w:w="0" w:type="dxa"/>
            <w:vAlign w:val="bottom"/>
          </w:tcPr>
          <w:p>
            <w:pPr>
              <w:spacing w:after="0"/>
              <w:rPr>
                <w:sz w:val="1"/>
                <w:szCs w:val="1"/>
                <w:color w:val="auto"/>
              </w:rPr>
            </w:pPr>
          </w:p>
        </w:tc>
      </w:tr>
      <w:tr>
        <w:trPr>
          <w:trHeight w:val="221"/>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491,605</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477,411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480" w:top="1377" w:right="239" w:bottom="1440" w:gutter="0" w:footer="0" w:header="0"/>
          <w:type w:val="continuous"/>
        </w:sectPr>
      </w:pPr>
    </w:p>
    <w:bookmarkStart w:id="6" w:name="page7"/>
    <w:bookmarkEnd w:id="6"/>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w:t>
      </w:r>
    </w:p>
    <w:p>
      <w:pPr>
        <w:spacing w:after="0" w:line="3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CHANGES IN SHAREHOLDERS’ EQUITY</w:t>
      </w:r>
    </w:p>
    <w:p>
      <w:pPr>
        <w:spacing w:after="0" w:line="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Attributable to Civeo</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98"/>
        </w:trPr>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92"/>
              <w:spacing w:after="0" w:line="118" w:lineRule="exact"/>
              <w:rPr>
                <w:sz w:val="20"/>
                <w:szCs w:val="20"/>
                <w:color w:val="auto"/>
              </w:rPr>
            </w:pPr>
            <w:r>
              <w:rPr>
                <w:rFonts w:ascii="Times New Roman" w:cs="Times New Roman" w:eastAsia="Times New Roman" w:hAnsi="Times New Roman"/>
                <w:sz w:val="12"/>
                <w:szCs w:val="12"/>
                <w:b w:val="1"/>
                <w:bCs w:val="1"/>
                <w:color w:val="auto"/>
                <w:w w:val="99"/>
              </w:rPr>
              <w:t>Shareholders’</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140" w:type="dxa"/>
            <w:vAlign w:val="bottom"/>
          </w:tcPr>
          <w:p>
            <w:pPr>
              <w:spacing w:after="0"/>
              <w:rPr>
                <w:sz w:val="15"/>
                <w:szCs w:val="15"/>
                <w:color w:val="auto"/>
              </w:rPr>
            </w:pP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1,631,823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(980,720)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(404,600)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236,998</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w:t>
            </w:r>
          </w:p>
        </w:tc>
        <w:tc>
          <w:tcPr>
            <w:tcW w:w="0" w:type="dxa"/>
            <w:vAlign w:val="bottom"/>
          </w:tcPr>
          <w:p>
            <w:pPr>
              <w:spacing w:after="0"/>
              <w:rPr>
                <w:sz w:val="1"/>
                <w:szCs w:val="1"/>
                <w:color w:val="auto"/>
              </w:rPr>
            </w:pPr>
          </w:p>
        </w:tc>
      </w:tr>
      <w:tr>
        <w:trPr>
          <w:trHeight w:val="204"/>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0" w:type="dxa"/>
            <w:vAlign w:val="bottom"/>
          </w:tcPr>
          <w:p>
            <w:pPr>
              <w:spacing w:after="0"/>
              <w:rPr>
                <w:sz w:val="1"/>
                <w:szCs w:val="1"/>
                <w:color w:val="auto"/>
              </w:rPr>
            </w:pPr>
          </w:p>
        </w:tc>
      </w:tr>
      <w:tr>
        <w:trPr>
          <w:trHeight w:val="204"/>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4"/>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1,632,420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(997,400)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(403,507)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220,738</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1,634,883</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(1,058,911)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(390,813)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174,384</w:t>
            </w:r>
          </w:p>
        </w:tc>
        <w:tc>
          <w:tcPr>
            <w:tcW w:w="0" w:type="dxa"/>
            <w:vAlign w:val="bottom"/>
          </w:tcPr>
          <w:p>
            <w:pPr>
              <w:spacing w:after="0"/>
              <w:rPr>
                <w:sz w:val="1"/>
                <w:szCs w:val="1"/>
                <w:color w:val="auto"/>
              </w:rPr>
            </w:pPr>
          </w:p>
        </w:tc>
      </w:tr>
      <w:tr>
        <w:trPr>
          <w:trHeight w:val="203"/>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0" w:type="dxa"/>
            <w:vAlign w:val="bottom"/>
          </w:tcPr>
          <w:p>
            <w:pPr>
              <w:spacing w:after="0"/>
              <w:rPr>
                <w:sz w:val="1"/>
                <w:szCs w:val="1"/>
                <w:color w:val="auto"/>
              </w:rPr>
            </w:pPr>
          </w:p>
        </w:tc>
      </w:tr>
      <w:tr>
        <w:trPr>
          <w:trHeight w:val="204"/>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0" w:type="dxa"/>
            <w:vAlign w:val="bottom"/>
          </w:tcPr>
          <w:p>
            <w:pPr>
              <w:spacing w:after="0"/>
              <w:rPr>
                <w:sz w:val="1"/>
                <w:szCs w:val="1"/>
                <w:color w:val="auto"/>
              </w:rPr>
            </w:pPr>
          </w:p>
        </w:tc>
      </w:tr>
      <w:tr>
        <w:trPr>
          <w:trHeight w:val="204"/>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0"/>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21"/>
        </w:trPr>
        <w:tc>
          <w:tcPr>
            <w:tcW w:w="2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1,635,135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(1,077,359)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(385,918)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160,746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left="11"/>
              <w:spacing w:after="0" w:line="143" w:lineRule="exact"/>
              <w:rPr>
                <w:sz w:val="20"/>
                <w:szCs w:val="20"/>
                <w:color w:val="auto"/>
              </w:rPr>
            </w:pPr>
            <w:r>
              <w:rPr>
                <w:rFonts w:ascii="Times New Roman" w:cs="Times New Roman" w:eastAsia="Times New Roman" w:hAnsi="Times New Roman"/>
                <w:sz w:val="14"/>
                <w:szCs w:val="14"/>
                <w:b w:val="1"/>
                <w:bCs w:val="1"/>
                <w:color w:val="auto"/>
                <w:w w:val="99"/>
              </w:rPr>
              <w:t>Shares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11,434</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20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10,943</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20"/>
          </w:cols>
          <w:pgMar w:left="320" w:top="1377" w:right="959" w:bottom="1440" w:gutter="0" w:footer="0" w:header="0"/>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9"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6"/>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w:t>
            </w:r>
          </w:p>
        </w:tc>
      </w:tr>
      <w:tr>
        <w:trPr>
          <w:trHeight w:val="20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16,253</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compensation charge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Gains on disposals of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 for credit losses, net of recoveries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r>
      <w:tr>
        <w:trPr>
          <w:trHeight w:val="189"/>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r>
      <w:tr>
        <w:trPr>
          <w:trHeight w:val="20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(9,835)</w:t>
            </w:r>
          </w:p>
        </w:tc>
      </w:tr>
      <w:tr>
        <w:trPr>
          <w:trHeight w:val="189"/>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Taxes payable</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w:t>
            </w:r>
          </w:p>
        </w:tc>
      </w:tr>
      <w:tr>
        <w:trPr>
          <w:trHeight w:val="20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 and liabilities, net</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r>
      <w:tr>
        <w:trPr>
          <w:trHeight w:val="183"/>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flows used in operating activities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(8,445)</w:t>
            </w:r>
          </w:p>
        </w:tc>
      </w:tr>
      <w:tr>
        <w:trPr>
          <w:trHeight w:val="112"/>
        </w:trPr>
        <w:tc>
          <w:tcPr>
            <w:tcW w:w="80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9"/>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w:t>
            </w:r>
          </w:p>
        </w:tc>
      </w:tr>
      <w:tr>
        <w:trPr>
          <w:trHeight w:val="190"/>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dispositions of property, plant and equipment</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9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r>
      <w:tr>
        <w:trPr>
          <w:trHeight w:val="105"/>
        </w:trPr>
        <w:tc>
          <w:tcPr>
            <w:tcW w:w="8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borrowings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99,155</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repayments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(162,279)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(54,989)</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8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8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r>
      <w:tr>
        <w:trPr>
          <w:trHeight w:val="189"/>
        </w:trPr>
        <w:tc>
          <w:tcPr>
            <w:tcW w:w="8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w:t>
            </w:r>
          </w:p>
        </w:tc>
      </w:tr>
      <w:tr>
        <w:trPr>
          <w:trHeight w:val="204"/>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on vested shares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r>
      <w:tr>
        <w:trPr>
          <w:trHeight w:val="183"/>
        </w:trPr>
        <w:tc>
          <w:tcPr>
            <w:tcW w:w="8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flows provided by financing activities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36,625</w:t>
            </w:r>
          </w:p>
        </w:tc>
      </w:tr>
      <w:tr>
        <w:trPr>
          <w:trHeight w:val="112"/>
        </w:trPr>
        <w:tc>
          <w:tcPr>
            <w:tcW w:w="80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9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9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23,168</w:t>
            </w:r>
          </w:p>
        </w:tc>
      </w:tr>
      <w:tr>
        <w:trPr>
          <w:trHeight w:val="19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5,204</w:t>
            </w:r>
          </w:p>
        </w:tc>
      </w:tr>
      <w:tr>
        <w:trPr>
          <w:trHeight w:val="92"/>
        </w:trPr>
        <w:tc>
          <w:tcPr>
            <w:tcW w:w="8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96"/>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28,372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80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34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377" w:right="61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hanging="315"/>
        <w:spacing w:after="0"/>
        <w:tabs>
          <w:tab w:leader="none" w:pos="3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22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metallurgical (met) coal, oil, iron ore and liquefied natural gas (LNG) producing regions, and our customers include mining companies, major and independent oil companies, construction, engineering companies and oilfield and mining service companies. We operate in two principal reportable business segments – Australia and Canada.</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United States (U.S.) dollars. Certain reclassifications have been made to the prior year financial statements for them to conform with the 2026 presentation.</w:t>
      </w:r>
    </w:p>
    <w:p>
      <w:pPr>
        <w:spacing w:after="0" w:line="164"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U.S.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9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68"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 unaudited consolidated financial statements included in this report should be read in conjunction with our audited consolidated financial statements and accompanying notes included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4"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26" w:lineRule="exact"/>
        <w:rPr>
          <w:sz w:val="20"/>
          <w:szCs w:val="20"/>
          <w:color w:val="auto"/>
        </w:rPr>
      </w:pPr>
    </w:p>
    <w:p>
      <w:pPr>
        <w:ind w:right="120" w:firstLine="472"/>
        <w:spacing w:after="0" w:line="282" w:lineRule="auto"/>
        <w:rPr>
          <w:sz w:val="20"/>
          <w:szCs w:val="20"/>
          <w:color w:val="auto"/>
        </w:rPr>
      </w:pPr>
      <w:r>
        <w:rPr>
          <w:rFonts w:ascii="Times New Roman" w:cs="Times New Roman" w:eastAsia="Times New Roman" w:hAnsi="Times New Roman"/>
          <w:sz w:val="17"/>
          <w:szCs w:val="17"/>
          <w:color w:val="auto"/>
        </w:rPr>
        <w:t>The following table disaggregates our revenue by our two reportable segments (Australia and Canada) into major categories for the periods indicated (in thousands):</w:t>
      </w:r>
    </w:p>
    <w:p>
      <w:pPr>
        <w:jc w:val="center"/>
        <w:ind w:left="6020"/>
        <w:spacing w:after="0" w:line="233" w:lineRule="auto"/>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60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5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Accommodation and associated services revenues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46,823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Integrated services and other 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56,823</w:t>
            </w: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Australia revenues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103,646</w:t>
            </w:r>
          </w:p>
        </w:tc>
      </w:tr>
      <w:tr>
        <w:trPr>
          <w:trHeight w:val="210"/>
        </w:trPr>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Accommodation and associated services revenues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33,436</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Mobile facility rental and associated services revenues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Integrated services and other 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6,743</w:t>
            </w: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Canada revenues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40,398</w:t>
            </w:r>
          </w:p>
        </w:tc>
      </w:tr>
      <w:tr>
        <w:trPr>
          <w:trHeight w:val="210"/>
        </w:trPr>
        <w:tc>
          <w:tcPr>
            <w:tcW w:w="5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172,667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144,044</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6"/>
        </w:trPr>
        <w:tc>
          <w:tcPr>
            <w:tcW w:w="5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bl>
    <w:p>
      <w:pPr>
        <w:spacing w:after="0" w:line="28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payment terms vary by the type and location of our customer and the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9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March 31, 2026,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3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For the years ending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80" w:type="dxa"/>
            <w:vAlign w:val="bottom"/>
          </w:tcPr>
          <w:p>
            <w:pPr>
              <w:spacing w:after="0"/>
              <w:rPr>
                <w:sz w:val="17"/>
                <w:szCs w:val="17"/>
                <w:color w:val="auto"/>
              </w:rPr>
            </w:pPr>
          </w:p>
        </w:tc>
        <w:tc>
          <w:tcPr>
            <w:tcW w:w="1040" w:type="dxa"/>
            <w:vAlign w:val="bottom"/>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38"/>
        </w:trPr>
        <w:tc>
          <w:tcPr>
            <w:tcW w:w="352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Revenue expected to be recognized as of March 31,</w:t>
            </w:r>
          </w:p>
        </w:tc>
        <w:tc>
          <w:tcPr>
            <w:tcW w:w="280" w:type="dxa"/>
            <w:vAlign w:val="bottom"/>
            <w:tcBorders>
              <w:top w:val="single" w:sz="8" w:color="auto"/>
            </w:tcBorders>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148,174</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153,135</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88,062</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200,676</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590,047</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2"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2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47"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As of March 31, 2026 and December 31, 2025,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second quarter of 2025, we acquired accommodation assets, land and customer contracts and recorded them at fair value. Determining the fair value of assets acquired and liabilities assumed required the exercise of judgment, which included the use of a multi-period excess earnings income approach to determine the fair value of the customer relationships. Specifically, the fair value of the customer relationships was determined by calculating the present value of expected cash flows by applying a discount rate that represents the estimated rate that market participants would require for such intangible assets.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 w:name="page11"/>
    <w:bookmarkEnd w:id="10"/>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expected cash flows and related discount rate are significant unobservable inputs categorized within Level 3 of the fair value hierarchy. The cash flows employed in the valuation are based on our best estimates of future sales, earnings and cash flows after considering factors such as general market conditions, expected future customer orders, contracts with suppliers, labor costs, changes in working capital, long-term business plans and recent operating performance.</w:t>
      </w:r>
    </w:p>
    <w:p>
      <w:pPr>
        <w:spacing w:after="0" w:line="188"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OF SELECTED BALANCE SHEET ACCOUNTS</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Additional information regarding selected balance sheet accounts at March 31, 2026 and December 31, 2025 is presented below (in thousands):</w:t>
      </w:r>
    </w:p>
    <w:p>
      <w:pPr>
        <w:spacing w:after="0" w:line="357"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5"/>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8"/>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88,509</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70,646</w:t>
            </w:r>
          </w:p>
        </w:tc>
      </w:tr>
      <w:tr>
        <w:trPr>
          <w:trHeight w:val="21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15,273</w:t>
            </w:r>
          </w:p>
        </w:tc>
      </w:tr>
      <w:tr>
        <w:trPr>
          <w:trHeight w:val="20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4,787</w:t>
            </w:r>
          </w:p>
        </w:tc>
      </w:tr>
      <w:tr>
        <w:trPr>
          <w:trHeight w:val="204"/>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90,706</w:t>
            </w:r>
          </w:p>
        </w:tc>
      </w:tr>
      <w:tr>
        <w:trPr>
          <w:trHeight w:val="208"/>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29"/>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90,470</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4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5"/>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8"/>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 including purchased food, housekeeping and retail 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100" w:type="dxa"/>
            <w:vAlign w:val="bottom"/>
          </w:tcPr>
          <w:p>
            <w:pPr>
              <w:spacing w:after="0"/>
              <w:rPr>
                <w:sz w:val="18"/>
                <w:szCs w:val="18"/>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w:t>
            </w: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r>
      <w:tr>
        <w:trPr>
          <w:trHeight w:val="204"/>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6,218</w:t>
            </w:r>
          </w:p>
        </w:tc>
      </w:tr>
      <w:tr>
        <w:trPr>
          <w:trHeight w:val="20"/>
        </w:trPr>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120" w:type="dxa"/>
            <w:vAlign w:val="bottom"/>
          </w:tcPr>
          <w:p>
            <w:pPr>
              <w:spacing w:after="0"/>
              <w:rPr>
                <w:sz w:val="13"/>
                <w:szCs w:val="13"/>
                <w:color w:val="auto"/>
              </w:rPr>
            </w:pPr>
          </w:p>
        </w:tc>
        <w:tc>
          <w:tcPr>
            <w:tcW w:w="1420" w:type="dxa"/>
            <w:vAlign w:val="bottom"/>
            <w:gridSpan w:val="4"/>
          </w:tcPr>
          <w:p>
            <w:pPr>
              <w:ind w:left="260"/>
              <w:spacing w:after="0" w:line="158"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12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Land</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29,881</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29,476</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1,409,352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1,410,965</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13,817</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15,047</w:t>
            </w:r>
          </w:p>
        </w:tc>
        <w:tc>
          <w:tcPr>
            <w:tcW w:w="0" w:type="dxa"/>
            <w:vAlign w:val="bottom"/>
          </w:tcPr>
          <w:p>
            <w:pPr>
              <w:spacing w:after="0"/>
              <w:rPr>
                <w:sz w:val="1"/>
                <w:szCs w:val="1"/>
                <w:color w:val="auto"/>
              </w:rPr>
            </w:pPr>
          </w:p>
        </w:tc>
      </w:tr>
      <w:tr>
        <w:trPr>
          <w:trHeight w:val="20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70,306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69,623</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0" w:type="dxa"/>
            <w:vAlign w:val="bottom"/>
          </w:tcPr>
          <w:p>
            <w:pPr>
              <w:spacing w:after="0"/>
              <w:rPr>
                <w:sz w:val="1"/>
                <w:szCs w:val="1"/>
                <w:color w:val="auto"/>
              </w:rPr>
            </w:pPr>
          </w:p>
        </w:tc>
      </w:tr>
      <w:tr>
        <w:trPr>
          <w:trHeight w:val="204"/>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1,550,436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1,548,931</w:t>
            </w:r>
          </w:p>
        </w:tc>
        <w:tc>
          <w:tcPr>
            <w:tcW w:w="0" w:type="dxa"/>
            <w:vAlign w:val="bottom"/>
          </w:tcPr>
          <w:p>
            <w:pPr>
              <w:spacing w:after="0"/>
              <w:rPr>
                <w:sz w:val="1"/>
                <w:szCs w:val="1"/>
                <w:color w:val="auto"/>
              </w:rPr>
            </w:pPr>
          </w:p>
        </w:tc>
      </w:tr>
      <w:tr>
        <w:trPr>
          <w:trHeight w:val="208"/>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(1,315,177)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(1,304,414)</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235,259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244,517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47"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5"/>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8"/>
        </w:trPr>
        <w:tc>
          <w:tcPr>
            <w:tcW w:w="726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21,157</w:t>
            </w:r>
          </w:p>
        </w:tc>
        <w:tc>
          <w:tcPr>
            <w:tcW w:w="12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24,682</w:t>
            </w:r>
          </w:p>
        </w:tc>
      </w:tr>
      <w:tr>
        <w:trPr>
          <w:trHeight w:val="211"/>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taxes, other than income taxes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3,873</w:t>
            </w:r>
          </w:p>
        </w:tc>
      </w:tr>
      <w:tr>
        <w:trPr>
          <w:trHeight w:val="208"/>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2,282</w:t>
            </w:r>
          </w:p>
        </w:tc>
      </w:tr>
      <w:tr>
        <w:trPr>
          <w:trHeight w:val="229"/>
        </w:trPr>
        <w:tc>
          <w:tcPr>
            <w:tcW w:w="7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30,837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r>
      <w:tr>
        <w:trPr>
          <w:trHeight w:val="21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762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Current contract assets </w:t>
            </w:r>
            <w:r>
              <w:rPr>
                <w:rFonts w:ascii="Times New Roman" w:cs="Times New Roman" w:eastAsia="Times New Roman" w:hAnsi="Times New Roman"/>
                <w:sz w:val="20"/>
                <w:szCs w:val="20"/>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22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1,363</w:t>
            </w:r>
          </w:p>
        </w:tc>
      </w:tr>
      <w:tr>
        <w:trPr>
          <w:trHeight w:val="210"/>
        </w:trPr>
        <w:tc>
          <w:tcPr>
            <w:tcW w:w="76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Noncurrent contract assets </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2,725</w:t>
            </w:r>
          </w:p>
        </w:tc>
      </w:tr>
      <w:tr>
        <w:trPr>
          <w:trHeight w:val="203"/>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contract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220" w:type="dxa"/>
            <w:vAlign w:val="bottom"/>
          </w:tcPr>
          <w:p>
            <w:pPr>
              <w:spacing w:after="0"/>
              <w:rPr>
                <w:sz w:val="17"/>
                <w:szCs w:val="17"/>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4,088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6"/>
        </w:trPr>
        <w:tc>
          <w:tcPr>
            <w:tcW w:w="7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liabilities (Deferred revenue):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76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Current contract liabilities </w:t>
            </w:r>
            <w:r>
              <w:rPr>
                <w:rFonts w:ascii="Times New Roman" w:cs="Times New Roman" w:eastAsia="Times New Roman" w:hAnsi="Times New Roman"/>
                <w:sz w:val="20"/>
                <w:szCs w:val="20"/>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2,903</w:t>
            </w:r>
          </w:p>
        </w:tc>
      </w:tr>
      <w:tr>
        <w:trPr>
          <w:trHeight w:val="210"/>
        </w:trPr>
        <w:tc>
          <w:tcPr>
            <w:tcW w:w="7620" w:type="dxa"/>
            <w:vAlign w:val="bottom"/>
            <w:tcBorders>
              <w:bottom w:val="single" w:sz="8" w:color="CCEEFF"/>
            </w:tcBorders>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Noncurrent contract liabilities </w:t>
            </w:r>
            <w:r>
              <w:rPr>
                <w:rFonts w:ascii="Times New Roman" w:cs="Times New Roman" w:eastAsia="Times New Roman" w:hAnsi="Times New Roman"/>
                <w:sz w:val="20"/>
                <w:szCs w:val="20"/>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2,908</w:t>
            </w:r>
          </w:p>
        </w:tc>
      </w:tr>
      <w:tr>
        <w:trPr>
          <w:trHeight w:val="22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 liabilities (Deferred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5,811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left="640" w:hanging="321"/>
        <w:spacing w:after="0" w:line="246" w:lineRule="auto"/>
        <w:tabs>
          <w:tab w:leader="none" w:pos="62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Current contract assets and Noncurrent contract assets are included in "Other current assets" and "Other noncurrent assets," respectively, in our unaudited consolidated balance sheets.</w:t>
      </w:r>
    </w:p>
    <w:p>
      <w:pPr>
        <w:spacing w:after="0" w:line="1" w:lineRule="exact"/>
        <w:rPr>
          <w:rFonts w:ascii="Times New Roman" w:cs="Times New Roman" w:eastAsia="Times New Roman" w:hAnsi="Times New Roman"/>
          <w:sz w:val="20"/>
          <w:szCs w:val="20"/>
          <w:color w:val="auto"/>
          <w:vertAlign w:val="superscript"/>
        </w:rPr>
      </w:pPr>
    </w:p>
    <w:p>
      <w:pPr>
        <w:ind w:left="640" w:hanging="321"/>
        <w:spacing w:after="0" w:line="236" w:lineRule="auto"/>
        <w:tabs>
          <w:tab w:leader="none" w:pos="62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Current contract liabilities and Noncurrent contract liabilities are included in "Deferred revenue" and "Other noncurrent liabilities," respectively, in our unaudited consolidated balance sheets.</w:t>
      </w:r>
    </w:p>
    <w:p>
      <w:pPr>
        <w:spacing w:after="0" w:line="219"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Contract assets consists of upfront incentives offered as consideration for entering into multi-year contracts. These incentives are refundable to us if the customer cancels the contract prior to the end of the contracted terms. The contract assets are amortized as a reduction of revenue over the contract term as the related services are provided. The increase in contract assets from December 31, 2025 to March 31, 2026 was due to incentives provided to a customer in Australia, beginning in the first quarter of 2025, in connection with entering into a six-year integrated services contract.</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Deferred revenue typically consists of upfront payments received before we satisfy the associated performance obligation. The decrease in deferred revenue from December 31, 2025 to March 31, 2026 was due to revenue recognized over the contracted terms related to advance payments received from a customer for village enhancements in Australia.</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4"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 ACQUISITION</w:t>
      </w:r>
    </w:p>
    <w:p>
      <w:pPr>
        <w:spacing w:after="0" w:line="252"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On May 6, 2025, we acquired assets of Qantac Pty Ltd (Qantac), located in Queensland, Australia (the Qantac Acquisition) for total consideration of A$105 million (or approximately US$68 million) in cash. The Qantac Acquisition included four villages, with 1,368 rooms in Australia’s Bowen Basin and the associated accommodation assets, land and customer contracts. As a result of the Qantac Acquisition, we expanded our existing accommodations business into the Blackwater region of the Bowen Basin, which was not previously served by our existing villages. The Qantac Acquisition was funded with cash on hand and borrowings under the Amended Credit Agreement (as defined in Note 7). Qantac’s operations are reported as new village locations in our Australia reportable business segment.</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The Qantac Acquisition was accounted for as an asset acquisition based on the principles described in Accounting Standards Codification Topic 805, Business Combinations,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Under the accounting for asset acquisitions, the acquisition is recorded using a cost accumulation and allocation model under which the cost of such acquisition is allocated on a relative fair value basis to the assets acquired and liabilities assumed. Acquisition-related transaction costs are capitalized as a component of the cost of the assets acquired. Goodwill is not recognized in an asset acquisition, and any difference between consideration transferred and the fair value of the net assets acquired is allocated to the certain identifiable assets acquired based on their relative fair values.</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purchase price was allocated to the net assets as follows (in thousands):</w:t>
      </w:r>
    </w:p>
    <w:p>
      <w:pPr>
        <w:spacing w:after="0" w:line="318" w:lineRule="exact"/>
        <w:rPr>
          <w:sz w:val="20"/>
          <w:szCs w:val="20"/>
          <w:color w:val="auto"/>
        </w:rPr>
      </w:pPr>
    </w:p>
    <w:tbl>
      <w:tblPr>
        <w:tblLayout w:type="fixed"/>
        <w:tblInd w:w="480" w:type="dxa"/>
        <w:tblCellMar>
          <w:top w:w="0" w:type="dxa"/>
          <w:left w:w="0" w:type="dxa"/>
          <w:bottom w:w="0" w:type="dxa"/>
          <w:right w:w="0" w:type="dxa"/>
        </w:tblCellMar>
      </w:tblP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r>
      <w:tr>
        <w:trPr>
          <w:trHeight w:val="208"/>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Direct transaction costs</w:t>
            </w: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w:t>
            </w:r>
          </w:p>
        </w:tc>
      </w:tr>
      <w:tr>
        <w:trPr>
          <w:trHeight w:val="22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of the asset acquisition</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26"/>
        </w:trPr>
        <w:tc>
          <w:tcPr>
            <w:tcW w:w="7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74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70,575</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7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w:t>
            </w:r>
          </w:p>
        </w:tc>
      </w:tr>
      <w:tr>
        <w:trPr>
          <w:trHeight w:val="201"/>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assets acquired</w:t>
            </w: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76,758</w:t>
            </w:r>
          </w:p>
        </w:tc>
      </w:tr>
      <w:tr>
        <w:trPr>
          <w:trHeight w:val="139"/>
        </w:trPr>
        <w:tc>
          <w:tcPr>
            <w:tcW w:w="77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7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7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r>
      <w:tr>
        <w:trPr>
          <w:trHeight w:val="201"/>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r>
      <w:tr>
        <w:trPr>
          <w:trHeight w:val="229"/>
        </w:trPr>
        <w:tc>
          <w:tcPr>
            <w:tcW w:w="7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52"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We calculate our basic earnings per share by dividing net income (loss) attributable to Civeo Corporation by the weighted average number of common shares outstanding. For diluted earnings per share, the basic shares outstanding are adjusted by adding all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6" w:lineRule="exact"/>
        <w:rPr>
          <w:sz w:val="20"/>
          <w:szCs w:val="20"/>
          <w:color w:val="auto"/>
        </w:rPr>
      </w:pPr>
    </w:p>
    <w:p>
      <w:pPr>
        <w:ind w:firstLine="472"/>
        <w:spacing w:after="0" w:line="282" w:lineRule="auto"/>
        <w:rPr>
          <w:sz w:val="20"/>
          <w:szCs w:val="20"/>
          <w:color w:val="auto"/>
        </w:rPr>
      </w:pPr>
      <w:r>
        <w:rPr>
          <w:rFonts w:ascii="Times New Roman" w:cs="Times New Roman" w:eastAsia="Times New Roman" w:hAnsi="Times New Roman"/>
          <w:sz w:val="17"/>
          <w:szCs w:val="17"/>
          <w:color w:val="auto"/>
        </w:rPr>
        <w:t>The calculation of basic and diluted earnings per share attributable to Civeo common shareholders is presented below for the periods indicated (in thousands, except per share amounts):</w:t>
      </w:r>
    </w:p>
    <w:p>
      <w:pPr>
        <w:jc w:val="center"/>
        <w:ind w:left="6440"/>
        <w:spacing w:after="0" w:line="233" w:lineRule="auto"/>
        <w:rPr>
          <w:sz w:val="20"/>
          <w:szCs w:val="20"/>
          <w:color w:val="auto"/>
        </w:rPr>
      </w:pPr>
      <w:r>
        <w:rPr>
          <w:rFonts w:ascii="Times New Roman" w:cs="Times New Roman" w:eastAsia="Times New Roman" w:hAnsi="Times New Roman"/>
          <w:sz w:val="16"/>
          <w:szCs w:val="16"/>
          <w:b w:val="1"/>
          <w:bCs w:val="1"/>
          <w:color w:val="auto"/>
        </w:rPr>
        <w:t>Three Months Ended March</w:t>
      </w:r>
    </w:p>
    <w:p>
      <w:pPr>
        <w:jc w:val="center"/>
        <w:ind w:left="64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4"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60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08"/>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Basic net loss attributable to Civeo Corporation</w:t>
            </w: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(9,842)</w:t>
            </w:r>
          </w:p>
        </w:tc>
      </w:tr>
      <w:tr>
        <w:trPr>
          <w:trHeight w:val="229"/>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loss attributable to Civeo Corporation</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6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8"/>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13,600</w:t>
            </w:r>
          </w:p>
        </w:tc>
      </w:tr>
      <w:tr>
        <w:trPr>
          <w:trHeight w:val="21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shares - share-based awards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11,122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13,600</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1"/>
        </w:trPr>
        <w:tc>
          <w:tcPr>
            <w:tcW w:w="60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10"/>
        </w:trPr>
        <w:tc>
          <w:tcPr>
            <w:tcW w:w="600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Basic net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r>
      <w:tr>
        <w:trPr>
          <w:trHeight w:val="105"/>
        </w:trPr>
        <w:tc>
          <w:tcPr>
            <w:tcW w:w="6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271"/>
        </w:trPr>
        <w:tc>
          <w:tcPr>
            <w:tcW w:w="6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Diluted net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20" w:type="dxa"/>
            <w:vAlign w:val="bottom"/>
          </w:tcPr>
          <w:p>
            <w:pPr>
              <w:spacing w:after="0"/>
              <w:rPr>
                <w:sz w:val="23"/>
                <w:szCs w:val="23"/>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(0.72)</w:t>
            </w:r>
          </w:p>
        </w:tc>
      </w:tr>
    </w:tbl>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36"/>
        </w:trPr>
        <w:tc>
          <w:tcPr>
            <w:tcW w:w="2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85"/>
              </w:rPr>
              <w:t>(1)</w:t>
            </w:r>
          </w:p>
        </w:tc>
        <w:tc>
          <w:tcPr>
            <w:tcW w:w="3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Computations may reflect rounding adjustments.</w:t>
            </w: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Share-based awards that have been excluded from the calculation of weighted-average common shares outstanding because the effect is anti-dilutive totaled 0.1 million shares and 0.1 million shares, respectively,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4"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March 31, 2026 and December 31, 2025, long-term debt consisted of the following (in thousands):</w:t>
      </w:r>
    </w:p>
    <w:p>
      <w:pPr>
        <w:spacing w:after="0" w:line="357"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2"/>
        </w:trPr>
        <w:tc>
          <w:tcPr>
            <w:tcW w:w="7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revolving credit facility; weighted average interest rate of 8.9% for the three month period ended March 31,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Canadian revolving credit facility; weighted average interest rate of 5.9% for the three month period ended March 31,</w:t>
            </w:r>
          </w:p>
        </w:tc>
        <w:tc>
          <w:tcPr>
            <w:tcW w:w="120" w:type="dxa"/>
            <w:vAlign w:val="bottom"/>
          </w:tcPr>
          <w:p>
            <w:pPr>
              <w:spacing w:after="0"/>
              <w:rPr>
                <w:sz w:val="13"/>
                <w:szCs w:val="13"/>
                <w:color w:val="auto"/>
              </w:rPr>
            </w:pP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155,676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132,787</w:t>
            </w:r>
          </w:p>
        </w:tc>
        <w:tc>
          <w:tcPr>
            <w:tcW w:w="0" w:type="dxa"/>
            <w:vAlign w:val="bottom"/>
          </w:tcPr>
          <w:p>
            <w:pPr>
              <w:spacing w:after="0"/>
              <w:rPr>
                <w:sz w:val="1"/>
                <w:szCs w:val="1"/>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7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Australian revolving credit facility; weighted average interest rate of 6.9% for the three month period ended March 31,</w:t>
            </w:r>
          </w:p>
        </w:tc>
        <w:tc>
          <w:tcPr>
            <w:tcW w:w="120" w:type="dxa"/>
            <w:vAlign w:val="bottom"/>
          </w:tcPr>
          <w:p>
            <w:pPr>
              <w:spacing w:after="0"/>
              <w:rPr>
                <w:sz w:val="13"/>
                <w:szCs w:val="13"/>
                <w:color w:val="auto"/>
              </w:rPr>
            </w:pPr>
          </w:p>
        </w:tc>
        <w:tc>
          <w:tcPr>
            <w:tcW w:w="12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51,600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50,055</w:t>
            </w:r>
          </w:p>
        </w:tc>
        <w:tc>
          <w:tcPr>
            <w:tcW w:w="0" w:type="dxa"/>
            <w:vAlign w:val="bottom"/>
          </w:tcPr>
          <w:p>
            <w:pPr>
              <w:spacing w:after="0"/>
              <w:rPr>
                <w:sz w:val="1"/>
                <w:szCs w:val="1"/>
                <w:color w:val="auto"/>
              </w:rPr>
            </w:pPr>
          </w:p>
        </w:tc>
      </w:tr>
      <w:tr>
        <w:trPr>
          <w:trHeight w:val="20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212,276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182,842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2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As of March 31, 2026, our Syndicated Facility Agreement, the Credit Agreement, provided for a $265.0 million revolving credit facility scheduled to mature on August 8, 2028, allocated as follows: (A) a $10.0 million senior secured revolving credit facility in favor of certain of our U.S. subsidiaries, as borrowers; (B) a $200.0 million senior secured revolving credit facility in favor of Civeo and certain of our U.S. subsidiaries, as borrowers; and (C) a $55.0 million senior secured revolving credit facility in favor of one of our Australian subsidiaries, as borrower.</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April 23, 2026, the Credit Agreement was amended and restated (as amended to date, the Amended Credit Agreement) to, among other things:</w:t>
      </w:r>
    </w:p>
    <w:p>
      <w:pPr>
        <w:spacing w:after="0" w:line="250" w:lineRule="exact"/>
        <w:rPr>
          <w:sz w:val="20"/>
          <w:szCs w:val="20"/>
          <w:color w:val="auto"/>
        </w:rPr>
      </w:pPr>
    </w:p>
    <w:p>
      <w:pPr>
        <w:jc w:val="both"/>
        <w:ind w:left="640" w:hanging="321"/>
        <w:spacing w:after="0" w:line="270" w:lineRule="auto"/>
        <w:tabs>
          <w:tab w:leader="none" w:pos="635"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7"/>
          <w:szCs w:val="17"/>
          <w:color w:val="auto"/>
        </w:rPr>
        <w:t>provide for an increase by $20.0 million of the aggregate revolving loan commitments under the Amended Credit Agreement, to an aggregate maximum principal amount of $285.0 million, allocated as follows: (A) a $10.0 million senior secured revolving credit facility in favor of certain of our U.S. subsidiaries, as borrowers (the U.S. Facility); (B) a $205.0 million senior secured revolving credit facility in favor of Civeo, as borrower (the Canadian Facility); and (C) a $70.0 million senior secured revolving credit facility in favor of one of our Australian subsidiaries, as borrowers;</w:t>
      </w:r>
    </w:p>
    <w:p>
      <w:pPr>
        <w:spacing w:after="0" w:line="193" w:lineRule="exact"/>
        <w:rPr>
          <w:rFonts w:ascii="Arial" w:cs="Arial" w:eastAsia="Arial" w:hAnsi="Arial"/>
          <w:sz w:val="17"/>
          <w:szCs w:val="17"/>
          <w:color w:val="auto"/>
        </w:rPr>
      </w:pPr>
    </w:p>
    <w:p>
      <w:pPr>
        <w:ind w:left="620" w:hanging="301"/>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the maturity from August 8, 2028 to April 23, 2030; and</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7"/>
          <w:szCs w:val="17"/>
          <w:color w:val="auto"/>
        </w:rPr>
        <w:t>provide for other technical changes and amendments to the Credit Agreement.</w:t>
      </w:r>
    </w:p>
    <w:p>
      <w:pPr>
        <w:spacing w:after="0" w:line="354"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U.S. dollar amounts outstanding under the facilities provided by the Amended Credit Agreement bear interest at a variable rate equal to Adjusted Term Secured Overnight Financing Rate (SOFR), which is equal to Term SOFR plus a 10 basis point adjustment, plus a margin of 2.50% to 3.75%, or a base rate plus a margin of 1.50% to 2.75%, in each case based on a ratio of our total net debt to Consolidated EBITDA (as defined in the Amended Credit Agreement). Canadian dollar amounts outstanding bear interest at a variable rate equal to Adjusted Term Canadian Overnight Repo Rate Average (CORRA), which is equal to the Term CORRA plus a 29.55 basis point adjustment for one month terms or a 32.14 basis point adjustment for three month terms, plus a margin of 2.50% to 3.75%, or a Canadian Prime rate plus a margin of 1.50% to 2.75%, in each case based on a ratio of our total net debt to Consolidated EBITDA (as defined in the Amended Credit Agreement). Australian dollar amounts outstanding under the Amended Credit Agreement bear interest at a variable rate equal to the Bank Bill Swap Bid Rate plus a margin of 2.50% to 3.75%, based on a ratio of our total net debt to Consolidated EBITDA (as defined in the Amended Credit Agreement).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1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Amended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or convertible indebtedness, we will be required to maintain a maximum leverage ratio of no greater than 3.50 to 1.00 and a maximum senior secured leverage ratio no greater than 2.50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March 31, 2026.</w:t>
      </w:r>
    </w:p>
    <w:p>
      <w:pPr>
        <w:spacing w:after="0" w:line="28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Borrowings under the Amended Credit Agreement are secured by a pledge of substantially all of our assets and the assets of our subsidiaries subject to customary exceptions. The obligations under the Amended Credit Agreement are guaranteed by our material subsidiaries. As of March 31, 2026, we had six lenders that were parties to the Amended Credit Agreement, with total revolving commitments ranging from $37.5 million to $60.0 million. As of March 31, 2026, we had outstanding letters of credit of zero under the U.S. facility, zero under the Australian facility and $0.9 million under the Canadian facility. We also had outstanding bank guarantees of A$1.4 million under the Australian facility.</w:t>
      </w:r>
    </w:p>
    <w:p>
      <w:pPr>
        <w:spacing w:after="0" w:line="103"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 We operate in three jurisdictions, Australia, Canada and the U.S., where statutory tax rates range from 15% to 30%. Our effective tax rate will vary from period to period based on changes in earnings mix between these different jurisdictions.</w:t>
      </w:r>
    </w:p>
    <w:p>
      <w:pPr>
        <w:spacing w:after="0" w:line="299"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March 31, 2026 and 2025, Canada and the U.S. were considered loss jurisdictions for tax accounting purposes and were removed from the annual effective tax rate computation for purposes of computing the interim tax provision.</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Our income tax expense for the three months ended March 31, 2026 totaled $3.1 million, or (474.5)% of pretax loss, compared to income tax expense of $3.1 million, or (45.7)% of pretax loss, for the three months ended March 31, 2025. Our effective tax rate for the three months ended March 31, 2026 and 2025 was impacted by Canada and the U.S. being considered loss jurisdictions that were removed from the annual effective tax rate computation for purposes of computing the interim tax provision.</w:t>
      </w:r>
    </w:p>
    <w:p>
      <w:pPr>
        <w:spacing w:after="0" w:line="192" w:lineRule="exact"/>
        <w:rPr>
          <w:sz w:val="20"/>
          <w:szCs w:val="20"/>
          <w:color w:val="auto"/>
        </w:rPr>
      </w:pPr>
    </w:p>
    <w:p>
      <w:pPr>
        <w:ind w:left="320" w:hanging="315"/>
        <w:spacing w:after="0"/>
        <w:tabs>
          <w:tab w:leader="none" w:pos="3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ACCUMULATED OTHER COMPREHENSIVE LOSS</w:t>
      </w:r>
    </w:p>
    <w:p>
      <w:pPr>
        <w:spacing w:after="0" w:line="22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accumulated other comprehensive loss decreased $4.9 million from $390.8 million at December 31, 2025 to $385.9 million at March 31, 2026, as a result of foreign currency exchange rate fluctuations. Changes in other comprehensive loss during the three months of 2026 were primarily driven by the Australian dollar increasing in value compared to the U.S. dollar and the Canadian dollar decreasing in value compared to the U.S. dollar. Excluding intercompany balances, our Australian dollar functional currency net assets totaled approximately A$245 million and our Canadian dollar functional currency net liabilities totaled approximately C$20 million at March 31, 2026.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SHARE REPURCHASE PROGRAMS AND DIVIDENDS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Programs</w:t>
      </w:r>
    </w:p>
    <w:p>
      <w:pPr>
        <w:spacing w:after="0" w:line="25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March 2025, our Board of Directors (Board) authorized a common share repurchase program (the Share Repurchase Program) to repurchase up to 10.0% of our total common shares which were issued and outstanding at that date, or approximately 1.4 million common shares over a twelve month period. In April 2025, our Board authorized an increase to the Share Repurchase Program to repurchase up to 20.0% of our total common shares which are issued and outstanding at that date, or approximately 2.7 million common shares. In March 2026, our Board authorized an additional repurchase authorization of up to 10.0% of our common shares outstanding upon completion of the existing Share Repurchase Program.</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repurchase authorization allows repurchases from time to time through a variety of methods, including but not limited to open market repurchases, pursuant to a Rule 10b5-1 compliant plan, or privately negotiated transactions. We have funded, and intend to continue to fund, repurchases through cash on hand, cash from debt incurrences and cash generated from operations. Any common shares repurchased are cancelled in the periods they are acquired and the payment is accounted for as an increase to accumulated deficit in our Unaudited Consolidated Statements of Changes in Shareholders’ Equity in the period the payment is made.</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common share repurchases for the periods presented (in thousands, except per share data):</w:t>
      </w:r>
    </w:p>
    <w:p>
      <w:pPr>
        <w:spacing w:after="0" w:line="56" w:lineRule="exact"/>
        <w:rPr>
          <w:sz w:val="20"/>
          <w:szCs w:val="20"/>
          <w:color w:val="auto"/>
        </w:rPr>
      </w:pPr>
    </w:p>
    <w:tbl>
      <w:tblPr>
        <w:tblLayout w:type="fixed"/>
        <w:tblInd w:w="20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780" w:type="dxa"/>
            <w:vAlign w:val="bottom"/>
            <w:tcBorders>
              <w:bottom w:val="single" w:sz="8" w:color="auto"/>
            </w:tcBorders>
            <w:gridSpan w:val="5"/>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4"/>
        </w:trPr>
        <w:tc>
          <w:tcPr>
            <w:tcW w:w="48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Dollar-value of shares repurchased</w:t>
            </w:r>
          </w:p>
        </w:tc>
        <w:tc>
          <w:tcPr>
            <w:tcW w:w="8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5"/>
              </w:rPr>
              <w:t>14,353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r>
      <w:tr>
        <w:trPr>
          <w:trHeight w:val="208"/>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repurchased</w:t>
            </w:r>
          </w:p>
        </w:tc>
        <w:tc>
          <w:tcPr>
            <w:tcW w:w="82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w:t>
            </w:r>
          </w:p>
        </w:tc>
      </w:tr>
      <w:tr>
        <w:trPr>
          <w:trHeight w:val="21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82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5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April 2025, after the completion of our first quarter 2025 dividend, our Board suspended quarterly dividends on our common shares to prioritize returning capital to our shareholders through ongoing share repurchases.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SHARE-BASED COMPENSATION</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share appreciation rights, awards of restricted shares, performance share awards, phantom share units and dividend equivalents, awards of deferred shares, and share payments to our employees and non-employee directors. Approximately 3.0 million Civeo common shares are authorized to be issued under the Civeo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Awards</w:t>
      </w:r>
    </w:p>
    <w:p>
      <w:pPr>
        <w:spacing w:after="0" w:line="224"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Phantom Share Units. </w:t>
      </w:r>
      <w:r>
        <w:rPr>
          <w:rFonts w:ascii="Times New Roman" w:cs="Times New Roman" w:eastAsia="Times New Roman" w:hAnsi="Times New Roman"/>
          <w:sz w:val="17"/>
          <w:szCs w:val="17"/>
          <w:color w:val="auto"/>
        </w:rPr>
        <w:t>On March 5, 2026, we granted 132,804 phantom share units under the Civeo Plan, which vest in three equal annual installments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beginning on March 5, 2027. We also granted 44,187 phantom share units under the Canadian Long-Term Incentive Plan, which vest in three equal annual installments beginning on March 5, 2027. Phantom share units are settled in cash upon vesting.</w:t>
      </w:r>
    </w:p>
    <w:p>
      <w:pPr>
        <w:spacing w:after="0" w:line="187"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2026 and 2025, we recognized compensation expense associated with phantom share units totaling $2.4 million and $1.8 million, respectively. At March 31, 2026, unrecognized compensation cost related to phantom share units was $10.4 million, as remeasured at March 31, 2026, which is expected to be recognized over a weighted average period of 2.2 years.</w:t>
      </w:r>
    </w:p>
    <w:p>
      <w:pPr>
        <w:spacing w:after="0" w:line="160"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Share Awards. </w:t>
      </w:r>
      <w:r>
        <w:rPr>
          <w:rFonts w:ascii="Times New Roman" w:cs="Times New Roman" w:eastAsia="Times New Roman" w:hAnsi="Times New Roman"/>
          <w:sz w:val="17"/>
          <w:szCs w:val="17"/>
          <w:color w:val="auto"/>
        </w:rPr>
        <w:t>On March 5, 2026, we granted 144,433 performance share awards under the Civeo Plan, which cliff vest after three years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attainment of applicable performance goals. These awards will be earned in amounts between 0% and 200% of the participant’s target performance share award, based on the payout percentage associated with</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Civeo’s relative total shareholder return rank among a peer group of other companies and the payout percentage associated with Civeo's three-year growth in EBITDA over the performance period relative to a preset 2028 EBITDA target. The portion of the performance share awards tied to the 2028 EBITDA target includes a performance-based vesting requirement. We evaluate the probability of achieving the performance goals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2026 and 2025, we recognized compensation expense associated with performance share awards totaling $0.1 million and $0.3 million, respectively. The total fair value of performance share awards that vested during the three months ended March 31, 2026 and 2025 was $0.9 million and $1.7 million, respectively. At March 31, 2026, unrecognized compensation cost related to performance share awards was $4.8 million, which is expected to be recognized over a weighted average period of 2.2 years.</w:t>
      </w:r>
    </w:p>
    <w:p>
      <w:pPr>
        <w:spacing w:after="0" w:line="190" w:lineRule="exact"/>
        <w:rPr>
          <w:sz w:val="20"/>
          <w:szCs w:val="20"/>
          <w:color w:val="auto"/>
        </w:rPr>
      </w:pPr>
    </w:p>
    <w:p>
      <w:pPr>
        <w:jc w:val="both"/>
        <w:ind w:firstLine="47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Share Awards / Deferred Share Awards. </w:t>
      </w:r>
      <w:r>
        <w:rPr>
          <w:rFonts w:ascii="Times New Roman" w:cs="Times New Roman" w:eastAsia="Times New Roman" w:hAnsi="Times New Roman"/>
          <w:sz w:val="17"/>
          <w:szCs w:val="17"/>
          <w:color w:val="auto"/>
        </w:rPr>
        <w:t>Compensation expense associated with restricted share awards and deferred share awards recognized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the three months ended March 31, 2026 and 2025 totaled $0.4 million and $0.3 million, respectively. The total fair value of restricted share awards and deferred share awards that vested during the three months ended March 31, 2026 and 2025 was zero.</w:t>
      </w:r>
    </w:p>
    <w:p>
      <w:pPr>
        <w:spacing w:after="0" w:line="161"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At March 31, 2026, unrecognized compensation cost related to restricted share awards and deferred share awards was $0.2 million, which is expected to be recognized over a weighted average period of 0.1 years.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SEGMENT AND RELATED INFORMATION</w:t>
      </w:r>
    </w:p>
    <w:p>
      <w:pPr>
        <w:spacing w:after="0" w:line="226"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We report segment information based on the “management” approach. The management approach designates the internal reporting used by management for making decisions and assessing performance as the source of our reportable segments. Our Chief Executive Officer is the chief operation decision maker (CODM). We have identified two reportable segments, Australia and Canada, which represent our strategic focus on hospitality services and workforce accommodations.</w:t>
      </w:r>
    </w:p>
    <w:p>
      <w:pPr>
        <w:spacing w:after="0" w:line="200" w:lineRule="exact"/>
        <w:rPr>
          <w:sz w:val="20"/>
          <w:szCs w:val="20"/>
          <w:color w:val="auto"/>
        </w:rPr>
      </w:pPr>
    </w:p>
    <w:p>
      <w:pPr>
        <w:spacing w:after="0" w:line="205"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Prior to the fourth quarter of 2025, Corporate, other and eliminations selling, general and administrative expenses includes corporate information technology (IT) expenses managed on a worldwide basis that were not allocated to individual segments in Australia and Canada. To better align segment operating income (loss) to the profitability measure used by our CODM, these shared general and administrative costs are now allocated to Australia and Canada beginning with the year ended December 31, 2025. For the three months ended March 31, 2025, we allocated corporate IT expenses to Australia and Canada of $2.0 million to conform with the presentation for the three months ended March 31, 2026.</w:t>
      </w:r>
    </w:p>
    <w:p>
      <w:pPr>
        <w:spacing w:after="0" w:line="170"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Financial information by business segment for each of the three months ended March 31, 2026 and 2025 is summarized in the following table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4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2026</w:t>
            </w:r>
          </w:p>
        </w:tc>
        <w:tc>
          <w:tcPr>
            <w:tcW w:w="220" w:type="dxa"/>
            <w:vAlign w:val="bottom"/>
          </w:tcPr>
          <w:p>
            <w:pPr>
              <w:spacing w:after="0"/>
              <w:rPr>
                <w:sz w:val="17"/>
                <w:szCs w:val="17"/>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40" w:type="dxa"/>
            <w:vAlign w:val="bottom"/>
          </w:tcPr>
          <w:p>
            <w:pPr>
              <w:spacing w:after="0"/>
              <w:rPr>
                <w:sz w:val="17"/>
                <w:szCs w:val="17"/>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00" w:type="dxa"/>
            <w:vAlign w:val="bottom"/>
          </w:tcPr>
          <w:p>
            <w:pPr>
              <w:spacing w:after="0"/>
              <w:rPr>
                <w:sz w:val="17"/>
                <w:szCs w:val="17"/>
                <w:color w:val="auto"/>
              </w:rPr>
            </w:pPr>
          </w:p>
        </w:tc>
        <w:tc>
          <w:tcPr>
            <w:tcW w:w="110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6"/>
        </w:trPr>
        <w:tc>
          <w:tcPr>
            <w:tcW w:w="4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3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49,649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172,667</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92,468</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40,027</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132,506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40,161</w:t>
            </w: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20,068</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17,308</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3,123</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2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24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4,133</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285,577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189,287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491,605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30"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March 31, 2025</w:t>
            </w:r>
          </w:p>
        </w:tc>
        <w:tc>
          <w:tcPr>
            <w:tcW w:w="220" w:type="dxa"/>
            <w:vAlign w:val="bottom"/>
          </w:tcPr>
          <w:p>
            <w:pPr>
              <w:spacing w:after="0"/>
              <w:rPr>
                <w:sz w:val="17"/>
                <w:szCs w:val="17"/>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60" w:type="dxa"/>
            <w:vAlign w:val="bottom"/>
          </w:tcPr>
          <w:p>
            <w:pPr>
              <w:spacing w:after="0"/>
              <w:rPr>
                <w:sz w:val="17"/>
                <w:szCs w:val="17"/>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20" w:type="dxa"/>
            <w:vAlign w:val="bottom"/>
          </w:tcPr>
          <w:p>
            <w:pPr>
              <w:spacing w:after="0"/>
              <w:rPr>
                <w:sz w:val="17"/>
                <w:szCs w:val="17"/>
                <w:color w:val="auto"/>
              </w:rPr>
            </w:pPr>
          </w:p>
        </w:tc>
        <w:tc>
          <w:tcPr>
            <w:tcW w:w="1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6"/>
        </w:trPr>
        <w:tc>
          <w:tcPr>
            <w:tcW w:w="4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3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103,646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144,044</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76,720</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37,645</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114,615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29,429</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18,185</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16,253</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Other operating expense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(5,516)</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2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5,271</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206,804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207,008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423,752</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20" w:hanging="315"/>
        <w:spacing w:after="0" w:line="228" w:lineRule="auto"/>
        <w:tabs>
          <w:tab w:leader="none" w:pos="3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operating expense (income) for each reportable segment primarily includes other operating income and expenses for the three months ended March 31, 2026 and 2025.</w:t>
      </w:r>
    </w:p>
    <w:p>
      <w:pPr>
        <w:ind w:left="300" w:hanging="295"/>
        <w:spacing w:after="0" w:line="190" w:lineRule="auto"/>
        <w:tabs>
          <w:tab w:leader="none" w:pos="30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income (loss) is primarily related to interest expense, interest income and other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SUBSEQUENT EVENT</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April 23, 2026, we amended our Credit Agreement. See Note 7 - Debt for further information.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2026, beliefs with respect to liquidity needs and expectations with respect to growth strategies and opportunities, cost reductions, share repurchases and benefits of the Qantac Acquisition. Actual results could differ materially from those projected in the forward-looking statements as a result of a number of important factors. For a discussion of known material factors that could affect our results, refer to “Risk Factors” in this quarterly report and "Risk Factors," “Cautionary Statement Regarding Forward-Looking Statements,” and “Management’s Discussion and Analysis of Financial Condition and Results of Operations” included in our Annual Report on Form 10-K for the year ended December 31, 2025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3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In addition, in certain places in this quarterly report, we may refer to reports published by third parties that purport to describe trends or developments in the natural resources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37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Macroeconomic Environment</w:t>
      </w:r>
    </w:p>
    <w:p>
      <w:pPr>
        <w:spacing w:after="0" w:line="147"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Demand for the majority of our hospitality services is driven primarily by ongoing operations of existing natural resource projects in Australia and Canada. Historically, initial demand for our hospitality services has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reserve replacement requirements, estimates of resource production, annual maintenance requirements, inclusive of turnaround requirements, and the expectations of our customers' shareholders. As a result, demand for our hospitality services is sensitive to expected commodity prices, principally related to met (metallurgical) coal, oil, iron ore and liquefied natural gas (LNG), and the resultant impact of these commodity price expectations on our customers' spending. In addition to these historical demand drivers, there is increasing demand for our assets and services tied to data center construction and associated infrastructure. This is principally occurring in the United States (U.S.) but could begin to occur in Australia and Canada as well. Other factors that can affect our business and financial results include the general global economic environment, including inflationary pressures, supply chain disruptions and labor shortages, the impact of global tariff changes and other changes to trade policies, volatility affecting the banking system and financial markets, availability of capital to the natural resource industry and regulatory changes in Australia, Canada and other markets, including governmental measures introduced to mitigate climate change.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Prices</w:t>
      </w:r>
    </w:p>
    <w:p>
      <w:pPr>
        <w:spacing w:after="0" w:line="16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While prices for the commodities that our customers produce stabilized in late 2025 and strengthened in early 2026, there remains continued risk of future volatility, particularly in light of ongoing geopolitical tensions in the Middle East. The factors that could drive such volatility and underlying activity include the U.S. and Israeli conflict with Iran, expectations for global macroeconomic stability and growth, inflationary pressures, higher interest rates, economic growth (or contraction) in China and resultant economic stimulus by the Chinese government, the impact of changes to global tariff and trade policies, actions taken by Organization of the Petroleum Exporting Countries Plus (OPEC+) to adjust oil production levels, other geopolitical events such as the ongoing conflicts in Russia and Ukraine, U.S. oil production levels and regulatory implications on such prices. In Canada, ongoing tensions between the U.S and Canadian governments regarding trade policy may spur Canadian infrastructure projects, including pipelines for LNG or oil, carbon capture installation for oil producing operations and mining for critical minerals.</w:t>
      </w:r>
    </w:p>
    <w:p>
      <w:pPr>
        <w:spacing w:after="0" w:line="1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 Commodity Prices.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Recent met coal, iron ore, West Texas Intermediate (WTI) crude, and Western Canadian Select (WCS) crude pricing trends are as follows:</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7"/>
                <w:szCs w:val="17"/>
                <w:color w:val="auto"/>
              </w:rPr>
              <w:t xml:space="preserve">Average Price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40"/>
              <w:spacing w:after="0" w:line="172" w:lineRule="exact"/>
              <w:rPr>
                <w:sz w:val="20"/>
                <w:szCs w:val="20"/>
                <w:color w:val="auto"/>
              </w:rPr>
            </w:pPr>
            <w:r>
              <w:rPr>
                <w:rFonts w:ascii="Times New Roman" w:cs="Times New Roman" w:eastAsia="Times New Roman" w:hAnsi="Times New Roman"/>
                <w:sz w:val="17"/>
                <w:szCs w:val="17"/>
                <w:color w:val="auto"/>
                <w:w w:val="99"/>
              </w:rPr>
              <w:t>Hard</w:t>
            </w:r>
          </w:p>
        </w:tc>
        <w:tc>
          <w:tcPr>
            <w:tcW w:w="22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color w:val="auto"/>
                <w:w w:val="98"/>
              </w:rPr>
              <w:t>Iron</w:t>
            </w:r>
          </w:p>
        </w:tc>
        <w:tc>
          <w:tcPr>
            <w:tcW w:w="300" w:type="dxa"/>
            <w:vAlign w:val="bottom"/>
          </w:tcPr>
          <w:p>
            <w:pPr>
              <w:spacing w:after="0"/>
              <w:rPr>
                <w:sz w:val="14"/>
                <w:szCs w:val="14"/>
                <w:color w:val="auto"/>
              </w:rPr>
            </w:pPr>
          </w:p>
        </w:tc>
        <w:tc>
          <w:tcPr>
            <w:tcW w:w="13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7"/>
                <w:szCs w:val="17"/>
                <w:color w:val="auto"/>
                <w:w w:val="99"/>
              </w:rPr>
              <w:t>WTI</w:t>
            </w:r>
          </w:p>
        </w:tc>
        <w:tc>
          <w:tcPr>
            <w:tcW w:w="280" w:type="dxa"/>
            <w:vAlign w:val="bottom"/>
          </w:tcPr>
          <w:p>
            <w:pPr>
              <w:spacing w:after="0"/>
              <w:rPr>
                <w:sz w:val="14"/>
                <w:szCs w:val="14"/>
                <w:color w:val="auto"/>
              </w:rPr>
            </w:pPr>
          </w:p>
        </w:tc>
        <w:tc>
          <w:tcPr>
            <w:tcW w:w="1280" w:type="dxa"/>
            <w:vAlign w:val="bottom"/>
            <w:vMerge w:val="restart"/>
          </w:tcPr>
          <w:p>
            <w:pPr>
              <w:jc w:val="center"/>
              <w:ind w:right="213"/>
              <w:spacing w:after="0"/>
              <w:rPr>
                <w:sz w:val="20"/>
                <w:szCs w:val="20"/>
                <w:color w:val="auto"/>
              </w:rPr>
            </w:pPr>
            <w:r>
              <w:rPr>
                <w:rFonts w:ascii="Times New Roman" w:cs="Times New Roman" w:eastAsia="Times New Roman" w:hAnsi="Times New Roman"/>
                <w:sz w:val="17"/>
                <w:szCs w:val="17"/>
                <w:color w:val="auto"/>
              </w:rPr>
              <w:t>WCS</w:t>
            </w:r>
          </w:p>
        </w:tc>
        <w:tc>
          <w:tcPr>
            <w:tcW w:w="0" w:type="dxa"/>
            <w:vAlign w:val="bottom"/>
          </w:tcPr>
          <w:p>
            <w:pPr>
              <w:spacing w:after="0"/>
              <w:rPr>
                <w:sz w:val="1"/>
                <w:szCs w:val="1"/>
                <w:color w:val="auto"/>
              </w:rPr>
            </w:pPr>
          </w:p>
        </w:tc>
      </w:tr>
      <w:tr>
        <w:trPr>
          <w:trHeight w:val="176"/>
        </w:trPr>
        <w:tc>
          <w:tcPr>
            <w:tcW w:w="3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Quarter</w:t>
            </w:r>
          </w:p>
        </w:tc>
        <w:tc>
          <w:tcPr>
            <w:tcW w:w="180" w:type="dxa"/>
            <w:vAlign w:val="bottom"/>
          </w:tcPr>
          <w:p>
            <w:pPr>
              <w:spacing w:after="0"/>
              <w:rPr>
                <w:sz w:val="15"/>
                <w:szCs w:val="15"/>
                <w:color w:val="auto"/>
              </w:rPr>
            </w:pPr>
          </w:p>
        </w:tc>
        <w:tc>
          <w:tcPr>
            <w:tcW w:w="144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7"/>
                <w:szCs w:val="17"/>
                <w:color w:val="auto"/>
              </w:rPr>
              <w:t>Coking Coal</w:t>
            </w:r>
          </w:p>
        </w:tc>
        <w:tc>
          <w:tcPr>
            <w:tcW w:w="2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40"/>
              <w:spacing w:after="0" w:line="171" w:lineRule="exact"/>
              <w:rPr>
                <w:sz w:val="20"/>
                <w:szCs w:val="20"/>
                <w:color w:val="auto"/>
              </w:rPr>
            </w:pPr>
            <w:r>
              <w:rPr>
                <w:rFonts w:ascii="Times New Roman" w:cs="Times New Roman" w:eastAsia="Times New Roman" w:hAnsi="Times New Roman"/>
                <w:sz w:val="17"/>
                <w:szCs w:val="17"/>
                <w:color w:val="auto"/>
              </w:rPr>
              <w:t>(Met Coal)</w:t>
            </w:r>
          </w:p>
        </w:tc>
        <w:tc>
          <w:tcPr>
            <w:tcW w:w="220" w:type="dxa"/>
            <w:vAlign w:val="bottom"/>
          </w:tcPr>
          <w:p>
            <w:pPr>
              <w:spacing w:after="0"/>
              <w:rPr>
                <w:sz w:val="14"/>
                <w:szCs w:val="14"/>
                <w:color w:val="auto"/>
              </w:rPr>
            </w:pPr>
          </w:p>
        </w:tc>
        <w:tc>
          <w:tcPr>
            <w:tcW w:w="1340" w:type="dxa"/>
            <w:vAlign w:val="bottom"/>
            <w:gridSpan w:val="2"/>
          </w:tcPr>
          <w:p>
            <w:pPr>
              <w:jc w:val="center"/>
              <w:ind w:right="360"/>
              <w:spacing w:after="0" w:line="171" w:lineRule="exact"/>
              <w:rPr>
                <w:sz w:val="20"/>
                <w:szCs w:val="20"/>
                <w:color w:val="auto"/>
              </w:rPr>
            </w:pPr>
            <w:r>
              <w:rPr>
                <w:rFonts w:ascii="Times New Roman" w:cs="Times New Roman" w:eastAsia="Times New Roman" w:hAnsi="Times New Roman"/>
                <w:sz w:val="17"/>
                <w:szCs w:val="17"/>
                <w:color w:val="auto"/>
              </w:rPr>
              <w:t>Ore</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line="171" w:lineRule="exact"/>
              <w:rPr>
                <w:sz w:val="20"/>
                <w:szCs w:val="20"/>
                <w:color w:val="auto"/>
              </w:rPr>
            </w:pPr>
            <w:r>
              <w:rPr>
                <w:rFonts w:ascii="Times New Roman" w:cs="Times New Roman" w:eastAsia="Times New Roman" w:hAnsi="Times New Roman"/>
                <w:sz w:val="17"/>
                <w:szCs w:val="17"/>
                <w:color w:val="auto"/>
              </w:rPr>
              <w:t>Crude</w:t>
            </w:r>
          </w:p>
        </w:tc>
        <w:tc>
          <w:tcPr>
            <w:tcW w:w="280" w:type="dxa"/>
            <w:vAlign w:val="bottom"/>
          </w:tcPr>
          <w:p>
            <w:pPr>
              <w:spacing w:after="0"/>
              <w:rPr>
                <w:sz w:val="14"/>
                <w:szCs w:val="14"/>
                <w:color w:val="auto"/>
              </w:rPr>
            </w:pPr>
          </w:p>
        </w:tc>
        <w:tc>
          <w:tcPr>
            <w:tcW w:w="1280" w:type="dxa"/>
            <w:vAlign w:val="bottom"/>
          </w:tcPr>
          <w:p>
            <w:pPr>
              <w:jc w:val="center"/>
              <w:ind w:right="213"/>
              <w:spacing w:after="0" w:line="171" w:lineRule="exact"/>
              <w:rPr>
                <w:sz w:val="20"/>
                <w:szCs w:val="20"/>
                <w:color w:val="auto"/>
              </w:rPr>
            </w:pPr>
            <w:r>
              <w:rPr>
                <w:rFonts w:ascii="Times New Roman" w:cs="Times New Roman" w:eastAsia="Times New Roman" w:hAnsi="Times New Roman"/>
                <w:sz w:val="17"/>
                <w:szCs w:val="17"/>
                <w:color w:val="auto"/>
              </w:rPr>
              <w:t>Crude</w:t>
            </w:r>
          </w:p>
        </w:tc>
        <w:tc>
          <w:tcPr>
            <w:tcW w:w="0" w:type="dxa"/>
            <w:vAlign w:val="bottom"/>
          </w:tcPr>
          <w:p>
            <w:pPr>
              <w:spacing w:after="0"/>
              <w:rPr>
                <w:sz w:val="1"/>
                <w:szCs w:val="1"/>
                <w:color w:val="auto"/>
              </w:rPr>
            </w:pPr>
          </w:p>
        </w:tc>
      </w:tr>
      <w:tr>
        <w:trPr>
          <w:trHeight w:val="223"/>
        </w:trPr>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ended</w:t>
            </w:r>
          </w:p>
        </w:tc>
        <w:tc>
          <w:tcPr>
            <w:tcW w:w="18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(per tonne)</w:t>
            </w:r>
          </w:p>
        </w:tc>
        <w:tc>
          <w:tcPr>
            <w:tcW w:w="22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(per tonne)</w:t>
            </w:r>
          </w:p>
        </w:tc>
        <w:tc>
          <w:tcPr>
            <w:tcW w:w="300" w:type="dxa"/>
            <w:vAlign w:val="bottom"/>
          </w:tcPr>
          <w:p>
            <w:pPr>
              <w:spacing w:after="0"/>
              <w:rPr>
                <w:sz w:val="19"/>
                <w:szCs w:val="19"/>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(per bbl)</w:t>
            </w:r>
          </w:p>
        </w:tc>
        <w:tc>
          <w:tcPr>
            <w:tcW w:w="280" w:type="dxa"/>
            <w:vAlign w:val="bottom"/>
          </w:tcPr>
          <w:p>
            <w:pPr>
              <w:spacing w:after="0"/>
              <w:rPr>
                <w:sz w:val="19"/>
                <w:szCs w:val="19"/>
                <w:color w:val="auto"/>
              </w:rPr>
            </w:pPr>
          </w:p>
        </w:tc>
        <w:tc>
          <w:tcPr>
            <w:tcW w:w="128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(per bbl)</w:t>
            </w:r>
          </w:p>
        </w:tc>
        <w:tc>
          <w:tcPr>
            <w:tcW w:w="0" w:type="dxa"/>
            <w:vAlign w:val="bottom"/>
          </w:tcPr>
          <w:p>
            <w:pPr>
              <w:spacing w:after="0"/>
              <w:rPr>
                <w:sz w:val="1"/>
                <w:szCs w:val="1"/>
                <w:color w:val="auto"/>
              </w:rPr>
            </w:pPr>
          </w:p>
        </w:tc>
      </w:tr>
      <w:tr>
        <w:trPr>
          <w:trHeight w:val="216"/>
        </w:trPr>
        <w:tc>
          <w:tcPr>
            <w:tcW w:w="3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Second Quarter through April 27, 2026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229.39</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73.40</w:t>
            </w:r>
          </w:p>
        </w:tc>
        <w:tc>
          <w:tcPr>
            <w:tcW w:w="0" w:type="dxa"/>
            <w:vAlign w:val="bottom"/>
          </w:tcPr>
          <w:p>
            <w:pPr>
              <w:spacing w:after="0"/>
              <w:rPr>
                <w:sz w:val="1"/>
                <w:szCs w:val="1"/>
                <w:color w:val="auto"/>
              </w:rPr>
            </w:pPr>
          </w:p>
        </w:tc>
      </w:tr>
      <w:tr>
        <w:trPr>
          <w:trHeight w:val="223"/>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57.16</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w:t>
            </w:r>
          </w:p>
        </w:tc>
        <w:tc>
          <w:tcPr>
            <w:tcW w:w="0" w:type="dxa"/>
            <w:vAlign w:val="bottom"/>
          </w:tcPr>
          <w:p>
            <w:pPr>
              <w:spacing w:after="0"/>
              <w:rPr>
                <w:sz w:val="1"/>
                <w:szCs w:val="1"/>
                <w:color w:val="auto"/>
              </w:rPr>
            </w:pPr>
          </w:p>
        </w:tc>
      </w:tr>
      <w:tr>
        <w:trPr>
          <w:trHeight w:val="223"/>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52.48</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53.15</w:t>
            </w:r>
          </w:p>
        </w:tc>
        <w:tc>
          <w:tcPr>
            <w:tcW w:w="0" w:type="dxa"/>
            <w:vAlign w:val="bottom"/>
          </w:tcPr>
          <w:p>
            <w:pPr>
              <w:spacing w:after="0"/>
              <w:rPr>
                <w:sz w:val="1"/>
                <w:szCs w:val="1"/>
                <w:color w:val="auto"/>
              </w:rPr>
            </w:pPr>
          </w:p>
        </w:tc>
      </w:tr>
      <w:tr>
        <w:trPr>
          <w:trHeight w:val="223"/>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58.27</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w:t>
            </w:r>
          </w:p>
        </w:tc>
        <w:tc>
          <w:tcPr>
            <w:tcW w:w="0" w:type="dxa"/>
            <w:vAlign w:val="bottom"/>
          </w:tcPr>
          <w:p>
            <w:pPr>
              <w:spacing w:after="0"/>
              <w:rPr>
                <w:sz w:val="1"/>
                <w:szCs w:val="1"/>
                <w:color w:val="auto"/>
              </w:rPr>
            </w:pPr>
          </w:p>
        </w:tc>
      </w:tr>
      <w:tr>
        <w:trPr>
          <w:trHeight w:val="223"/>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59.97</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67.24</w:t>
            </w:r>
          </w:p>
        </w:tc>
        <w:tc>
          <w:tcPr>
            <w:tcW w:w="0" w:type="dxa"/>
            <w:vAlign w:val="bottom"/>
          </w:tcPr>
          <w:p>
            <w:pPr>
              <w:spacing w:after="0"/>
              <w:rPr>
                <w:sz w:val="1"/>
                <w:szCs w:val="1"/>
                <w:color w:val="auto"/>
              </w:rPr>
            </w:pP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59.48</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940" w:hanging="306"/>
        <w:spacing w:after="0" w:line="228" w:lineRule="auto"/>
        <w:tabs>
          <w:tab w:leader="none" w:pos="9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Source: Hard coking coal prices are from IHS Markit, iron ore prices and WCS crude prices are from Bloomberg and WTI crude prices are from U.S. Energy Information Administration.</w:t>
      </w:r>
    </w:p>
    <w:p>
      <w:pPr>
        <w:spacing w:after="0" w:line="201" w:lineRule="exact"/>
        <w:rPr>
          <w:sz w:val="20"/>
          <w:szCs w:val="20"/>
          <w:color w:val="auto"/>
        </w:rPr>
      </w:pPr>
    </w:p>
    <w:p>
      <w:pPr>
        <w:jc w:val="both"/>
        <w:ind w:firstLine="472"/>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Met Coal. </w:t>
      </w:r>
      <w:r>
        <w:rPr>
          <w:rFonts w:ascii="Times New Roman" w:cs="Times New Roman" w:eastAsia="Times New Roman" w:hAnsi="Times New Roman"/>
          <w:sz w:val="17"/>
          <w:szCs w:val="17"/>
          <w:color w:val="auto"/>
        </w:rPr>
        <w:t>In Australia, 86% of our Australian owned rooms are located in the Bowen Basin of Queensland, Australia and primarily serve met coal mines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that region. Met coal pricing and production growth in the Bowen Basin region is predominantly influenced by global steel production, which remained subdued throughout 2025 and into early 2026. China and Japan experienced declines in steel production through the first three months of 2026, while India and the U.S. continue to see consistent positive growth through 2025 and into early 2026. Global tariff developments and recession fears are weighing on current and near-term global steel production, while the ongoing conflict in the Middle East has contributed to further economic and trade uncertainty. While there has been no noticeable impact on met coal prices to date, input costs for producers are expected to increase, particularly due to higher diesel prices.</w:t>
      </w:r>
    </w:p>
    <w:p>
      <w:pPr>
        <w:spacing w:after="0" w:line="112" w:lineRule="exact"/>
        <w:rPr>
          <w:sz w:val="20"/>
          <w:szCs w:val="20"/>
          <w:color w:val="auto"/>
        </w:rPr>
      </w:pPr>
    </w:p>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Global steel production decreased by 2.3% for the three months through March 2026 compared to the same period in 2025. As of April 27, 2026, met coal spot prices were $228.50 per tonne.</w:t>
      </w:r>
    </w:p>
    <w:p>
      <w:pPr>
        <w:spacing w:after="0" w:line="81" w:lineRule="exact"/>
        <w:rPr>
          <w:sz w:val="20"/>
          <w:szCs w:val="20"/>
          <w:color w:val="auto"/>
        </w:rPr>
      </w:pPr>
    </w:p>
    <w:p>
      <w:pPr>
        <w:jc w:val="both"/>
        <w:ind w:firstLine="472"/>
        <w:spacing w:after="0" w:line="252" w:lineRule="auto"/>
        <w:rPr>
          <w:sz w:val="20"/>
          <w:szCs w:val="20"/>
          <w:color w:val="auto"/>
        </w:rPr>
      </w:pPr>
      <w:r>
        <w:rPr>
          <w:rFonts w:ascii="Times New Roman" w:cs="Times New Roman" w:eastAsia="Times New Roman" w:hAnsi="Times New Roman"/>
          <w:sz w:val="17"/>
          <w:szCs w:val="17"/>
          <w:color w:val="auto"/>
        </w:rPr>
        <w:t>Met coal prices strengthened in late 2025, rising above $200 per tonne following a 12-month period of depressed prices which fluctuated between $169 and $197 per tonne. In early 2026, prices continued to increase, reaching $250 per tonne before moderating to a more stable level between $215 and $230 per tonne as supply and demand conditions became more balanced.</w:t>
      </w:r>
    </w:p>
    <w:p>
      <w:pPr>
        <w:spacing w:after="0" w:line="196"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Although met coal prices have risen to over $200 in late 2025, producers continue to re-evaluate production levels with a heightened focus on cost management. The Middle East conflict has resulted in trade disruption, specifically the seaborne transport of oil and LNG through the Strait of Hormuz, increasing the price of oil, gasoline and diesel, putting further pressure on cost containment if fuel costs continue to stay elevated. In late 2025, several large and mid-tier met coal producers in Queensland, Australia reported making production cuts and workforce reductions in response to margin pressures. While met coal prices have settled at a more profitable level in early 2026, additional met coal supply is expected to enter the market from</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both Australia and the U.S. during 2026, which could place downward pressure on pricing towards $200 per tonne. These supply and demand dynamics may be further impacted by ongoing geopolitical uncertainties, including global tariff developments and the conflict in the Middle East.</w:t>
      </w:r>
    </w:p>
    <w:p>
      <w:pPr>
        <w:spacing w:after="0" w:line="169"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Iron Ore. </w:t>
      </w:r>
      <w:r>
        <w:rPr>
          <w:rFonts w:ascii="Times New Roman" w:cs="Times New Roman" w:eastAsia="Times New Roman" w:hAnsi="Times New Roman"/>
          <w:sz w:val="17"/>
          <w:szCs w:val="17"/>
          <w:color w:val="auto"/>
        </w:rPr>
        <w:t>Iron ore prices have fluctuated between $97 and $111 through early 2026 and remained buoyant as steel mills replenished their iron ore stocks.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Supply has remained strong, with continued production from Australia and Brazil in early 2026, consistent with trends observed in late 2025. Iron ore prices are expected to moderate with continued strong supply entering the market in 2026 and weaker steel demand.</w:t>
      </w:r>
    </w:p>
    <w:p>
      <w:pPr>
        <w:spacing w:after="0" w:line="222" w:lineRule="exact"/>
        <w:rPr>
          <w:sz w:val="20"/>
          <w:szCs w:val="20"/>
          <w:color w:val="auto"/>
        </w:rPr>
      </w:pPr>
    </w:p>
    <w:p>
      <w:pPr>
        <w:jc w:val="both"/>
        <w:ind w:firstLine="472"/>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WTI Crude. </w:t>
      </w:r>
      <w:r>
        <w:rPr>
          <w:rFonts w:ascii="Times New Roman" w:cs="Times New Roman" w:eastAsia="Times New Roman" w:hAnsi="Times New Roman"/>
          <w:sz w:val="17"/>
          <w:szCs w:val="17"/>
          <w:color w:val="auto"/>
        </w:rPr>
        <w:t>WTI crude prices increased during the first quarter of 2026, primarily driven by the U.S. and Israeli conflict with Iran, including the closure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Strait of Hormuz, which has disrupted global oil supply. In an effort to retain and recapture global market share, OPEC+ began reversing previously implemented production cuts at the beginning of the second quarter of 2025 and continuing throughout 2025, increasing production despite softer global demand for oil. After pausing increases in the first quarter of 2026, OPEC+ resumed unwinding production cuts beginning in the second quarter of 2026.</w:t>
      </w:r>
    </w:p>
    <w:p>
      <w:pPr>
        <w:spacing w:after="0" w:line="195" w:lineRule="exact"/>
        <w:rPr>
          <w:sz w:val="20"/>
          <w:szCs w:val="20"/>
          <w:color w:val="auto"/>
        </w:rPr>
      </w:pPr>
    </w:p>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Current geopolitical conditions have increased volatility in the oil markets, making it more difficult to forecast spending and activity for Canadian oil producers.</w:t>
      </w:r>
    </w:p>
    <w:p>
      <w:pPr>
        <w:spacing w:after="0" w:line="155" w:lineRule="exact"/>
        <w:rPr>
          <w:sz w:val="20"/>
          <w:szCs w:val="20"/>
          <w:color w:val="auto"/>
        </w:rPr>
      </w:pPr>
    </w:p>
    <w:p>
      <w:pPr>
        <w:jc w:val="both"/>
        <w:ind w:firstLine="472"/>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WCS Crude. </w:t>
      </w:r>
      <w:r>
        <w:rPr>
          <w:rFonts w:ascii="Times New Roman" w:cs="Times New Roman" w:eastAsia="Times New Roman" w:hAnsi="Times New Roman"/>
          <w:sz w:val="17"/>
          <w:szCs w:val="17"/>
          <w:color w:val="auto"/>
        </w:rPr>
        <w:t>In Canada, WCS crude is the benchmark price for our oil sands customers. Pricing for WCS is driven by several factors, including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export capacity limitations to move Canadian heavy oil production to refineries, primarily along the U.S. Gulf Coast. As a result of the U.S. government’s recent takeover of the Venezuelan oil production, there is a new concern that Venezuelan heavy crude may displace refinery demand for Canadian heavy crude on the U.S. Gulf Coast over time.</w:t>
      </w:r>
    </w:p>
    <w:p>
      <w:pPr>
        <w:spacing w:after="0" w:line="105" w:lineRule="exact"/>
        <w:rPr>
          <w:sz w:val="20"/>
          <w:szCs w:val="20"/>
          <w:color w:val="auto"/>
        </w:rPr>
      </w:pPr>
    </w:p>
    <w:p>
      <w:pPr>
        <w:jc w:val="both"/>
        <w:ind w:firstLine="472"/>
        <w:spacing w:after="0" w:line="245" w:lineRule="auto"/>
        <w:rPr>
          <w:sz w:val="20"/>
          <w:szCs w:val="20"/>
          <w:color w:val="auto"/>
        </w:rPr>
      </w:pPr>
      <w:r>
        <w:rPr>
          <w:rFonts w:ascii="Times New Roman" w:cs="Times New Roman" w:eastAsia="Times New Roman" w:hAnsi="Times New Roman"/>
          <w:sz w:val="17"/>
          <w:szCs w:val="17"/>
          <w:color w:val="auto"/>
        </w:rPr>
        <w:t>WCS prices in the first quarter of 2026 averaged $57.16 per barrel compared to an average of $58.27 in the first quarter of 2025. The WCS Differential increased from an average of $12.50 per barrel at the end of the fourth quarter of 2025 to an average of $15.58 at the end of the first quarter of 2026. Further, the U.S. administration implemented and amended several new tariffs during 2025. Continued implementation or expansion of tariffs on oil from Canada could have an adverse impact on our Canadian customers' profit margins, which may in turn reduce their spending on our accommodations and services. With near-term higher prices, Canadian oil sands customers are prioritizing production while focusing on capital discipline and reducing downtime, while continuing to strive for lower operating costs and lower headcount.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30"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Qantac Acquisition</w:t>
      </w:r>
      <w:r>
        <w:rPr>
          <w:rFonts w:ascii="Times New Roman" w:cs="Times New Roman" w:eastAsia="Times New Roman" w:hAnsi="Times New Roman"/>
          <w:sz w:val="17"/>
          <w:szCs w:val="17"/>
          <w:color w:val="auto"/>
        </w:rPr>
        <w:t>. On May 6, 2025, we completed the Qantac Acquisition, which included four villages with 1,368 rooms in Australia’s Bowen Basin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the associated accommodation assets, land and customer contracts. See Note 5. Asset Acquisition to the notes to the unaudited consolidated financial statements included in Item 1 of this quarterly report for further discussion.</w:t>
      </w:r>
    </w:p>
    <w:p>
      <w:pPr>
        <w:spacing w:after="0" w:line="183" w:lineRule="exact"/>
        <w:rPr>
          <w:sz w:val="20"/>
          <w:szCs w:val="20"/>
          <w:color w:val="auto"/>
        </w:rPr>
      </w:pPr>
    </w:p>
    <w:p>
      <w:pPr>
        <w:jc w:val="both"/>
        <w:ind w:firstLine="472"/>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Inflationary Pressures. </w:t>
      </w:r>
      <w:r>
        <w:rPr>
          <w:rFonts w:ascii="Times New Roman" w:cs="Times New Roman" w:eastAsia="Times New Roman" w:hAnsi="Times New Roman"/>
          <w:sz w:val="17"/>
          <w:szCs w:val="17"/>
          <w:color w:val="auto"/>
        </w:rPr>
        <w:t>Since 2023, price increases resulting from pandemic-related inflation and supply chain disruptions have, and are expected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continue to have, a negative impact on our labor, food and consumable costs, including fuel. Lingering inflation from the pandemic has recently been exacerbated by changes to global tariffs and trade policies. We are managing inflation risk with negotiated service scope changes and contractual protections. Although inflation resulting from global tariffs implemented or threatened by the U.S. administration, and the resulting retaliations by its trading partners, did not materially impact our cost structure in 2025 or into 2026, concerns remain that inflationary pressures could return in the future.</w:t>
      </w:r>
    </w:p>
    <w:p>
      <w:pPr>
        <w:spacing w:after="0" w:line="196" w:lineRule="exact"/>
        <w:rPr>
          <w:sz w:val="20"/>
          <w:szCs w:val="20"/>
          <w:color w:val="auto"/>
        </w:rPr>
      </w:pPr>
    </w:p>
    <w:p>
      <w:pPr>
        <w:jc w:val="both"/>
        <w:ind w:firstLine="472"/>
        <w:spacing w:after="0" w:line="256" w:lineRule="auto"/>
        <w:rPr>
          <w:sz w:val="20"/>
          <w:szCs w:val="20"/>
          <w:color w:val="auto"/>
        </w:rPr>
      </w:pPr>
      <w:r>
        <w:rPr>
          <w:rFonts w:ascii="Times New Roman" w:cs="Times New Roman" w:eastAsia="Times New Roman" w:hAnsi="Times New Roman"/>
          <w:sz w:val="17"/>
          <w:szCs w:val="17"/>
          <w:color w:val="auto"/>
        </w:rPr>
        <w:t>The conflict with Iran and the resulting closure of the Strait of Hormuz has disrupted seaborne trade, specifically the transportation of oil and LNG in the Middle East. Australia imports the majority of its oil and petroleum products, specifically gasoline and diesel. The current disruption of trade through the Strait of Hormuz has materially increased gasoline and diesel prices in Australia, resulting in increased inflation expectations and risk of higher fuel and transportation costs.</w:t>
      </w:r>
    </w:p>
    <w:p>
      <w:pPr>
        <w:spacing w:after="0" w:line="392"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Labor Shortages. </w:t>
      </w:r>
      <w:r>
        <w:rPr>
          <w:rFonts w:ascii="Times New Roman" w:cs="Times New Roman" w:eastAsia="Times New Roman" w:hAnsi="Times New Roman"/>
          <w:sz w:val="17"/>
          <w:szCs w:val="17"/>
          <w:color w:val="auto"/>
        </w:rPr>
        <w:t>We continue to experience increased staff costs as a result of hospitality labor shortages in Australia. Australia’s labor market remains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historically tight, with unemployment holding just above 4% and job mobility (movement of workers between different employers or businesses) at its lowest in 30 years. A persistent overhang of vacancies continues to constrain recruitment, while government stimulus has disproportionately driven job growth in healthcare, aged care, education and public services. Regulated labor costs also remain high, with the Fair Work Commission decisions pushing wage increases well above Consumer Price Index changes, and statutory increases in superannuation, workers’ compensation and payroll tax</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are further inflating total labor costs. For hospitality, this combination of scarce labor supply, competition from government-funded sectors and rising employment costs creates sustained pressure on staffing productivity and availability.</w:t>
      </w:r>
    </w:p>
    <w:p>
      <w:pPr>
        <w:spacing w:after="0" w:line="169"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LNG. </w:t>
      </w:r>
      <w:r>
        <w:rPr>
          <w:rFonts w:ascii="Times New Roman" w:cs="Times New Roman" w:eastAsia="Times New Roman" w:hAnsi="Times New Roman"/>
          <w:sz w:val="17"/>
          <w:szCs w:val="17"/>
          <w:color w:val="auto"/>
        </w:rPr>
        <w:t>Our Sitka Lodge supports the LNG Canada (LNGC) project and related pipeline projects (specifically, the Coastal GasLink Pipeline, the pipeline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constructed to transport natural gas feedstock to LNGC). Construction activity of Phase 1 of the Kitimat LNG Facility has been completed and commercial operations commenced at the end of June 2025. The Coastal GasLink Pipeline was completed in 2024. As such, we continue to expect lower occupancy levels at our Sitka Lodge in the near-term until additional phases of the LNGC project are approved and commence, or further construction activity increases occupancy demand.</w:t>
      </w:r>
    </w:p>
    <w:p>
      <w:pPr>
        <w:spacing w:after="0" w:line="200" w:lineRule="exact"/>
        <w:rPr>
          <w:sz w:val="20"/>
          <w:szCs w:val="20"/>
          <w:color w:val="auto"/>
        </w:rPr>
      </w:pPr>
    </w:p>
    <w:p>
      <w:pPr>
        <w:spacing w:after="0" w:line="20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From a macroeconomic standpoint, LNG demand has continued to grow, reinforcing the need for the global LNG industry to expand access to natural gas. Evolving government energy policies around the world have amplified support for cleaner energy supply, creating more opportunities for natural gas and LNG. The conflicts between Russia and Ukraine and in the Middle East have reinforced the importance for secure natural gas supply globally, particularly in Europe. Accordingly, we expect additional investment in LNG supply will be needed to meet the resulting expected long-term LNG demand growth.</w:t>
      </w:r>
    </w:p>
    <w:p>
      <w:pPr>
        <w:spacing w:after="0" w:line="190" w:lineRule="exact"/>
        <w:rPr>
          <w:sz w:val="20"/>
          <w:szCs w:val="20"/>
          <w:color w:val="auto"/>
        </w:rPr>
      </w:pPr>
    </w:p>
    <w:p>
      <w:pPr>
        <w:jc w:val="both"/>
        <w:ind w:firstLine="472"/>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Currency Exchange Rates. </w:t>
      </w:r>
      <w:r>
        <w:rPr>
          <w:rFonts w:ascii="Times New Roman" w:cs="Times New Roman" w:eastAsia="Times New Roman" w:hAnsi="Times New Roman"/>
          <w:sz w:val="17"/>
          <w:szCs w:val="17"/>
          <w:color w:val="auto"/>
        </w:rPr>
        <w:t>Exchange rates between the U.S. dollar and each of the Australian dollar and the Canadian dollar influence our 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dollar reported financial results. Our business has historically derived the vast majority of its revenues and operating income (loss) in Australia and Canada. These revenues and profits/losses are translated into U.S. dollars for financial reporting purposes under U.S. generally accepted accounting principles. The following tables summarize the fluctuations in the exchange rates between the U.S. dollar and each of the Australian dollar and the Canadian dollar:</w:t>
      </w:r>
    </w:p>
    <w:p>
      <w:pPr>
        <w:spacing w:after="0" w:line="67" w:lineRule="exact"/>
        <w:rPr>
          <w:sz w:val="20"/>
          <w:szCs w:val="20"/>
          <w:color w:val="auto"/>
        </w:rPr>
      </w:pPr>
    </w:p>
    <w:tbl>
      <w:tblPr>
        <w:tblLayout w:type="fixed"/>
        <w:tblInd w:w="1960" w:type="dxa"/>
        <w:tblCellMar>
          <w:top w:w="0" w:type="dxa"/>
          <w:left w:w="0" w:type="dxa"/>
          <w:bottom w:w="0" w:type="dxa"/>
          <w:right w:w="0" w:type="dxa"/>
        </w:tblCellMar>
      </w:tblPr>
      <w:tr>
        <w:trPr>
          <w:trHeight w:val="195"/>
        </w:trPr>
        <w:tc>
          <w:tcPr>
            <w:tcW w:w="3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37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70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7"/>
                <w:szCs w:val="17"/>
                <w:color w:val="auto"/>
              </w:rPr>
            </w:pPr>
          </w:p>
        </w:tc>
      </w:tr>
      <w:tr>
        <w:trPr>
          <w:trHeight w:val="217"/>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 Australian dollar to U.S. dollar</w:t>
            </w:r>
          </w:p>
        </w:tc>
        <w:tc>
          <w:tcPr>
            <w:tcW w:w="8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$0.6954</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$0.6276</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$0.068</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10.80%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8"/>
        </w:trPr>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Average Canadian dollar to U.S. dollar</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$0.7292</w:t>
            </w:r>
          </w:p>
        </w:tc>
        <w:tc>
          <w:tcPr>
            <w:tcW w:w="120" w:type="dxa"/>
            <w:vAlign w:val="bottom"/>
          </w:tcPr>
          <w:p>
            <w:pPr>
              <w:spacing w:after="0"/>
              <w:rPr>
                <w:sz w:val="19"/>
                <w:szCs w:val="19"/>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$0.6969</w:t>
            </w:r>
          </w:p>
        </w:tc>
        <w:tc>
          <w:tcPr>
            <w:tcW w:w="100" w:type="dxa"/>
            <w:vAlign w:val="bottom"/>
          </w:tcPr>
          <w:p>
            <w:pPr>
              <w:spacing w:after="0"/>
              <w:rPr>
                <w:sz w:val="19"/>
                <w:szCs w:val="19"/>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$0.032</w:t>
            </w:r>
          </w:p>
        </w:tc>
        <w:tc>
          <w:tcPr>
            <w:tcW w:w="120" w:type="dxa"/>
            <w:vAlign w:val="bottom"/>
          </w:tcPr>
          <w:p>
            <w:pPr>
              <w:spacing w:after="0"/>
              <w:rPr>
                <w:sz w:val="19"/>
                <w:szCs w:val="19"/>
                <w:color w:val="auto"/>
              </w:rPr>
            </w:pPr>
          </w:p>
        </w:tc>
        <w:tc>
          <w:tcPr>
            <w:tcW w:w="104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9"/>
                <w:szCs w:val="19"/>
                <w:color w:val="auto"/>
              </w:rPr>
            </w:pPr>
          </w:p>
        </w:tc>
      </w:tr>
    </w:tbl>
    <w:p>
      <w:pPr>
        <w:spacing w:after="0" w:line="106"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0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02"/>
        </w:trPr>
        <w:tc>
          <w:tcPr>
            <w:tcW w:w="308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17"/>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Australian dollar to U.S. dollar</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$0.6880</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$0.6674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$0.021</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rPr>
              <w:t>3.09%</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Canadian dollar to U.S. dollar</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$0.7174</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($0.012)</w:t>
            </w:r>
          </w:p>
        </w:tc>
        <w:tc>
          <w:tcPr>
            <w:tcW w:w="160" w:type="dxa"/>
            <w:vAlign w:val="bottom"/>
          </w:tcPr>
          <w:p>
            <w:pPr>
              <w:spacing w:after="0"/>
              <w:rPr>
                <w:sz w:val="19"/>
                <w:szCs w:val="19"/>
                <w:color w:val="auto"/>
              </w:rPr>
            </w:pPr>
          </w:p>
        </w:tc>
        <w:tc>
          <w:tcPr>
            <w:tcW w:w="12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rPr>
              <w:t>(1.67)%</w:t>
            </w:r>
          </w:p>
        </w:tc>
      </w:tr>
    </w:tbl>
    <w:p>
      <w:pPr>
        <w:spacing w:after="0" w:line="173" w:lineRule="exact"/>
        <w:rPr>
          <w:sz w:val="20"/>
          <w:szCs w:val="20"/>
          <w:color w:val="auto"/>
        </w:rPr>
      </w:pPr>
    </w:p>
    <w:p>
      <w:pPr>
        <w:ind w:right="80" w:firstLine="472"/>
        <w:spacing w:after="0" w:line="280" w:lineRule="auto"/>
        <w:rPr>
          <w:sz w:val="20"/>
          <w:szCs w:val="20"/>
          <w:color w:val="auto"/>
        </w:rPr>
      </w:pPr>
      <w:r>
        <w:rPr>
          <w:rFonts w:ascii="Times New Roman" w:cs="Times New Roman" w:eastAsia="Times New Roman" w:hAnsi="Times New Roman"/>
          <w:sz w:val="17"/>
          <w:szCs w:val="17"/>
          <w:color w:val="auto"/>
        </w:rPr>
        <w:t>These fluctuations of the Australian and Canadian dollars have had and will continue to have an impact on the translation of earnings generated from our Australian and Canadian subsidiaries and, therefore, our financial results.</w:t>
      </w:r>
    </w:p>
    <w:p>
      <w:pPr>
        <w:spacing w:after="0" w:line="169" w:lineRule="exact"/>
        <w:rPr>
          <w:sz w:val="20"/>
          <w:szCs w:val="20"/>
          <w:color w:val="auto"/>
        </w:rPr>
      </w:pPr>
    </w:p>
    <w:p>
      <w:pPr>
        <w:jc w:val="both"/>
        <w:ind w:firstLine="472"/>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Expenditures. </w:t>
      </w:r>
      <w:r>
        <w:rPr>
          <w:rFonts w:ascii="Times New Roman" w:cs="Times New Roman" w:eastAsia="Times New Roman" w:hAnsi="Times New Roman"/>
          <w:sz w:val="17"/>
          <w:szCs w:val="17"/>
          <w:color w:val="auto"/>
        </w:rPr>
        <w:t>We continue to monitor the global economy, commodity prices, demand for met coal, oil, iron ore and LNG, inflation, trade policy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the resultant impact on the capital spending plans of our customers in order to plan our business activities. We currently expect that our 2026 capital expenditures will be in the range of approximately $25 million to $30 million, compared to 2025 capital expenditures of $20.2 million. We may adjust our capital expenditure plans in the future as we continue to monitor customer activity.</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“Liquidity and 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below for further discussion of our 2026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Unless otherwise indicated, discussion of results for the three months ended March 31, 2026, is based on a comparison to the corresponding period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Three Months Ended March 31, 2026 Compared to Three Months Ended March 31, 2025</w:t>
      </w:r>
    </w:p>
    <w:p>
      <w:pPr>
        <w:spacing w:after="0" w:line="32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0"/>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123,018</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103,646</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19,372</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49,649</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9,251</w:t>
            </w:r>
          </w:p>
        </w:tc>
      </w:tr>
      <w:tr>
        <w:trPr>
          <w:trHeight w:val="183"/>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172,667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28,623</w:t>
            </w:r>
          </w:p>
        </w:tc>
      </w:tr>
      <w:tr>
        <w:trPr>
          <w:trHeight w:val="204"/>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4"/>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92,468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15,748</w:t>
            </w:r>
          </w:p>
        </w:tc>
      </w:tr>
      <w:tr>
        <w:trPr>
          <w:trHeight w:val="189"/>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r>
      <w:tr>
        <w:trPr>
          <w:trHeight w:val="204"/>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183"/>
        </w:trPr>
        <w:tc>
          <w:tcPr>
            <w:tcW w:w="5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132,506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17,891</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w:t>
            </w:r>
          </w:p>
        </w:tc>
      </w:tr>
      <w:tr>
        <w:trPr>
          <w:trHeight w:val="189"/>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r>
      <w:tr>
        <w:trPr>
          <w:trHeight w:val="204"/>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4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r>
      <w:tr>
        <w:trPr>
          <w:trHeight w:val="183"/>
        </w:trPr>
        <w:tc>
          <w:tcPr>
            <w:tcW w:w="5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169,544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149,560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19,984</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(expense)</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8,639</w:t>
            </w:r>
          </w:p>
        </w:tc>
      </w:tr>
      <w:tr>
        <w:trPr>
          <w:trHeight w:val="210"/>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196"/>
        </w:trPr>
        <w:tc>
          <w:tcPr>
            <w:tcW w:w="5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r>
      <w:tr>
        <w:trPr>
          <w:trHeight w:val="19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w:t>
            </w:r>
          </w:p>
        </w:tc>
      </w:tr>
      <w:tr>
        <w:trPr>
          <w:trHeight w:val="190"/>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1"/>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Civeo Corporation</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We reported net loss attributable to Civeo for the quarter ended March 31, 2026 of $3.8 million, or $0.34 per diluted share. Net loss included $1.0 million in severance, $0.5 million related to real estate rationalization efforts in Canada and $0.4 million of shareholder activist related costs.</w:t>
      </w:r>
    </w:p>
    <w:p>
      <w:pPr>
        <w:spacing w:after="0" w:line="42"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We reported net loss attributable to Civeo for the quarter ended March 31, 2025 of $9.8 million, or $0.72 per diluted share. Net loss included $1.0 million of cost saving initiatives in Canada related to severance and two lodge closures.</w:t>
      </w:r>
    </w:p>
    <w:p>
      <w:pPr>
        <w:spacing w:after="0" w:line="27" w:lineRule="exact"/>
        <w:rPr>
          <w:sz w:val="20"/>
          <w:szCs w:val="20"/>
          <w:color w:val="auto"/>
        </w:rPr>
      </w:pPr>
    </w:p>
    <w:p>
      <w:pPr>
        <w:jc w:val="both"/>
        <w:ind w:firstLine="472"/>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$28.6 million, or 20%, in the first quarter of 2026 compared to the first quarter of 2025. This increase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driven by (i) contributions in Australia from the Qantac Acquisition in the second quarter of 2025, (ii) new integrated services business in Queensland,</w:t>
      </w:r>
    </w:p>
    <w:p>
      <w:pPr>
        <w:spacing w:after="0" w:line="1" w:lineRule="exact"/>
        <w:rPr>
          <w:sz w:val="20"/>
          <w:szCs w:val="20"/>
          <w:color w:val="auto"/>
        </w:rPr>
      </w:pPr>
    </w:p>
    <w:p>
      <w:pPr>
        <w:jc w:val="both"/>
        <w:ind w:firstLine="5"/>
        <w:spacing w:after="0" w:line="248" w:lineRule="auto"/>
        <w:tabs>
          <w:tab w:leader="none" w:pos="30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billed rooms at our Canadian oil sands lodges and (iv) a stronger Australian and Canadian dollar relative to the U.S. dollar in the first quarter of 2026 compared to the first quarter of 2025. The Qantac Acquisition generated $7.5 million of revenues in the first quarter of 2026. See the discussion of segment results of operations below for further information.</w:t>
      </w:r>
    </w:p>
    <w:p>
      <w:pPr>
        <w:spacing w:after="0" w:line="197" w:lineRule="exact"/>
        <w:rPr>
          <w:sz w:val="20"/>
          <w:szCs w:val="20"/>
          <w:color w:val="auto"/>
        </w:rPr>
      </w:pPr>
    </w:p>
    <w:p>
      <w:pPr>
        <w:jc w:val="both"/>
        <w:ind w:firstLine="472"/>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$17.9 million, or 16%, in the first quarter of 2026 compared to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2025. This increase was primarily driven by (i) incremental costs in Australia associated with the Qantac Acquisition in the second quarter of 2025,</w:t>
      </w:r>
    </w:p>
    <w:p>
      <w:pPr>
        <w:spacing w:after="0" w:line="1" w:lineRule="exact"/>
        <w:rPr>
          <w:sz w:val="20"/>
          <w:szCs w:val="20"/>
          <w:color w:val="auto"/>
        </w:rPr>
      </w:pPr>
    </w:p>
    <w:p>
      <w:pPr>
        <w:jc w:val="both"/>
        <w:ind w:firstLine="5"/>
        <w:spacing w:after="0" w:line="244" w:lineRule="auto"/>
        <w:tabs>
          <w:tab w:leader="none" w:pos="26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integrated services business in Queensland, including the associated overhead costs and (iii) higher costs in Canada due to increased occupancy levels and higher food and service costs. In addition, inflation and higher billed days and a stronger Australian and Canadian dollar relative to the U.S. dollar in the first quarter of 2026 compared to the first quarter of 2025 resulted in an increase in cost of sales and services. These items were partially offset by reduced costs at certain Canadian lodges and lower indirect costs as a result of cost reduction measures implemented in early 2025. See the discussion of segment results of operations below for further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1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Selling, general and administrative (SG&amp;A) expenses increased $1.9 million, or 10%, in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2026 compared to the first quarter of 2025. This increase was primarily driven by the write-off of accounts receivable in Australia due to customer insolvency of $0.8 million and higher compensation expense of $0.7 million, largely due to severance costs incurred in Canada. In addition, a stronger Australian and Canadian dollar relative to the U.S. dollar in the first quarter of 2026 compared to the first quarter of 2025. These items were partially offset by lower office expenses of $0.6 million in the first quarter of 2026 compared to the first quarter of 2025.</w:t>
      </w:r>
    </w:p>
    <w:p>
      <w:pPr>
        <w:spacing w:after="0" w:line="105"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$1.1 million, or 6%, in the first quarter of 2026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first quarter of 2025. The increase was primarily due to additional property, plant and equipment acquired through the Qantac Acquisition and a stronger Australian and Canadian dollar relative to the U.S. dollar in the first quarter of 2026 compared to the first quarter of 2025.</w:t>
      </w:r>
    </w:p>
    <w:p>
      <w:pPr>
        <w:spacing w:after="0" w:line="94"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Operating Income (Expense). </w:t>
      </w:r>
      <w:r>
        <w:rPr>
          <w:rFonts w:ascii="Times New Roman" w:cs="Times New Roman" w:eastAsia="Times New Roman" w:hAnsi="Times New Roman"/>
          <w:sz w:val="17"/>
          <w:szCs w:val="17"/>
          <w:color w:val="auto"/>
        </w:rPr>
        <w:t>Consolidated operating income increased $8.6 million, or 157%, in the first quarter of 2026 compared to the first quarter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2025, primarily driven by the Qantac Acquisition in Australia, higher activity levels in Canada and gross margin expansion in Canada resulting from cost cutting measures previously implemented. These items were partially offset by higher depreciation and amortization expense in the first quarter of 2026 compared to the first quarter of 2025.</w:t>
      </w:r>
    </w:p>
    <w:p>
      <w:pPr>
        <w:spacing w:after="0" w:line="86" w:lineRule="exact"/>
        <w:rPr>
          <w:sz w:val="20"/>
          <w:szCs w:val="20"/>
          <w:color w:val="auto"/>
        </w:rPr>
      </w:pPr>
    </w:p>
    <w:p>
      <w:pPr>
        <w:jc w:val="both"/>
        <w:ind w:firstLine="472"/>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increased by $2.1 million, or 134%, in the first quarter of 2026 compared to the first quarter of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related to higher average debt levels, as a result of the Qantac Acquisition and increased share repurchases during 2025.</w:t>
      </w:r>
    </w:p>
    <w:p>
      <w:pPr>
        <w:spacing w:after="0" w:line="76" w:lineRule="exact"/>
        <w:rPr>
          <w:sz w:val="20"/>
          <w:szCs w:val="20"/>
          <w:color w:val="auto"/>
        </w:rPr>
      </w:pPr>
    </w:p>
    <w:p>
      <w:pPr>
        <w:jc w:val="both"/>
        <w:ind w:firstLine="47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three months ended March 31, 2026 totaled $3.1 million, or (474.5)% of pretax loss,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income tax expense of $3.1 million, or (45.7)% of pretax loss, for the three months ended March 31, 2025. Our effective tax rate for the three months ended March 31, 2026 and 2025 was impacted by Canada and the U.S. being considered loss jurisdictions that were removed from the annual effective tax rate computation for purposes of computing the interim tax provision.</w:t>
      </w:r>
    </w:p>
    <w:p>
      <w:pPr>
        <w:spacing w:after="0" w:line="99" w:lineRule="exact"/>
        <w:rPr>
          <w:sz w:val="20"/>
          <w:szCs w:val="20"/>
          <w:color w:val="auto"/>
        </w:rPr>
      </w:pPr>
    </w:p>
    <w:p>
      <w:pPr>
        <w:jc w:val="both"/>
        <w:ind w:firstLine="472"/>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(Loss). </w:t>
      </w:r>
      <w:r>
        <w:rPr>
          <w:rFonts w:ascii="Times New Roman" w:cs="Times New Roman" w:eastAsia="Times New Roman" w:hAnsi="Times New Roman"/>
          <w:sz w:val="17"/>
          <w:szCs w:val="17"/>
          <w:color w:val="auto"/>
        </w:rPr>
        <w:t>Other comprehensive income increased $3.8 million in the first quarter of 2026 compared to the first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primarily as a result of foreign currency translation adjustments due to changes in the Australian and Canadian dollar exchange rates compared to the U.S. dollar. The Australian dollar exchange rate compared to the U.S. dollar increased 3.1% in the first quarter of 2026 compared to a 1% increase in the first quarter of 2025. The Canadian dollar exchange rate compared to the U.S. dollar decreased 2% in the first quarter of 2026 compared to a 0.1% increase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90"/>
        </w:trPr>
        <w:tc>
          <w:tcPr>
            <w:tcW w:w="47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6"/>
        </w:trPr>
        <w:tc>
          <w:tcPr>
            <w:tcW w:w="47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Accommodation and associated services revenue </w:t>
            </w:r>
            <w:r>
              <w:rPr>
                <w:rFonts w:ascii="Times New Roman" w:cs="Times New Roman" w:eastAsia="Times New Roman" w:hAnsi="Times New Roman"/>
                <w:sz w:val="18"/>
                <w:szCs w:val="18"/>
                <w:color w:val="auto"/>
                <w:vertAlign w:val="superscript"/>
              </w:rPr>
              <w:t>(1)</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55,806</w:t>
            </w:r>
          </w:p>
        </w:tc>
        <w:tc>
          <w:tcPr>
            <w:tcW w:w="10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46,823</w:t>
            </w:r>
          </w:p>
        </w:tc>
        <w:tc>
          <w:tcPr>
            <w:tcW w:w="12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8,983</w:t>
            </w:r>
          </w:p>
        </w:tc>
      </w:tr>
      <w:tr>
        <w:trPr>
          <w:trHeight w:val="196"/>
        </w:trPr>
        <w:tc>
          <w:tcPr>
            <w:tcW w:w="472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Integrated services and other services revenue </w:t>
            </w:r>
            <w:r>
              <w:rPr>
                <w:rFonts w:ascii="Times New Roman" w:cs="Times New Roman" w:eastAsia="Times New Roman" w:hAnsi="Times New Roman"/>
                <w:sz w:val="18"/>
                <w:szCs w:val="18"/>
                <w:color w:val="auto"/>
                <w:vertAlign w:val="superscript"/>
              </w:rPr>
              <w:t>(2)</w:t>
            </w:r>
          </w:p>
        </w:tc>
        <w:tc>
          <w:tcPr>
            <w:tcW w:w="1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67,212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56,823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10,389</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123,018</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103,646</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19,372</w:t>
            </w:r>
          </w:p>
        </w:tc>
      </w:tr>
      <w:tr>
        <w:trPr>
          <w:trHeight w:val="217"/>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and associated services cost</w:t>
            </w:r>
          </w:p>
        </w:tc>
        <w:tc>
          <w:tcPr>
            <w:tcW w:w="11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28,057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23,071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4,986</w:t>
            </w:r>
          </w:p>
        </w:tc>
      </w:tr>
      <w:tr>
        <w:trPr>
          <w:trHeight w:val="18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Integrated services and other services cost</w:t>
            </w:r>
          </w:p>
        </w:tc>
        <w:tc>
          <w:tcPr>
            <w:tcW w:w="110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60,549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50,651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9,898</w:t>
            </w:r>
          </w:p>
        </w:tc>
      </w:tr>
      <w:tr>
        <w:trPr>
          <w:trHeight w:val="20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2,998</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864</w:t>
            </w:r>
          </w:p>
        </w:tc>
      </w:tr>
      <w:tr>
        <w:trPr>
          <w:trHeight w:val="183"/>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92,468</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76,720</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15,748</w:t>
            </w:r>
          </w:p>
        </w:tc>
      </w:tr>
      <w:tr>
        <w:trPr>
          <w:trHeight w:val="217"/>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7"/>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Average daily rate for owned villages </w:t>
            </w:r>
            <w:r>
              <w:rPr>
                <w:rFonts w:ascii="Times New Roman" w:cs="Times New Roman" w:eastAsia="Times New Roman" w:hAnsi="Times New Roman"/>
                <w:sz w:val="18"/>
                <w:szCs w:val="18"/>
                <w:color w:val="auto"/>
                <w:vertAlign w:val="superscript"/>
              </w:rPr>
              <w:t>(3)</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7"/>
                <w:szCs w:val="17"/>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w:t>
            </w:r>
          </w:p>
        </w:tc>
      </w:tr>
      <w:tr>
        <w:trPr>
          <w:trHeight w:val="210"/>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6"/>
        </w:trPr>
        <w:tc>
          <w:tcPr>
            <w:tcW w:w="47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Total billed rooms for owned villages </w:t>
            </w:r>
            <w:r>
              <w:rPr>
                <w:rFonts w:ascii="Times New Roman" w:cs="Times New Roman" w:eastAsia="Times New Roman" w:hAnsi="Times New Roman"/>
                <w:sz w:val="18"/>
                <w:szCs w:val="18"/>
                <w:color w:val="auto"/>
                <w:vertAlign w:val="superscript"/>
              </w:rPr>
              <w:t>(4)</w:t>
            </w:r>
          </w:p>
        </w:tc>
        <w:tc>
          <w:tcPr>
            <w:tcW w:w="1100" w:type="dxa"/>
            <w:vAlign w:val="bottom"/>
          </w:tcPr>
          <w:p>
            <w:pPr>
              <w:spacing w:after="0"/>
              <w:rPr>
                <w:sz w:val="17"/>
                <w:szCs w:val="17"/>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675,502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625,636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49,866</w:t>
            </w:r>
          </w:p>
        </w:tc>
      </w:tr>
      <w:tr>
        <w:trPr>
          <w:trHeight w:val="210"/>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2"/>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0.695</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0.628</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0.068</w:t>
            </w:r>
          </w:p>
        </w:tc>
      </w:tr>
    </w:tbl>
    <w:p>
      <w:pPr>
        <w:spacing w:after="0" w:line="200" w:lineRule="exact"/>
        <w:rPr>
          <w:sz w:val="20"/>
          <w:szCs w:val="20"/>
          <w:color w:val="auto"/>
        </w:rPr>
      </w:pPr>
    </w:p>
    <w:p>
      <w:pPr>
        <w:spacing w:after="0" w:line="309" w:lineRule="exact"/>
        <w:rPr>
          <w:sz w:val="20"/>
          <w:szCs w:val="20"/>
          <w:color w:val="auto"/>
        </w:rPr>
      </w:pPr>
    </w:p>
    <w:p>
      <w:pPr>
        <w:ind w:left="300" w:hanging="295"/>
        <w:spacing w:after="0"/>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our owned villages.</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05"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Our Australian segment reported revenues in the first quarter of 2026 that were $19.4 million, or 19%, higher than the first quarter of 2025. The strengthening of the average exchange rate for the Australian dollar relative to the U.S. dollar by 10.8% in the first quarter of 2026 compared to the first quarter of 2025 resulted in a $12.0 million period-over-period increase in revenues. On a constant currency basis, the Australian segment experienced a 7.1% period-over-period increase in revenues. Excluding the impact of the strengthening Australian exchange rate, the increase in the Australian segment was driven by the Qantac Acquisition in the second quarter of 2025 and new integrated services business in Queensland.</w:t>
      </w:r>
    </w:p>
    <w:p>
      <w:pPr>
        <w:spacing w:after="0" w:line="196"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$15.7 million, or 21%, in the first quarter of 2026 compared to the first quarter of 2025. The strengthening of the average exchange rate for the Australian dollar relative to the U.S. dollar by 10.8% in the first quarter of 2026 compared to the first quarter of 2025 resulted in a $9.0 million period-over-period increase in cost of sales and services. Excluding the impact of the strengthening Australian exchange rate, the increase in cost of sales and services in the Australian segment was largely driven by the Qantac Acquisition and new integrated services business in Queensland and the associated overhead costs.</w:t>
      </w:r>
    </w:p>
    <w:p>
      <w:pPr>
        <w:spacing w:after="0" w:line="196" w:lineRule="exact"/>
        <w:rPr>
          <w:sz w:val="20"/>
          <w:szCs w:val="20"/>
          <w:color w:val="auto"/>
        </w:rPr>
      </w:pPr>
    </w:p>
    <w:p>
      <w:pPr>
        <w:jc w:val="both"/>
        <w:ind w:firstLine="472"/>
        <w:spacing w:after="0" w:line="252"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24.8% in the first quarter of 2026 from 26.0% in the first quarter of 2025. This was primarily driven by reduced occupancy at our Bowen Basin villages in Queensland and increased operating costs arising from challenges in industry-wide shortage of skilled labor.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and associated services revenue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43,134</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33,436</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9,698</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and associated services revenue </w:t>
            </w:r>
            <w:r>
              <w:rPr>
                <w:rFonts w:ascii="Times New Roman" w:cs="Times New Roman" w:eastAsia="Times New Roman" w:hAnsi="Times New Roman"/>
                <w:sz w:val="9"/>
                <w:szCs w:val="9"/>
                <w:color w:val="auto"/>
              </w:rPr>
              <w:t>(2)</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819</w:t>
            </w:r>
          </w:p>
        </w:tc>
      </w:tr>
      <w:tr>
        <w:trPr>
          <w:trHeight w:val="19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Integrated services and other services revenue </w:t>
            </w:r>
            <w:r>
              <w:rPr>
                <w:rFonts w:ascii="Times New Roman" w:cs="Times New Roman" w:eastAsia="Times New Roman" w:hAnsi="Times New Roman"/>
                <w:sz w:val="9"/>
                <w:szCs w:val="9"/>
                <w:color w:val="auto"/>
              </w:rPr>
              <w:t>(3)</w:t>
            </w: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5,477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6,743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(1,266)</w:t>
            </w:r>
          </w:p>
        </w:tc>
      </w:tr>
      <w:tr>
        <w:trPr>
          <w:trHeight w:val="196"/>
        </w:trPr>
        <w:tc>
          <w:tcPr>
            <w:tcW w:w="4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49,649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40,398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9,251</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9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and associated services cost </w:t>
            </w:r>
            <w:r>
              <w:rPr>
                <w:rFonts w:ascii="Times New Roman" w:cs="Times New Roman" w:eastAsia="Times New Roman" w:hAnsi="Times New Roman"/>
                <w:sz w:val="9"/>
                <w:szCs w:val="9"/>
                <w:color w:val="auto"/>
              </w:rPr>
              <w:t>(1)</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32,124</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28,865</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3,259</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and associated services cost</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679</w:t>
            </w:r>
          </w:p>
        </w:tc>
      </w:tr>
      <w:tr>
        <w:trPr>
          <w:trHeight w:val="189"/>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Integrated services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5,077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(1,396)</w:t>
            </w:r>
          </w:p>
        </w:tc>
      </w:tr>
      <w:tr>
        <w:trPr>
          <w:trHeight w:val="204"/>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2,147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(160)</w:t>
            </w:r>
          </w:p>
        </w:tc>
      </w:tr>
      <w:tr>
        <w:trPr>
          <w:trHeight w:val="183"/>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40,027</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37,645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2,382</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owned lodges </w:t>
            </w:r>
            <w:r>
              <w:rPr>
                <w:rFonts w:ascii="Times New Roman" w:cs="Times New Roman" w:eastAsia="Times New Roman" w:hAnsi="Times New Roman"/>
                <w:sz w:val="9"/>
                <w:szCs w:val="9"/>
                <w:color w:val="auto"/>
              </w:rPr>
              <w:t>(4)</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9"/>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owned lodges </w:t>
            </w:r>
            <w:r>
              <w:rPr>
                <w:rFonts w:ascii="Times New Roman" w:cs="Times New Roman" w:eastAsia="Times New Roman" w:hAnsi="Times New Roman"/>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433,590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358,697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74,893</w:t>
            </w:r>
          </w:p>
        </w:tc>
      </w:tr>
      <w:tr>
        <w:trPr>
          <w:trHeight w:val="151"/>
        </w:trPr>
        <w:tc>
          <w:tcPr>
            <w:tcW w:w="48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0.729</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0.697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0.032</w:t>
            </w:r>
          </w:p>
        </w:tc>
      </w:tr>
    </w:tbl>
    <w:p>
      <w:pPr>
        <w:spacing w:after="0" w:line="286" w:lineRule="exact"/>
        <w:rPr>
          <w:sz w:val="20"/>
          <w:szCs w:val="20"/>
          <w:color w:val="auto"/>
        </w:rPr>
      </w:pPr>
    </w:p>
    <w:p>
      <w:pPr>
        <w:ind w:left="300" w:hanging="295"/>
        <w:spacing w:after="0"/>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our owned lodges.</w:t>
      </w:r>
    </w:p>
    <w:p>
      <w:pPr>
        <w:spacing w:after="0" w:line="2"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Canadian segment reported revenues in the first quarter of 2026 that were $9.3 million, or 23%, higher than the first quarter of 2025. The strengthening of the average exchange rate for the Canadian dollar relative to the U.S. dollar by 4.6% in the first quarter of 2026 compared to the first quarter of 2025 resulted in a $2.2 million period-over-period increase in revenues. On a constant currency basis, the increase in the Canadian segment was driven by higher billed rooms at our oil sands lodges, up 17% year-over-year. Producers in the region remain focused on reducing operating costs while also prioritizing maintaining and increasing oil production, resulting in additional personnel at site.</w:t>
      </w:r>
    </w:p>
    <w:p>
      <w:pPr>
        <w:spacing w:after="0" w:line="196"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Our Canadian segment cost of sales and services increased $2.4 million, or 6%, in the first quarter of 2026 compared to the first quarter of 2025. The strengthening of the average exchange rate for the Canadian dollar relative to the U.S. dollar by 4.6% in the first quarter of 2026 compared to the first quarter of 2025 resulted in a $1.8 million period-over-period increase in cost of sales and services. On a constant currency basis, the increase in cost of sales and services in the Canadian segment was largely driven by higher costs at various lodges due to increased occupancy levels and higher food and service costs as a result of inflation and higher billed days, partially offset by reduced costs at certain lodges and reduced indirect costs as a result of various cost reduction measures implemented in early 2025.</w:t>
      </w:r>
    </w:p>
    <w:p>
      <w:pPr>
        <w:spacing w:after="0" w:line="19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increased from 6.8% in the first quarter of 2025 to 19.4% in the first quarter of 2026. This was primarily driven by operating efficiencies with higher occupancy as well as higher margins as a result of various cost reduction measures implemented in early 2025.</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Our primary liquidity needs are to fund capital expenditures, which in the past have included expanding and improving our hospitality services, developing new lodges and villages and purchasing or leasing land, to repurchase common shares, to pay dividends and for general working capital needs. In addition, capital has been used to repay debt and fund strategic business acquisitions. Historically, our primary sources of funds have been available cash, cash flow from operations, borrowings under our Amended Credit Agreement and proceeds from equity issuances. In the future, we may seek to access the debt and equity capital markets from time to time to raise additional capital, increase liquidity, fund acquisitions or refinance debt.</w:t>
      </w:r>
    </w:p>
    <w:p>
      <w:pPr>
        <w:spacing w:after="0" w:line="19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consolidated liquidity position as of March 31, 2026 and December 31, 2025 (in thousands):</w:t>
      </w:r>
    </w:p>
    <w:p>
      <w:pPr>
        <w:spacing w:after="0" w:line="4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Lender commitments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265,000</w:t>
            </w:r>
          </w:p>
        </w:tc>
      </w:tr>
      <w:tr>
        <w:trPr>
          <w:trHeight w:val="196"/>
        </w:trPr>
        <w:tc>
          <w:tcPr>
            <w:tcW w:w="7120" w:type="dxa"/>
            <w:vAlign w:val="bottom"/>
          </w:tcPr>
          <w:p>
            <w:pPr>
              <w:ind w:left="140"/>
              <w:spacing w:after="0" w:line="196" w:lineRule="exact"/>
              <w:rPr>
                <w:sz w:val="20"/>
                <w:szCs w:val="20"/>
                <w:color w:val="auto"/>
              </w:rPr>
            </w:pPr>
            <w:r>
              <w:rPr>
                <w:rFonts w:ascii="Times New Roman" w:cs="Times New Roman" w:eastAsia="Times New Roman" w:hAnsi="Times New Roman"/>
                <w:sz w:val="14"/>
                <w:szCs w:val="14"/>
                <w:color w:val="auto"/>
              </w:rPr>
              <w:t xml:space="preserve">Reduction in availability </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(5,344)</w:t>
            </w:r>
          </w:p>
        </w:tc>
      </w:tr>
      <w:tr>
        <w:trPr>
          <w:trHeight w:val="196"/>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against revolving credit capacity</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(182,842)</w:t>
            </w:r>
          </w:p>
        </w:tc>
      </w:tr>
      <w:tr>
        <w:trPr>
          <w:trHeight w:val="190"/>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Outstanding letters of credit</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w:t>
            </w:r>
          </w:p>
        </w:tc>
      </w:tr>
      <w:tr>
        <w:trPr>
          <w:trHeight w:val="196"/>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availability</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51,873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75,948</w:t>
            </w:r>
          </w:p>
        </w:tc>
      </w:tr>
      <w:tr>
        <w:trPr>
          <w:trHeight w:val="19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16,549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14,439</w:t>
            </w:r>
          </w:p>
        </w:tc>
      </w:tr>
      <w:tr>
        <w:trPr>
          <w:trHeight w:val="221"/>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liquidity</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68,422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90,387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20" w:right="120" w:hanging="315"/>
        <w:spacing w:after="0" w:line="228"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 of March 31, 2026 and December 31, 2025, zero and $5.3 million, respectively, of our borrowing capacity under the Amended Credit Agreement could not be utilized in order to maintain compliance with the maximum leverage ratio financial covenant in the Amended Credit Agreement.</w:t>
      </w:r>
    </w:p>
    <w:p>
      <w:pPr>
        <w:spacing w:after="0" w:line="21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Cash totaling $9.7 million was used in operations during the three months ended March 31, 2026, compared to $8.4 million used in operations during the three months ended March 31, 2025. Net cash used in working capital was $24.9 million during the three months ended March 31, 2026 compared to net cash used in working capital of $14.7 million during the three months ended March 31, 2025. The year-over-year increase in cash used in working capital in 2026 compared to 2025 is largely due to increased accounts receivable balances in Australia and Canada.</w:t>
      </w:r>
    </w:p>
    <w:p>
      <w:pPr>
        <w:spacing w:after="0" w:line="19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Cash was used in investing activities during the three months ended March 31, 2026 in the amount of $3.9 million, compared to cash used in investing activities during the three months ended March 31, 2025 in the amount of $5.1 million. The decrease in cash used in investing activities was primarily due to lower capital expenditures. We received net proceeds from the sale of property, plant and equipment of $0.2 million during the three months ended March 31, 2026 and 2025. Capital expenditures totaled $4.1 million and $5.3 million during the three months ended March 31, 2026 and 2025, respectively. Capital expenditures in both periods were primarily related to maintenance.</w:t>
      </w:r>
    </w:p>
    <w:p>
      <w:pPr>
        <w:spacing w:after="0" w:line="196"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We expect our capital expenditures for 2026 to be in the range of $25 million to $30 million, which excludes any unannounced and uncommitted projects, the spending for which is contingent on obtaining customer contracts or commitments or attractive risk-adjusted economics. Whether planned expenditures will actually be spent in 2026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should the transaction economics be attractive enough to us compared to the current capital allocation priorities of returning capital to shareholders. We continue to monitor the global economy, commodity prices, demand for met coal, crude oil, LNG and iron ore, inflation and the resultant impact on the capital spending plans of our customers in order to plan our business activities, and we may adjust our capital expenditure plans in the future.</w:t>
      </w:r>
    </w:p>
    <w:p>
      <w:pPr>
        <w:spacing w:after="0" w:line="179"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Net cash of $15.9 million was provided by financing activities during the three months ended March 31, 2026 primarily due to net borrowings under our revolving credit facilities of $30.6 million, partially offset by repurchases of our common shares of $14.4 million and payments to settle tax obligations on vested shares under our share-based compensation plans of $0.3 million. Net cash of $36.6 million was provided by financing activities during the three months ended March 31, 2025 primarily due to net borrowings under our revolving credit facilities of $44.2 million, partially offset by dividend payments of $3.4 million, repurchases of our common shares of $3.3 million, payments to settle tax obligations on vested shares under our share-based compensation plans of $0.7 million and debt issuance costs of $0.1 million.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debt outstanding during the three months ended March 31, 2026 (in thousands):</w:t>
      </w:r>
    </w:p>
    <w:p>
      <w:pPr>
        <w:sectPr>
          <w:pgSz w:w="11900" w:h="16838" w:orient="portrait"/>
          <w:cols w:equalWidth="0" w:num="1">
            <w:col w:w="11240"/>
          </w:cols>
          <w:pgMar w:left="320" w:top="1440" w:right="339" w:bottom="1440" w:gutter="0" w:footer="0" w:header="0"/>
        </w:sectPr>
      </w:pPr>
    </w:p>
    <w:p>
      <w:pPr>
        <w:spacing w:after="0" w:line="33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-95885</wp:posOffset>
            </wp:positionV>
            <wp:extent cx="4025900" cy="124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25900" cy="124460"/>
                    </a:xfrm>
                    <a:prstGeom prst="rect">
                      <a:avLst/>
                    </a:prstGeom>
                    <a:noFill/>
                  </pic:spPr>
                </pic:pic>
              </a:graphicData>
            </a:graphic>
          </wp:anchor>
        </w:drawing>
      </w:r>
    </w:p>
    <w:p>
      <w:pPr>
        <w:spacing w:after="0" w:line="1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Borrowings under revolving credit facilities</w:t>
      </w:r>
    </w:p>
    <w:p>
      <w:pPr>
        <w:spacing w:after="0" w:line="3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Repayments of borrowings under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-95885</wp:posOffset>
            </wp:positionV>
            <wp:extent cx="4025900" cy="124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25900" cy="124460"/>
                    </a:xfrm>
                    <a:prstGeom prst="rect">
                      <a:avLst/>
                    </a:prstGeom>
                    <a:noFill/>
                  </pic:spPr>
                </pic:pic>
              </a:graphicData>
            </a:graphic>
          </wp:anchor>
        </w:drawing>
      </w:r>
    </w:p>
    <w:p>
      <w:pPr>
        <w:spacing w:after="0" w:line="1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color w:val="auto"/>
        </w:rPr>
        <w:t>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28575</wp:posOffset>
            </wp:positionV>
            <wp:extent cx="4025900" cy="1498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25900" cy="149860"/>
                    </a:xfrm>
                    <a:prstGeom prst="rect">
                      <a:avLst/>
                    </a:prstGeom>
                    <a:noFill/>
                  </pic:spPr>
                </pic:pic>
              </a:graphicData>
            </a:graphic>
          </wp:anchor>
        </w:drawing>
      </w:r>
    </w:p>
    <w:p>
      <w:pPr>
        <w:spacing w:after="0" w:line="5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Balance at March 31, 2026</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844" w:hanging="844"/>
        <w:spacing w:after="0"/>
        <w:tabs>
          <w:tab w:leader="none" w:pos="84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182,842</w:t>
      </w:r>
    </w:p>
    <w:p>
      <w:pPr>
        <w:spacing w:after="0" w:line="35" w:lineRule="exact"/>
        <w:rPr>
          <w:rFonts w:ascii="Times New Roman" w:cs="Times New Roman" w:eastAsia="Times New Roman" w:hAnsi="Times New Roman"/>
          <w:sz w:val="14"/>
          <w:szCs w:val="14"/>
          <w:color w:val="auto"/>
        </w:rPr>
      </w:pPr>
    </w:p>
    <w:p>
      <w:pPr>
        <w:ind w:left="84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192,837</w:t>
      </w:r>
    </w:p>
    <w:p>
      <w:pPr>
        <w:spacing w:after="0" w:line="35"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4"/>
          <w:szCs w:val="14"/>
          <w:color w:val="auto"/>
        </w:rPr>
        <w:t>(162,279)</w:t>
      </w:r>
    </w:p>
    <w:p>
      <w:pPr>
        <w:spacing w:after="0" w:line="35" w:lineRule="exact"/>
        <w:rPr>
          <w:sz w:val="20"/>
          <w:szCs w:val="20"/>
          <w:color w:val="auto"/>
        </w:rPr>
      </w:pPr>
    </w:p>
    <w:p>
      <w:pPr>
        <w:jc w:val="right"/>
        <w:ind w:right="2480"/>
        <w:spacing w:after="0"/>
        <w:rPr>
          <w:sz w:val="20"/>
          <w:szCs w:val="20"/>
          <w:color w:val="auto"/>
        </w:rPr>
      </w:pPr>
      <w:r>
        <w:rPr>
          <w:rFonts w:ascii="Times New Roman" w:cs="Times New Roman" w:eastAsia="Times New Roman" w:hAnsi="Times New Roman"/>
          <w:sz w:val="14"/>
          <w:szCs w:val="14"/>
          <w:color w:val="auto"/>
        </w:rPr>
        <w:t>(1,124)</w:t>
      </w:r>
    </w:p>
    <w:p>
      <w:pPr>
        <w:spacing w:after="0" w:line="49" w:lineRule="exact"/>
        <w:rPr>
          <w:sz w:val="20"/>
          <w:szCs w:val="20"/>
          <w:color w:val="auto"/>
        </w:rPr>
      </w:pPr>
    </w:p>
    <w:p>
      <w:pPr>
        <w:ind w:left="844" w:hanging="844"/>
        <w:spacing w:after="0"/>
        <w:tabs>
          <w:tab w:leader="none" w:pos="8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212,276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873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6716" w:space="720"/>
            <w:col w:w="3804"/>
          </w:cols>
          <w:pgMar w:left="320" w:top="1440" w:right="339" w:bottom="1440" w:gutter="0" w:footer="0" w:header="0"/>
          <w:type w:val="continuous"/>
        </w:sectPr>
      </w:pPr>
    </w:p>
    <w:p>
      <w:pPr>
        <w:spacing w:after="0" w:line="154"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Selectively pursuing strategic organic and inorganic growth opportunities that fit with our current capital allocation priorities of returning capital to shareholders has been, and our management believes will continue to be, an element of our long-term business strategy. The timing, size or success of any growth opportunities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3"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March 2025, our Board authorized a common share repurchase program (the Share Repurchase Program) to repurchase up to 10.0% of our total common shares which were issued and outstanding at that date, or approximately 1.4 million common shares over a twelve-month period. In April 2025, our Board authorized an increase to the Share Repurchase Program to repurchase up to 20.0% of our total common shares which are issued and outstanding at that date, or approximately 2.7 million common shares. In March 2026, our Board authorized an additional repurchase authorization of up to 10.0% of our common shares outstanding upon completion of the April 2025 authorization. The Share Repurchase Program (including the additional authorizations in April 2025 and March 2026) does not expire. See Note 11 – Share Repurchase Programs and Dividends to the notes to the unaudited consolidated financial statements included in Item 1 of this quarterly report for further discussion.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Credit Agreement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April 23, 2026, the Credit Agreement was amended and restated (as amended to date, the Amended Credit Agreement) to, among other things:</w:t>
      </w:r>
    </w:p>
    <w:p>
      <w:pPr>
        <w:spacing w:after="0" w:line="250" w:lineRule="exact"/>
        <w:rPr>
          <w:sz w:val="20"/>
          <w:szCs w:val="20"/>
          <w:color w:val="auto"/>
        </w:rPr>
      </w:pPr>
    </w:p>
    <w:p>
      <w:pPr>
        <w:jc w:val="both"/>
        <w:ind w:left="640" w:hanging="321"/>
        <w:spacing w:after="0" w:line="270" w:lineRule="auto"/>
        <w:tabs>
          <w:tab w:leader="none" w:pos="635"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provide for an increase by $20.0 million of the aggregate revolving loan commitments under the Amended Credit Agreement, to an aggregate maximum principal amount of $285.0 million, allocated as follows: (A) a $10.0 million senior secured revolving credit facility in favor of certain of our U.S. subsidiaries, as borrowers (the U.S. Facility); (B) a $205.0 million senior secured revolving credit facility in favor of Civeo, as borrower (the Canadian Facility); and (C) a $70.0 million senior secured revolving credit facility in favor of one of our Australian subsidiaries, as borrowers;</w:t>
      </w:r>
    </w:p>
    <w:p>
      <w:pPr>
        <w:spacing w:after="0" w:line="193" w:lineRule="exact"/>
        <w:rPr>
          <w:rFonts w:ascii="Arial" w:cs="Arial" w:eastAsia="Arial" w:hAnsi="Arial"/>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the maturity from August 8, 2028 to April 23, 2030; and</w:t>
      </w:r>
    </w:p>
    <w:p>
      <w:pPr>
        <w:spacing w:after="0" w:line="24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provide for other technical changes and amendments to the Credit Agreement.</w:t>
      </w:r>
    </w:p>
    <w:p>
      <w:pPr>
        <w:spacing w:after="0" w:line="118"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As of March 31, 2026, we had outstanding letters of credit of zero under the U.S. facility, zero under the Australian facility and $0.9 million under the Canadian facility. We also had outstanding bank guarantees of A$1.4 million under the Australian facility.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7 – Debt to the notes to the unaudited consolidated financial statements included in Item 1 of this quarterly report for further discussion.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April 2025, our Board suspended quarterly dividends on our common shares to prioritize returning capital to our shareholders through ongoing share repurchases. The declaration and amount of any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Amended Credit Agreement. Future agreements may also limit our ability to pay dividends, and we may incur incremental taxes if we are required to repatriate foreign earnings to pay such dividends. If any dividends are declared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any dividends in the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2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2025.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principal market risks are our exposure to changes in interest rates and foreign currency exchange rates.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have credit facilities that are subject to the risk of higher interest charges associated with increases in interest rates. As of March 31, 2026, we had $212.3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$2.1 million annually, based on our floating-rate debt obligations and interest rates in effect as of March 31,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226"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currencies other than the U.S. dollar, which is our reporting currency, or the functional currency of our subsidiaries, which is not necessarily the U.S. dollar. Excluding intercompany balances, our Australian dollar functional currency net assets totaled approximately A$245 million and our Canadian dollar functional currency net liabilities totaled approximately C$20 million at March 31, 2026. We use a sensitivity analysis model to measure the impact of a 10% adverse movement of foreign currency exchange rates against the U.S. dollar. A hypothetical 10% adverse change in the value of the Australian dollar and Canadian dollar relative to the U.S. dollar as of March 31, 2026 would result in translation adjustments of approximately $24 million and $2 million, respectively, recorded in other comprehensive loss. Although we do not currently have any foreign exchange agreements outstanding, to reduce our exposure to fluctuations in currency exchange rates, we may enter into foreign exchange agreements with financial institutions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2026, at the reasonable assurance level.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During the three months ended March 31, 2026,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28" w:lineRule="exact"/>
        <w:rPr>
          <w:sz w:val="20"/>
          <w:szCs w:val="20"/>
          <w:color w:val="auto"/>
        </w:rPr>
      </w:pPr>
    </w:p>
    <w:p>
      <w:pPr>
        <w:jc w:val="both"/>
        <w:ind w:right="100" w:firstLine="314"/>
        <w:spacing w:after="0" w:line="263"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54" w:lineRule="exact"/>
        <w:rPr>
          <w:sz w:val="20"/>
          <w:szCs w:val="20"/>
          <w:color w:val="auto"/>
        </w:rPr>
      </w:pPr>
    </w:p>
    <w:p>
      <w:pPr>
        <w:jc w:val="both"/>
        <w:ind w:right="100" w:firstLine="314"/>
        <w:spacing w:after="0" w:line="270" w:lineRule="auto"/>
        <w:rPr>
          <w:sz w:val="20"/>
          <w:szCs w:val="20"/>
          <w:color w:val="auto"/>
        </w:rPr>
      </w:pPr>
      <w:r>
        <w:rPr>
          <w:rFonts w:ascii="Times New Roman" w:cs="Times New Roman" w:eastAsia="Times New Roman" w:hAnsi="Times New Roman"/>
          <w:sz w:val="17"/>
          <w:szCs w:val="17"/>
          <w:color w:val="auto"/>
        </w:rPr>
        <w:t>In addition to information set forth in this Quarterly Report on Form 10-Q, including “Management’s Discussion and Analysis of Financial Condition and Results of Operations", you should carefully read and consider “Risk Factors” and “Management's Discussion and Analysis of Financial Condition and Results of Operations” in our Annual Report on Form 10-K for the year ended December 31, 2025, which contains descriptions of significant factors that may cause our future operating results to differ materially from those currently expected.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our common shares during the three months ended March 31, 2026.</w:t>
      </w: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 shares</w:t>
            </w:r>
          </w:p>
        </w:tc>
        <w:tc>
          <w:tcPr>
            <w:tcW w:w="188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8"/>
              </w:rPr>
              <w:t>Maximum number of</w:t>
            </w:r>
          </w:p>
        </w:tc>
        <w:tc>
          <w:tcPr>
            <w:tcW w:w="0" w:type="dxa"/>
            <w:vAlign w:val="bottom"/>
          </w:tcPr>
          <w:p>
            <w:pPr>
              <w:spacing w:after="0"/>
              <w:rPr>
                <w:sz w:val="1"/>
                <w:szCs w:val="1"/>
                <w:color w:val="auto"/>
              </w:rPr>
            </w:pPr>
          </w:p>
        </w:tc>
      </w:tr>
      <w:tr>
        <w:trPr>
          <w:trHeight w:val="157"/>
        </w:trPr>
        <w:tc>
          <w:tcPr>
            <w:tcW w:w="2980" w:type="dxa"/>
            <w:vAlign w:val="bottom"/>
          </w:tcPr>
          <w:p>
            <w:pPr>
              <w:spacing w:after="0"/>
              <w:rPr>
                <w:sz w:val="13"/>
                <w:szCs w:val="13"/>
                <w:color w:val="auto"/>
              </w:rPr>
            </w:pPr>
          </w:p>
        </w:tc>
        <w:tc>
          <w:tcPr>
            <w:tcW w:w="18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5"/>
              </w:rPr>
              <w:t>Average Price Paid</w:t>
            </w:r>
          </w:p>
        </w:tc>
        <w:tc>
          <w:tcPr>
            <w:tcW w:w="260" w:type="dxa"/>
            <w:vAlign w:val="bottom"/>
          </w:tcPr>
          <w:p>
            <w:pPr>
              <w:spacing w:after="0"/>
              <w:rPr>
                <w:sz w:val="13"/>
                <w:szCs w:val="13"/>
                <w:color w:val="auto"/>
              </w:rPr>
            </w:pPr>
          </w:p>
        </w:tc>
        <w:tc>
          <w:tcPr>
            <w:tcW w:w="18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purchased as part of</w:t>
            </w:r>
          </w:p>
        </w:tc>
        <w:tc>
          <w:tcPr>
            <w:tcW w:w="1880" w:type="dxa"/>
            <w:vAlign w:val="bottom"/>
          </w:tcPr>
          <w:p>
            <w:pPr>
              <w:jc w:val="center"/>
              <w:ind w:right="181"/>
              <w:spacing w:after="0" w:line="158" w:lineRule="exact"/>
              <w:rPr>
                <w:sz w:val="20"/>
                <w:szCs w:val="20"/>
                <w:color w:val="auto"/>
              </w:rPr>
            </w:pPr>
            <w:r>
              <w:rPr>
                <w:rFonts w:ascii="Times New Roman" w:cs="Times New Roman" w:eastAsia="Times New Roman" w:hAnsi="Times New Roman"/>
                <w:sz w:val="16"/>
                <w:szCs w:val="16"/>
                <w:b w:val="1"/>
                <w:bCs w:val="1"/>
                <w:color w:val="auto"/>
                <w:w w:val="98"/>
              </w:rPr>
              <w:t>shares that may be</w:t>
            </w:r>
          </w:p>
        </w:tc>
        <w:tc>
          <w:tcPr>
            <w:tcW w:w="0" w:type="dxa"/>
            <w:vAlign w:val="bottom"/>
          </w:tcPr>
          <w:p>
            <w:pPr>
              <w:spacing w:after="0"/>
              <w:rPr>
                <w:sz w:val="1"/>
                <w:szCs w:val="1"/>
                <w:color w:val="auto"/>
              </w:rPr>
            </w:pPr>
          </w:p>
        </w:tc>
      </w:tr>
      <w:tr>
        <w:trPr>
          <w:trHeight w:val="157"/>
        </w:trPr>
        <w:tc>
          <w:tcPr>
            <w:tcW w:w="298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publicly announced plans</w:t>
            </w:r>
          </w:p>
        </w:tc>
        <w:tc>
          <w:tcPr>
            <w:tcW w:w="1880" w:type="dxa"/>
            <w:vAlign w:val="bottom"/>
          </w:tcPr>
          <w:p>
            <w:pPr>
              <w:jc w:val="center"/>
              <w:ind w:right="201"/>
              <w:spacing w:after="0" w:line="158" w:lineRule="exact"/>
              <w:rPr>
                <w:sz w:val="20"/>
                <w:szCs w:val="20"/>
                <w:color w:val="auto"/>
              </w:rPr>
            </w:pPr>
            <w:r>
              <w:rPr>
                <w:rFonts w:ascii="Times New Roman" w:cs="Times New Roman" w:eastAsia="Times New Roman" w:hAnsi="Times New Roman"/>
                <w:sz w:val="16"/>
                <w:szCs w:val="16"/>
                <w:b w:val="1"/>
                <w:bCs w:val="1"/>
                <w:color w:val="auto"/>
                <w:w w:val="99"/>
              </w:rPr>
              <w:t>purchased under the</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or programs</w:t>
            </w:r>
          </w:p>
        </w:tc>
        <w:tc>
          <w:tcPr>
            <w:tcW w:w="188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2026 - January 31, 2026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74,000</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74,000</w:t>
            </w:r>
          </w:p>
        </w:tc>
        <w:tc>
          <w:tcPr>
            <w:tcW w:w="18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548,020</w:t>
            </w:r>
          </w:p>
        </w:tc>
        <w:tc>
          <w:tcPr>
            <w:tcW w:w="0" w:type="dxa"/>
            <w:vAlign w:val="bottom"/>
          </w:tcPr>
          <w:p>
            <w:pPr>
              <w:spacing w:after="0"/>
              <w:rPr>
                <w:sz w:val="1"/>
                <w:szCs w:val="1"/>
                <w:color w:val="auto"/>
              </w:rPr>
            </w:pPr>
          </w:p>
        </w:tc>
      </w:tr>
      <w:tr>
        <w:trPr>
          <w:trHeight w:val="208"/>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2026 - February 28, 2026</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443,439</w:t>
            </w:r>
          </w:p>
        </w:tc>
        <w:tc>
          <w:tcPr>
            <w:tcW w:w="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 (2)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431,250</w:t>
            </w:r>
          </w:p>
        </w:tc>
        <w:tc>
          <w:tcPr>
            <w:tcW w:w="18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116,770</w:t>
            </w:r>
          </w:p>
        </w:tc>
        <w:tc>
          <w:tcPr>
            <w:tcW w:w="0" w:type="dxa"/>
            <w:vAlign w:val="bottom"/>
          </w:tcPr>
          <w:p>
            <w:pPr>
              <w:spacing w:after="0"/>
              <w:rPr>
                <w:sz w:val="1"/>
                <w:szCs w:val="1"/>
                <w:color w:val="auto"/>
              </w:rPr>
            </w:pPr>
          </w:p>
        </w:tc>
      </w:tr>
      <w:tr>
        <w:trPr>
          <w:trHeight w:val="21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2026 - March 31, 2026</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5,750</w:t>
            </w:r>
          </w:p>
        </w:tc>
        <w:tc>
          <w:tcPr>
            <w:tcW w:w="18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111,020</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523,189</w:t>
            </w:r>
          </w:p>
        </w:tc>
        <w:tc>
          <w:tcPr>
            <w:tcW w:w="4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w:t>
            </w:r>
          </w:p>
        </w:tc>
        <w:tc>
          <w:tcPr>
            <w:tcW w:w="260" w:type="dxa"/>
            <w:vAlign w:val="bottom"/>
          </w:tcPr>
          <w:p>
            <w:pPr>
              <w:spacing w:after="0"/>
              <w:rPr>
                <w:sz w:val="17"/>
                <w:szCs w:val="17"/>
                <w:color w:val="auto"/>
              </w:rPr>
            </w:pPr>
          </w:p>
        </w:tc>
        <w:tc>
          <w:tcPr>
            <w:tcW w:w="1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511,000</w:t>
            </w:r>
          </w:p>
        </w:tc>
        <w:tc>
          <w:tcPr>
            <w:tcW w:w="18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111,020</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left="320" w:right="100" w:hanging="315"/>
        <w:spacing w:after="0" w:line="212" w:lineRule="exact"/>
        <w:tabs>
          <w:tab w:leader="none" w:pos="30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April 2025, our Board authorized the repurchase of up to 20% of our total common shares which are issued and outstanding at that date, or approximately 2.7 million common shares (the 2025 Share Repurchase Program). Under the 2025 Share Repurchase Program, we may repurchase shares through a variety of methods, including but not limited to open market repurchases, pursuant to a 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compliant plan, or privately negotiated transactions. We repurchased an aggregate of 511,000 of our common shares outstanding for approximately $14.4 million under the 2025 Share Repurchase Program during the three months ended March 31, 2026. In March 2026, our Board authorized an additional repurchase authorization of up to 10.0% of our common shares outstanding upon completion of the 2025 Share Repurchase Program. The 2025 Share Repurchase Program (including the additional authorization in March 2026) does not expire.</w:t>
      </w:r>
    </w:p>
    <w:p>
      <w:pPr>
        <w:spacing w:after="0" w:line="5" w:lineRule="exact"/>
        <w:rPr>
          <w:rFonts w:ascii="Times New Roman" w:cs="Times New Roman" w:eastAsia="Times New Roman" w:hAnsi="Times New Roman"/>
          <w:sz w:val="23"/>
          <w:szCs w:val="23"/>
          <w:color w:val="auto"/>
          <w:vertAlign w:val="superscript"/>
        </w:rPr>
      </w:pPr>
    </w:p>
    <w:p>
      <w:pPr>
        <w:ind w:left="320" w:right="100" w:hanging="315"/>
        <w:spacing w:after="0" w:line="218" w:lineRule="auto"/>
        <w:tabs>
          <w:tab w:leader="none" w:pos="30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12,189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90" w:lineRule="auto"/>
        <w:tabs>
          <w:tab w:leader="none" w:pos="30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$27.67 per share was the closing price of our common shares on February 23, 2026, the respective date as of which the restrictions lapsed on such shares.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254" w:lineRule="exact"/>
        <w:rPr>
          <w:sz w:val="20"/>
          <w:szCs w:val="20"/>
          <w:color w:val="auto"/>
        </w:rPr>
      </w:pPr>
    </w:p>
    <w:p>
      <w:pPr>
        <w:ind w:left="640" w:hanging="478"/>
        <w:spacing w:after="0"/>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INDEX OF EXHIBITS</w:t>
      </w:r>
    </w:p>
    <w:p>
      <w:pPr>
        <w:spacing w:after="0" w:line="47"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gridSpan w:val="14"/>
          </w:tcPr>
          <w:p>
            <w:pPr>
              <w:ind w:left="12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60" w:type="dxa"/>
            <w:vAlign w:val="bottom"/>
            <w:gridSpan w:val="16"/>
          </w:tcPr>
          <w:p>
            <w:pPr>
              <w:spacing w:after="0"/>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Amended and Restated Syndicated Facility Agreement, dated as of April 23, 2026, by and among Civeo</w:t>
              </w:r>
            </w:hyperlink>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60" w:type="dxa"/>
            <w:vAlign w:val="bottom"/>
            <w:tcBorders>
              <w:top w:val="single" w:sz="8" w:color="0000FF"/>
              <w:bottom w:val="single" w:sz="8" w:color="0000FF"/>
            </w:tcBorders>
            <w:gridSpan w:val="11"/>
          </w:tcPr>
          <w:p>
            <w:pPr>
              <w:spacing w:after="0" w:line="163"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Corporation, Civeo Pty Limited, Civeo Management LLC and Civeo USA LLC, as Borrowers, the Lenders named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320" w:type="dxa"/>
            <w:vAlign w:val="bottom"/>
            <w:tcBorders>
              <w:bottom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therein, Royal Bank of Canada, as Administrative Agent, U.S. Collateral Agent, Canadian Administrative Agent,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340" w:type="dxa"/>
            <w:vAlign w:val="bottom"/>
            <w:gridSpan w:val="15"/>
          </w:tcPr>
          <w:p>
            <w:pPr>
              <w:spacing w:after="0" w:line="150"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Canadian Collateral Agent and an Issuing Bank, RBC Europe Limited, as Australian Administrative Agent and</w:t>
              </w:r>
            </w:hyperlink>
          </w:p>
        </w:tc>
        <w:tc>
          <w:tcPr>
            <w:tcW w:w="20" w:type="dxa"/>
            <w:vAlign w:val="bottom"/>
          </w:tcPr>
          <w:p>
            <w:pPr>
              <w:spacing w:after="0"/>
              <w:rPr>
                <w:sz w:val="13"/>
                <w:szCs w:val="13"/>
                <w:color w:val="auto"/>
              </w:rPr>
            </w:pP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80" w:type="dxa"/>
            <w:vAlign w:val="bottom"/>
            <w:tcBorders>
              <w:top w:val="single" w:sz="8" w:color="0000FF"/>
            </w:tcBorders>
            <w:gridSpan w:val="12"/>
          </w:tcPr>
          <w:p>
            <w:pPr>
              <w:spacing w:after="0" w:line="163"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Australian Collateral Agent, and the other parties thereto (incorporated herein by reference to Exhibit 10.1 to</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0"/>
        </w:trPr>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20" w:type="dxa"/>
            <w:vAlign w:val="bottom"/>
            <w:tcBorders>
              <w:top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Current Report on Form 8-K (File No. 001-36246 filed on April 28, 2026).</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24"/>
                <w:szCs w:val="24"/>
                <w:color w:val="auto"/>
              </w:rPr>
            </w:pP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13a-14(a) or 15d-14(a)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2"/>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w:t>
            </w:r>
          </w:p>
        </w:tc>
        <w:tc>
          <w:tcPr>
            <w:tcW w:w="5820" w:type="dxa"/>
            <w:vAlign w:val="bottom"/>
            <w:tcBorders>
              <w:top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25"/>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24"/>
                <w:szCs w:val="24"/>
                <w:color w:val="auto"/>
              </w:rPr>
            </w:pP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13a-14(a) or 15d-14(a)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60" w:type="dxa"/>
            <w:vAlign w:val="bottom"/>
            <w:tcBorders>
              <w:top w:val="single" w:sz="8" w:color="0000FF"/>
              <w:bottom w:val="single" w:sz="8" w:color="0000FF"/>
            </w:tcBorders>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w:t>
            </w:r>
          </w:p>
        </w:tc>
        <w:tc>
          <w:tcPr>
            <w:tcW w:w="5880" w:type="dxa"/>
            <w:vAlign w:val="bottom"/>
            <w:tcBorders>
              <w:top w:val="single" w:sz="8" w:color="0000FF"/>
            </w:tcBorders>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25"/>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24"/>
                <w:szCs w:val="24"/>
                <w:color w:val="auto"/>
              </w:rPr>
            </w:pP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13a-14(b) or 15d-14(b)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4"/>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 and 18 U.S.C. Section 1350.</w:t>
            </w:r>
          </w:p>
        </w:tc>
        <w:tc>
          <w:tcPr>
            <w:tcW w:w="3960" w:type="dxa"/>
            <w:vAlign w:val="bottom"/>
            <w:tcBorders>
              <w:top w:val="single" w:sz="8" w:color="0000FF"/>
            </w:tcBorders>
            <w:gridSpan w:val="9"/>
          </w:tcPr>
          <w:p>
            <w:pPr>
              <w:spacing w:after="0"/>
              <w:rPr>
                <w:sz w:val="14"/>
                <w:szCs w:val="14"/>
                <w:color w:val="auto"/>
              </w:rPr>
            </w:pPr>
          </w:p>
        </w:tc>
        <w:tc>
          <w:tcPr>
            <w:tcW w:w="60" w:type="dxa"/>
            <w:vAlign w:val="bottom"/>
            <w:gridSpan w:val="3"/>
          </w:tcPr>
          <w:p>
            <w:pPr>
              <w:spacing w:after="0"/>
              <w:rPr>
                <w:sz w:val="14"/>
                <w:szCs w:val="14"/>
                <w:color w:val="auto"/>
              </w:rPr>
            </w:pPr>
          </w:p>
        </w:tc>
      </w:tr>
      <w:tr>
        <w:trPr>
          <w:trHeight w:val="425"/>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4"/>
                <w:szCs w:val="24"/>
                <w:color w:val="auto"/>
              </w:rPr>
            </w:pP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13a-14(b) or 15d-14(b) under the</w:t>
            </w:r>
          </w:p>
        </w:tc>
      </w:tr>
      <w:tr>
        <w:trPr>
          <w:trHeight w:val="163"/>
        </w:trPr>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4"/>
          </w:tcPr>
          <w:p>
            <w:pPr>
              <w:spacing w:after="0" w:line="163" w:lineRule="exact"/>
              <w:rPr>
                <w:sz w:val="20"/>
                <w:szCs w:val="20"/>
                <w:color w:val="auto"/>
              </w:rPr>
            </w:pPr>
            <w:r>
              <w:rPr>
                <w:rFonts w:ascii="Times New Roman" w:cs="Times New Roman" w:eastAsia="Times New Roman" w:hAnsi="Times New Roman"/>
                <w:sz w:val="17"/>
                <w:szCs w:val="17"/>
                <w:color w:val="0000FF"/>
              </w:rPr>
              <w:t>Securities Exchange Act of 1934 and 18 U.S.C. Section 1350.</w:t>
            </w:r>
          </w:p>
        </w:tc>
        <w:tc>
          <w:tcPr>
            <w:tcW w:w="3840" w:type="dxa"/>
            <w:vAlign w:val="bottom"/>
            <w:tcBorders>
              <w:top w:val="single" w:sz="8" w:color="0000FF"/>
            </w:tcBorders>
            <w:gridSpan w:val="3"/>
          </w:tcPr>
          <w:p>
            <w:pPr>
              <w:spacing w:after="0"/>
              <w:rPr>
                <w:sz w:val="14"/>
                <w:szCs w:val="14"/>
                <w:color w:val="auto"/>
              </w:rPr>
            </w:pPr>
          </w:p>
        </w:tc>
        <w:tc>
          <w:tcPr>
            <w:tcW w:w="180" w:type="dxa"/>
            <w:vAlign w:val="bottom"/>
            <w:gridSpan w:val="9"/>
          </w:tcPr>
          <w:p>
            <w:pPr>
              <w:spacing w:after="0"/>
              <w:rPr>
                <w:sz w:val="14"/>
                <w:szCs w:val="14"/>
                <w:color w:val="auto"/>
              </w:rPr>
            </w:pPr>
          </w:p>
        </w:tc>
      </w:tr>
      <w:tr>
        <w:trPr>
          <w:trHeight w:val="420"/>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101.INS*</w:t>
            </w: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Inline XBRL Instance Document - the instance document does not appear in the Interactive Data File because its</w:t>
            </w:r>
          </w:p>
        </w:tc>
      </w:tr>
      <w:tr>
        <w:trPr>
          <w:trHeight w:val="228"/>
        </w:trPr>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360" w:type="dxa"/>
            <w:vAlign w:val="bottom"/>
            <w:gridSpan w:val="16"/>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445"/>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101.SCH*</w:t>
            </w: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Schema Document</w:t>
            </w:r>
          </w:p>
        </w:tc>
      </w:tr>
      <w:tr>
        <w:trPr>
          <w:trHeight w:val="445"/>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101.CAL*</w:t>
            </w: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Calculation Linkbase Document</w:t>
            </w:r>
          </w:p>
        </w:tc>
      </w:tr>
      <w:tr>
        <w:trPr>
          <w:trHeight w:val="445"/>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101.DEF*</w:t>
            </w: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Inline Taxonomy Extension Definition Linkbase Document</w:t>
            </w:r>
          </w:p>
        </w:tc>
      </w:tr>
      <w:tr>
        <w:trPr>
          <w:trHeight w:val="445"/>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101.LAB*</w:t>
            </w: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Label Linkbase Document</w:t>
            </w:r>
          </w:p>
        </w:tc>
      </w:tr>
      <w:tr>
        <w:trPr>
          <w:trHeight w:val="445"/>
        </w:trPr>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101.PRE*</w:t>
            </w:r>
          </w:p>
        </w:tc>
        <w:tc>
          <w:tcPr>
            <w:tcW w:w="8780" w:type="dxa"/>
            <w:vAlign w:val="bottom"/>
            <w:gridSpan w:val="17"/>
          </w:tcPr>
          <w:p>
            <w:pPr>
              <w:ind w:left="80"/>
              <w:spacing w:after="0"/>
              <w:rPr>
                <w:sz w:val="20"/>
                <w:szCs w:val="20"/>
                <w:color w:val="auto"/>
              </w:rPr>
            </w:pPr>
            <w:r>
              <w:rPr>
                <w:rFonts w:ascii="Times New Roman" w:cs="Times New Roman" w:eastAsia="Times New Roman" w:hAnsi="Times New Roman"/>
                <w:sz w:val="17"/>
                <w:szCs w:val="17"/>
                <w:color w:val="auto"/>
              </w:rPr>
              <w:t>—  Inline XBRL Taxonomy Extension Presentation Linkbase Document</w:t>
            </w:r>
          </w:p>
        </w:tc>
      </w:tr>
    </w:tbl>
    <w:p>
      <w:pPr>
        <w:spacing w:after="0" w:line="244" w:lineRule="exact"/>
        <w:rPr>
          <w:sz w:val="20"/>
          <w:szCs w:val="20"/>
          <w:color w:val="auto"/>
        </w:rPr>
      </w:pPr>
    </w:p>
    <w:p>
      <w:pPr>
        <w:ind w:left="1480" w:hanging="1143"/>
        <w:spacing w:after="0"/>
        <w:tabs>
          <w:tab w:leader="none" w:pos="148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262"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herewith.</w:t>
      </w:r>
    </w:p>
    <w:p>
      <w:pPr>
        <w:spacing w:after="0" w:line="53" w:lineRule="exact"/>
        <w:rPr>
          <w:rFonts w:ascii="Times New Roman" w:cs="Times New Roman" w:eastAsia="Times New Roman" w:hAnsi="Times New Roman"/>
          <w:sz w:val="17"/>
          <w:szCs w:val="17"/>
          <w:color w:val="auto"/>
        </w:rPr>
      </w:pPr>
    </w:p>
    <w:p>
      <w:pPr>
        <w:ind w:left="420" w:hanging="398"/>
        <w:spacing w:after="0"/>
        <w:tabs>
          <w:tab w:leader="none" w:pos="4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53" w:lineRule="exact"/>
        <w:rPr>
          <w:sz w:val="20"/>
          <w:szCs w:val="20"/>
          <w:color w:val="auto"/>
        </w:rPr>
      </w:pPr>
    </w:p>
    <w:p>
      <w:pPr>
        <w:ind w:left="420" w:hanging="398"/>
        <w:spacing w:after="0"/>
        <w:tabs>
          <w:tab w:leader="none" w:pos="4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and compensatory plans and arrangements.</w:t>
      </w:r>
    </w:p>
    <w:p>
      <w:pPr>
        <w:spacing w:after="0" w:line="3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and covenants in the agreements as characterizations of the actual state of facts about Civeo or its business or operations on the date hereof.</w:t>
      </w:r>
    </w:p>
    <w:p>
      <w:pPr>
        <w:sectPr>
          <w:pgSz w:w="11900" w:h="16838" w:orient="portrait"/>
          <w:cols w:equalWidth="0" w:num="1">
            <w:col w:w="10139"/>
          </w:cols>
          <w:pgMar w:left="320" w:top="1143"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type w:val="continuous"/>
        </w:sectPr>
      </w:pPr>
    </w:p>
    <w:bookmarkStart w:id="35" w:name="page36"/>
    <w:bookmarkEnd w:id="35"/>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353"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7"/>
          <w:szCs w:val="17"/>
          <w:u w:val="single" w:color="auto"/>
          <w:color w:val="auto"/>
        </w:rPr>
        <w:t>Date: May 1, 2026</w:t>
      </w:r>
      <w:r>
        <w:rPr>
          <w:sz w:val="20"/>
          <w:szCs w:val="20"/>
          <w:color w:val="auto"/>
        </w:rPr>
        <w:tab/>
      </w:r>
      <w:r>
        <w:rPr>
          <w:rFonts w:ascii="Times New Roman" w:cs="Times New Roman" w:eastAsia="Times New Roman" w:hAnsi="Times New Roman"/>
          <w:sz w:val="17"/>
          <w:szCs w:val="17"/>
          <w:b w:val="1"/>
          <w:bCs w:val="1"/>
          <w:color w:val="auto"/>
        </w:rPr>
        <w:t>By /s/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-2540</wp:posOffset>
            </wp:positionV>
            <wp:extent cx="15608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560830" cy="8255"/>
                    </a:xfrm>
                    <a:prstGeom prst="rect">
                      <a:avLst/>
                    </a:prstGeom>
                    <a:noFill/>
                  </pic:spPr>
                </pic:pic>
              </a:graphicData>
            </a:graphic>
          </wp:anchor>
        </w:drawing>
      </w:r>
    </w:p>
    <w:p>
      <w:pPr>
        <w:spacing w:after="0" w:line="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E. Collin Gerry</w:t>
      </w:r>
    </w:p>
    <w:p>
      <w:pPr>
        <w:spacing w:after="0" w:line="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Senior Vice President, Chief Financial Officer and Treasurer (Duly</w:t>
      </w:r>
    </w:p>
    <w:p>
      <w:pPr>
        <w:ind w:left="5460"/>
        <w:spacing w:after="0"/>
        <w:rPr>
          <w:sz w:val="20"/>
          <w:szCs w:val="20"/>
          <w:color w:val="auto"/>
        </w:rPr>
      </w:pPr>
      <w:r>
        <w:rPr>
          <w:rFonts w:ascii="Times New Roman" w:cs="Times New Roman" w:eastAsia="Times New Roman" w:hAnsi="Times New Roman"/>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144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Bradley J. Dodson, certify that:</w:t>
      </w:r>
    </w:p>
    <w:p>
      <w:pPr>
        <w:spacing w:after="0" w:line="355" w:lineRule="exact"/>
        <w:rPr>
          <w:sz w:val="20"/>
          <w:szCs w:val="20"/>
          <w:color w:val="auto"/>
        </w:rPr>
      </w:pPr>
    </w:p>
    <w:p>
      <w:pPr>
        <w:ind w:left="340" w:hanging="318"/>
        <w:spacing w:after="0"/>
        <w:tabs>
          <w:tab w:leader="none" w:pos="3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20" w:hanging="318"/>
        <w:spacing w:after="0" w:line="232" w:lineRule="auto"/>
        <w:tabs>
          <w:tab w:leader="none" w:pos="3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jc w:val="both"/>
        <w:ind w:left="340" w:right="2300" w:hanging="318"/>
        <w:spacing w:after="0" w:line="232" w:lineRule="auto"/>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sz w:val="20"/>
          <w:szCs w:val="20"/>
          <w:color w:val="auto"/>
        </w:rPr>
      </w:pPr>
    </w:p>
    <w:p>
      <w:pPr>
        <w:jc w:val="both"/>
        <w:ind w:left="340" w:right="2300" w:hanging="318"/>
        <w:spacing w:after="0" w:line="232" w:lineRule="auto"/>
        <w:tabs>
          <w:tab w:leader="none" w:pos="3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7"/>
          <w:szCs w:val="17"/>
          <w:color w:val="auto"/>
        </w:rPr>
      </w:pPr>
    </w:p>
    <w:p>
      <w:pPr>
        <w:ind w:left="700" w:right="2300" w:hanging="3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7"/>
          <w:szCs w:val="17"/>
          <w:color w:val="auto"/>
        </w:rPr>
      </w:pPr>
    </w:p>
    <w:p>
      <w:pPr>
        <w:ind w:left="700" w:right="2320" w:hanging="3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700" w:right="2300" w:hanging="367"/>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sz w:val="20"/>
          <w:szCs w:val="20"/>
          <w:color w:val="auto"/>
        </w:rPr>
      </w:pPr>
    </w:p>
    <w:p>
      <w:pPr>
        <w:jc w:val="both"/>
        <w:ind w:left="700" w:right="2320" w:hanging="363"/>
        <w:spacing w:after="0" w:line="230" w:lineRule="auto"/>
        <w:tabs>
          <w:tab w:leader="none" w:pos="7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sz w:val="20"/>
          <w:szCs w:val="20"/>
          <w:color w:val="auto"/>
        </w:rPr>
      </w:pPr>
    </w:p>
    <w:p>
      <w:pPr>
        <w:jc w:val="both"/>
        <w:ind w:left="340" w:right="2300" w:hanging="318"/>
        <w:spacing w:after="0" w:line="232" w:lineRule="auto"/>
        <w:tabs>
          <w:tab w:leader="none" w:pos="3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00" w:right="2320" w:hanging="367"/>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700" w:right="2300" w:hanging="367"/>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 2026</w:t>
      </w:r>
    </w:p>
    <w:p>
      <w:pPr>
        <w:spacing w:after="0" w:line="14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20320</wp:posOffset>
            </wp:positionV>
            <wp:extent cx="28778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Bradley J. Dodson</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6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E. Collin Gerry, certify that:</w:t>
      </w:r>
    </w:p>
    <w:p>
      <w:pPr>
        <w:spacing w:after="0" w:line="355" w:lineRule="exact"/>
        <w:rPr>
          <w:sz w:val="20"/>
          <w:szCs w:val="20"/>
          <w:color w:val="auto"/>
        </w:rPr>
      </w:pPr>
    </w:p>
    <w:p>
      <w:pPr>
        <w:ind w:left="320" w:hanging="298"/>
        <w:spacing w:after="0"/>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00" w:hanging="298"/>
        <w:spacing w:after="0" w:line="232" w:lineRule="auto"/>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jc w:val="both"/>
        <w:ind w:left="320" w:right="2400" w:hanging="298"/>
        <w:spacing w:after="0" w:line="232" w:lineRule="auto"/>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sz w:val="20"/>
          <w:szCs w:val="20"/>
          <w:color w:val="auto"/>
        </w:rPr>
      </w:pPr>
    </w:p>
    <w:p>
      <w:pPr>
        <w:jc w:val="both"/>
        <w:ind w:left="320" w:right="2400" w:hanging="298"/>
        <w:spacing w:after="0" w:line="232" w:lineRule="auto"/>
        <w:tabs>
          <w:tab w:leader="none" w:pos="3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7"/>
          <w:szCs w:val="17"/>
          <w:color w:val="auto"/>
        </w:rPr>
      </w:pPr>
    </w:p>
    <w:p>
      <w:pPr>
        <w:ind w:left="720" w:right="2400" w:hanging="39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7"/>
          <w:szCs w:val="17"/>
          <w:color w:val="auto"/>
        </w:rPr>
      </w:pPr>
    </w:p>
    <w:p>
      <w:pPr>
        <w:ind w:left="720" w:right="2400" w:hanging="39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Times New Roman" w:cs="Times New Roman" w:eastAsia="Times New Roman" w:hAnsi="Times New Roman"/>
          <w:sz w:val="17"/>
          <w:szCs w:val="17"/>
          <w:color w:val="auto"/>
        </w:rPr>
      </w:pPr>
    </w:p>
    <w:p>
      <w:pPr>
        <w:ind w:left="720" w:right="2400" w:hanging="393"/>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sz w:val="20"/>
          <w:szCs w:val="20"/>
          <w:color w:val="auto"/>
        </w:rPr>
      </w:pPr>
    </w:p>
    <w:p>
      <w:pPr>
        <w:jc w:val="both"/>
        <w:ind w:left="720" w:right="2400" w:hanging="397"/>
        <w:spacing w:after="0" w:line="230" w:lineRule="auto"/>
        <w:tabs>
          <w:tab w:leader="none" w:pos="7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sz w:val="20"/>
          <w:szCs w:val="20"/>
          <w:color w:val="auto"/>
        </w:rPr>
      </w:pPr>
    </w:p>
    <w:p>
      <w:pPr>
        <w:jc w:val="both"/>
        <w:ind w:left="320" w:right="2400" w:hanging="298"/>
        <w:spacing w:after="0" w:line="232" w:lineRule="auto"/>
        <w:tabs>
          <w:tab w:leader="none" w:pos="3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720" w:right="2400" w:hanging="393"/>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720" w:right="2400" w:hanging="393"/>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 2026</w:t>
      </w:r>
    </w:p>
    <w:p>
      <w:pPr>
        <w:spacing w:after="0" w:line="35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20320</wp:posOffset>
            </wp:positionV>
            <wp:extent cx="28778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E. Collin Gerry</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86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15" w:lineRule="exact"/>
        <w:rPr>
          <w:sz w:val="20"/>
          <w:szCs w:val="20"/>
          <w:color w:val="auto"/>
        </w:rPr>
      </w:pPr>
    </w:p>
    <w:p>
      <w:pPr>
        <w:jc w:val="both"/>
        <w:ind w:firstLine="786"/>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March 31, 2026,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8" w:lineRule="auto"/>
        <w:tabs>
          <w:tab w:leader="none" w:pos="2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32" w:lineRule="exact"/>
        <w:rPr>
          <w:sz w:val="20"/>
          <w:szCs w:val="20"/>
          <w:color w:val="auto"/>
        </w:rPr>
      </w:pPr>
    </w:p>
    <w:tbl>
      <w:tblPr>
        <w:tblLayout w:type="fixed"/>
        <w:tblInd w:w="5920" w:type="dxa"/>
        <w:tblCellMar>
          <w:top w:w="0" w:type="dxa"/>
          <w:left w:w="0" w:type="dxa"/>
          <w:bottom w:w="0" w:type="dxa"/>
          <w:right w:w="0" w:type="dxa"/>
        </w:tblCellMar>
      </w:tblPr>
      <w:tr>
        <w:trPr>
          <w:trHeight w:val="211"/>
        </w:trPr>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34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Bradley J. Dodson</w:t>
            </w: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1, 2026</w:t>
            </w:r>
          </w:p>
        </w:tc>
      </w:tr>
    </w:tbl>
    <w:p>
      <w:pPr>
        <w:sectPr>
          <w:pgSz w:w="11900" w:h="16838" w:orient="portrait"/>
          <w:cols w:equalWidth="0" w:num="1">
            <w:col w:w="11240"/>
          </w:cols>
          <w:pgMar w:left="320" w:top="86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3" w:lineRule="exact"/>
        <w:rPr>
          <w:sz w:val="20"/>
          <w:szCs w:val="20"/>
          <w:color w:val="auto"/>
        </w:rPr>
      </w:pPr>
    </w:p>
    <w:p>
      <w:pPr>
        <w:jc w:val="both"/>
        <w:ind w:right="300" w:firstLine="786"/>
        <w:spacing w:after="0" w:line="254"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March 31, 2026, as filed with the Securities and Exchange Commission on the date hereof (the “Report”), I, E. Collin Gerry, Senior Vice President, Chief Financial Officer and Treasurer of the Company, hereby certify, pursuant to 18 U.S.C. Section 1350, as adopted pursuant to Section 906 of the Sarbanes-Oxley Act of 2002, to the best of my knowledge, that:</w:t>
      </w:r>
    </w:p>
    <w:p>
      <w:pPr>
        <w:spacing w:after="0" w:line="299"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64" w:lineRule="auto"/>
        <w:tabs>
          <w:tab w:leader="none" w:pos="2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32" w:lineRule="exact"/>
        <w:rPr>
          <w:sz w:val="20"/>
          <w:szCs w:val="20"/>
          <w:color w:val="auto"/>
        </w:rPr>
      </w:pPr>
    </w:p>
    <w:tbl>
      <w:tblPr>
        <w:tblLayout w:type="fixed"/>
        <w:tblInd w:w="5760" w:type="dxa"/>
        <w:tblCellMar>
          <w:top w:w="0" w:type="dxa"/>
          <w:left w:w="0" w:type="dxa"/>
          <w:bottom w:w="0" w:type="dxa"/>
          <w:right w:w="0" w:type="dxa"/>
        </w:tblCellMar>
      </w:tblPr>
      <w:tr>
        <w:trPr>
          <w:trHeight w:val="211"/>
        </w:trPr>
        <w:tc>
          <w:tcPr>
            <w:tcW w:w="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E. Collin Gerry</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May 1, 2026</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5"/>
    </w:lvl>
  </w:abstractNum>
  <w:abstractNum w:abstractNumId="8">
    <w:nsid w:val="4353D0CD"/>
    <w:multiLevelType w:val="hybridMultilevel"/>
    <w:lvl w:ilvl="0">
      <w:lvlJc w:val="left"/>
      <w:lvlText w:val="%1."/>
      <w:numFmt w:val="decimal"/>
      <w:start w:val="6"/>
    </w:lvl>
  </w:abstractNum>
  <w:abstractNum w:abstractNumId="9">
    <w:nsid w:val="B03E0C6"/>
    <w:multiLevelType w:val="hybridMultilevel"/>
    <w:lvl w:ilvl="0">
      <w:lvlJc w:val="left"/>
      <w:lvlText w:val="%1."/>
      <w:numFmt w:val="decimal"/>
      <w:start w:val="7"/>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8"/>
    </w:lvl>
  </w:abstractNum>
  <w:abstractNum w:abstractNumId="12">
    <w:nsid w:val="71F32454"/>
    <w:multiLevelType w:val="hybridMultilevel"/>
    <w:lvl w:ilvl="0">
      <w:lvlJc w:val="left"/>
      <w:lvlText w:val="%1."/>
      <w:numFmt w:val="decimal"/>
      <w:start w:val="9"/>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lowerRoman"/>
      <w:start w:val="3"/>
    </w:lvl>
  </w:abstractNum>
  <w:abstractNum w:abstractNumId="16">
    <w:nsid w:val="3A95F874"/>
    <w:multiLevelType w:val="hybridMultilevel"/>
    <w:lvl w:ilvl="0">
      <w:lvlJc w:val="left"/>
      <w:lvlText w:val="(%1)"/>
      <w:numFmt w:val="lowerRoman"/>
      <w:start w:val="2"/>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
      <w:numFmt w:val="bullet"/>
      <w:start w:val="1"/>
    </w:lvl>
    <w:lvl w:ilvl="1">
      <w:lvlJc w:val="left"/>
      <w:lvlText w:val="%2"/>
      <w:numFmt w:val="decimal"/>
      <w:start w:val="104"/>
    </w:lvl>
  </w:abstractNum>
  <w:abstractNum w:abstractNumId="26">
    <w:nsid w:val="419AC241"/>
    <w:multiLevelType w:val="hybridMultilevel"/>
    <w:lvl w:ilvl="0">
      <w:lvlJc w:val="left"/>
      <w:lvlText w:val="**"/>
      <w:numFmt w:val="bullet"/>
      <w:start w:val="1"/>
    </w:lvl>
    <w:lvl w:ilvl="1">
      <w:lvlJc w:val="left"/>
      <w:lvlText w:val="%2"/>
      <w:numFmt w:val="decimal"/>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bullet"/>
      <w:start w:val="1"/>
    </w:lvl>
  </w:abstractNum>
  <w:abstractNum w:abstractNumId="29">
    <w:nsid w:val="5072367"/>
    <w:multiLevelType w:val="hybridMultilevel"/>
    <w:lvl w:ilvl="0">
      <w:lvlJc w:val="left"/>
      <w:lvlText w:val="2"/>
      <w:numFmt w:val="bullet"/>
      <w:start w:val="1"/>
    </w:lvl>
  </w:abstractNum>
  <w:abstractNum w:abstractNumId="30">
    <w:nsid w:val="3804823E"/>
    <w:multiLevelType w:val="hybridMultilevel"/>
    <w:lvl w:ilvl="0">
      <w:lvlJc w:val="left"/>
      <w:lvlText w:val="3"/>
      <w:numFmt w:val="bullet"/>
      <w:start w:val="1"/>
    </w:lvl>
  </w:abstractNum>
  <w:abstractNum w:abstractNumId="31">
    <w:nsid w:val="77465F01"/>
    <w:multiLevelType w:val="hybridMultilevel"/>
    <w:lvl w:ilvl="0">
      <w:lvlJc w:val="left"/>
      <w:lvlText w:val="4"/>
      <w:numFmt w:val="bullet"/>
      <w:start w:val="1"/>
    </w:lvl>
  </w:abstractNum>
  <w:abstractNum w:abstractNumId="32">
    <w:nsid w:val="7724C67E"/>
    <w:multiLevelType w:val="hybridMultilevel"/>
    <w:lvl w:ilvl="0">
      <w:lvlJc w:val="left"/>
      <w:lvlText w:val="d"/>
      <w:numFmt w:val="bullet"/>
      <w:start w:val="1"/>
    </w:lvl>
  </w:abstractNum>
  <w:abstractNum w:abstractNumId="33">
    <w:nsid w:val="5C482A97"/>
    <w:multiLevelType w:val="hybridMultilevel"/>
    <w:lvl w:ilvl="0">
      <w:lvlJc w:val="left"/>
      <w:lvlText w:val="5"/>
      <w:numFmt w:val="bullet"/>
      <w:start w:val="1"/>
    </w:lvl>
  </w:abstractNum>
  <w:abstractNum w:abstractNumId="34">
    <w:nsid w:val="2463B9EA"/>
    <w:multiLevelType w:val="hybridMultilevel"/>
    <w:lvl w:ilvl="0">
      <w:lvlJc w:val="left"/>
      <w:lvlText w:val="1"/>
      <w:numFmt w:val="bullet"/>
      <w:start w:val="1"/>
    </w:lvl>
  </w:abstractNum>
  <w:abstractNum w:abstractNumId="35">
    <w:nsid w:val="5E884ADC"/>
    <w:multiLevelType w:val="hybridMultilevel"/>
    <w:lvl w:ilvl="0">
      <w:lvlJc w:val="left"/>
      <w:lvlText w:val="2"/>
      <w:numFmt w:val="bullet"/>
      <w:start w:val="1"/>
    </w:lvl>
  </w:abstractNum>
  <w:abstractNum w:abstractNumId="36">
    <w:nsid w:val="51EAD36B"/>
    <w:multiLevelType w:val="hybridMultilevel"/>
    <w:lvl w:ilvl="0">
      <w:lvlJc w:val="left"/>
      <w:lvlText w:val="3"/>
      <w:numFmt w:val="bullet"/>
      <w:start w:val="1"/>
    </w:lvl>
  </w:abstractNum>
  <w:abstractNum w:abstractNumId="37">
    <w:nsid w:val="2D517796"/>
    <w:multiLevelType w:val="hybridMultilevel"/>
    <w:lvl w:ilvl="0">
      <w:lvlJc w:val="left"/>
      <w:lvlText w:val="4"/>
      <w:numFmt w:val="bullet"/>
      <w:start w:val="1"/>
    </w:lvl>
  </w:abstractNum>
  <w:abstractNum w:abstractNumId="38">
    <w:nsid w:val="580BD78F"/>
    <w:multiLevelType w:val="hybridMultilevel"/>
    <w:lvl w:ilvl="0">
      <w:lvlJc w:val="left"/>
      <w:lvlText w:val="d"/>
      <w:numFmt w:val="bullet"/>
      <w:start w:val="1"/>
    </w:lvl>
  </w:abstractNum>
  <w:abstractNum w:abstractNumId="39">
    <w:nsid w:val="153EA438"/>
    <w:multiLevelType w:val="hybridMultilevel"/>
    <w:lvl w:ilvl="0">
      <w:lvlJc w:val="left"/>
      <w:lvlText w:val="5"/>
      <w:numFmt w:val="bullet"/>
      <w:start w:val="1"/>
    </w:lvl>
  </w:abstractNum>
  <w:abstractNum w:abstractNumId="40">
    <w:nsid w:val="3855585C"/>
    <w:multiLevelType w:val="hybridMultilevel"/>
    <w:lvl w:ilvl="0">
      <w:lvlJc w:val="left"/>
      <w:lvlText w:val="2"/>
      <w:numFmt w:val="bullet"/>
      <w:start w:val="1"/>
    </w:lvl>
  </w:abstractNum>
  <w:abstractNum w:abstractNumId="41">
    <w:nsid w:val="70A64E2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57" Type="http://schemas.openxmlformats.org/officeDocument/2006/relationships/hyperlink" Target="https://www.sec.gov/Archives/edgar/data/1590584/000159058426000042/debtagreement04232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2026-05-01T11:37:08Z</dcterms:created>
  <dcterms:modified xsi:type="dcterms:W3CDTF">2026-05-01T11:37:08Z</dcterms:modified>
</cp:coreProperties>
</file>