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16, 2018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CIVEO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5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British Columbia, Canada</w:t>
            </w:r>
          </w:p>
        </w:tc>
        <w:tc>
          <w:tcPr>
            <w:tcW w:w="4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1-36246</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98-1253716</w:t>
            </w:r>
          </w:p>
        </w:tc>
      </w:tr>
      <w:tr>
        <w:trPr>
          <w:trHeight w:val="216"/>
        </w:trPr>
        <w:tc>
          <w:tcPr>
            <w:tcW w:w="2560" w:type="dxa"/>
            <w:vAlign w:val="bottom"/>
          </w:tcPr>
          <w:p>
            <w:pPr>
              <w:jc w:val="center"/>
              <w:ind w:right="330"/>
              <w:spacing w:after="0"/>
              <w:rPr>
                <w:sz w:val="20"/>
                <w:szCs w:val="20"/>
                <w:color w:val="auto"/>
              </w:rPr>
            </w:pPr>
            <w:r>
              <w:rPr>
                <w:rFonts w:ascii="Arial" w:cs="Arial" w:eastAsia="Arial" w:hAnsi="Arial"/>
                <w:sz w:val="18"/>
                <w:szCs w:val="18"/>
                <w:color w:val="auto"/>
                <w:w w:val="91"/>
              </w:rPr>
              <w:t>(State or Other Jurisdiction of</w:t>
            </w:r>
          </w:p>
        </w:tc>
        <w:tc>
          <w:tcPr>
            <w:tcW w:w="4820" w:type="dxa"/>
            <w:vAlign w:val="bottom"/>
          </w:tcPr>
          <w:p>
            <w:pPr>
              <w:jc w:val="center"/>
              <w:ind w:right="130"/>
              <w:spacing w:after="0"/>
              <w:rPr>
                <w:sz w:val="20"/>
                <w:szCs w:val="20"/>
                <w:color w:val="auto"/>
              </w:rPr>
            </w:pPr>
            <w:r>
              <w:rPr>
                <w:rFonts w:ascii="Arial" w:cs="Arial" w:eastAsia="Arial" w:hAnsi="Arial"/>
                <w:sz w:val="18"/>
                <w:szCs w:val="18"/>
                <w:color w:val="auto"/>
                <w:w w:val="93"/>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56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w:t>
            </w:r>
          </w:p>
        </w:tc>
        <w:tc>
          <w:tcPr>
            <w:tcW w:w="48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5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Three Allen Center,</w:t>
            </w:r>
          </w:p>
        </w:tc>
        <w:tc>
          <w:tcPr>
            <w:tcW w:w="1940" w:type="dxa"/>
            <w:vAlign w:val="bottom"/>
          </w:tcPr>
          <w:p>
            <w:pPr>
              <w:spacing w:after="0"/>
              <w:rPr>
                <w:sz w:val="24"/>
                <w:szCs w:val="24"/>
                <w:color w:val="auto"/>
              </w:rPr>
            </w:pPr>
          </w:p>
        </w:tc>
      </w:tr>
      <w:tr>
        <w:trPr>
          <w:trHeight w:val="220"/>
        </w:trPr>
        <w:tc>
          <w:tcPr>
            <w:tcW w:w="2560" w:type="dxa"/>
            <w:vAlign w:val="bottom"/>
          </w:tcPr>
          <w:p>
            <w:pPr>
              <w:spacing w:after="0"/>
              <w:rPr>
                <w:sz w:val="19"/>
                <w:szCs w:val="19"/>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333 Clay Street, Suite 4980, Houston, Texas 77002</w:t>
            </w:r>
          </w:p>
        </w:tc>
        <w:tc>
          <w:tcPr>
            <w:tcW w:w="1940" w:type="dxa"/>
            <w:vAlign w:val="bottom"/>
          </w:tcPr>
          <w:p>
            <w:pPr>
              <w:spacing w:after="0"/>
              <w:rPr>
                <w:sz w:val="19"/>
                <w:szCs w:val="19"/>
                <w:color w:val="auto"/>
              </w:rPr>
            </w:pPr>
          </w:p>
        </w:tc>
      </w:tr>
      <w:tr>
        <w:trPr>
          <w:trHeight w:val="230"/>
        </w:trPr>
        <w:tc>
          <w:tcPr>
            <w:tcW w:w="2560" w:type="dxa"/>
            <w:vAlign w:val="bottom"/>
          </w:tcPr>
          <w:p>
            <w:pPr>
              <w:spacing w:after="0"/>
              <w:rPr>
                <w:sz w:val="20"/>
                <w:szCs w:val="20"/>
                <w:color w:val="auto"/>
              </w:rPr>
            </w:pPr>
          </w:p>
        </w:tc>
        <w:tc>
          <w:tcPr>
            <w:tcW w:w="4820" w:type="dxa"/>
            <w:vAlign w:val="bottom"/>
          </w:tcPr>
          <w:p>
            <w:pPr>
              <w:jc w:val="center"/>
              <w:ind w:right="110"/>
              <w:spacing w:after="0"/>
              <w:rPr>
                <w:sz w:val="20"/>
                <w:szCs w:val="20"/>
                <w:color w:val="auto"/>
              </w:rPr>
            </w:pPr>
            <w:r>
              <w:rPr>
                <w:rFonts w:ascii="Arial" w:cs="Arial" w:eastAsia="Arial" w:hAnsi="Arial"/>
                <w:sz w:val="18"/>
                <w:szCs w:val="18"/>
                <w:color w:val="auto"/>
                <w:w w:val="93"/>
              </w:rPr>
              <w:t>(Address of Principal Executive Offices) (Zip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510-2400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260" w:right="1720"/>
        <w:spacing w:after="0" w:line="51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260"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16, 2018, Civeo Corporation (“Civeo”) received notice from the Competition Bureau that it does not intend to challenge Civeo’s pending acquisition of Noralta Lodge Ltd. under the Competition Act (Canada) and on February 19, 2018, Civeo was granted approval under the Investment Canada Act for the pending acquisition. No further regulatory approvals or clearances are required to close the acquisition. Closing of the acquisition is still subject to Civeo’s shareholders approving the issuance of Civeo shares and other customary closing conditions, including listing of the shares to be issued in the acquisition on the New York Stock Exchange. Civeo has called a special meeting of its shareholders on March 28, 2018 at which shareholders will be asked to approve the share issuance.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2018</w:t>
      </w:r>
    </w:p>
    <w:sectPr>
      <w:pgSz w:w="11900" w:h="16838" w:orient="portrait"/>
      <w:cols w:equalWidth="0" w:num="1">
        <w:col w:w="10940"/>
      </w:cols>
      <w:pgMar w:left="240" w:top="58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2019-12-08T08:10:06Z</dcterms:created>
  <dcterms:modified xsi:type="dcterms:W3CDTF">2019-12-08T08:10:06Z</dcterms:modified>
</cp:coreProperties>
</file>