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MOORE CONSTANCE B</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Civeo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CVEO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05/19/2021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0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77002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05/19/2021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7,627</w:t>
            </w:r>
            <w:r>
              <w:rPr>
                <w:rFonts w:ascii="Arial" w:cs="Arial" w:eastAsia="Arial" w:hAnsi="Arial"/>
                <w:sz w:val="22"/>
                <w:szCs w:val="22"/>
                <w:color w:val="008000"/>
                <w:w w:val="89"/>
                <w:vertAlign w:val="superscript"/>
              </w:rPr>
              <w:t>(1)</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29,867</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common share award under the Amended and Restated 2014 Equity Participation Plan of Civeo Corporation that vests on the earlier of one year from May 19, 2021 or the next annual shareholders' meeting date.</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November 19,2020, Civeo effected a 1 for 12 reverse share split. All share counts on this Form 4 are represented on a post-split basis.</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Bradley J. Dodson,</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05/21/2021</w:t>
            </w:r>
          </w:p>
        </w:tc>
        <w:tc>
          <w:tcPr>
            <w:tcW w:w="0" w:type="dxa"/>
            <w:vAlign w:val="bottom"/>
          </w:tcPr>
          <w:p>
            <w:pPr>
              <w:spacing w:after="0"/>
              <w:rPr>
                <w:sz w:val="1"/>
                <w:szCs w:val="1"/>
                <w:color w:val="auto"/>
              </w:rPr>
            </w:pPr>
          </w:p>
        </w:tc>
      </w:tr>
      <w:tr>
        <w:trPr>
          <w:trHeight w:val="87"/>
        </w:trPr>
        <w:tc>
          <w:tcPr>
            <w:tcW w:w="154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Attorney-In-Fact</w:t>
            </w:r>
          </w:p>
        </w:tc>
        <w:tc>
          <w:tcPr>
            <w:tcW w:w="5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40" w:type="dxa"/>
            <w:vAlign w:val="bottom"/>
            <w:tcBorders>
              <w:top w:val="single" w:sz="8" w:color="auto"/>
            </w:tcBorders>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09220"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2021-05-21T15:23:06Z</dcterms:created>
  <dcterms:modified xsi:type="dcterms:W3CDTF">2021-05-21T15:23:06Z</dcterms:modified>
</cp:coreProperties>
</file>