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3780" w:type="dxa"/>
        <w:tblCellMar>
          <w:top w:w="0" w:type="dxa"/>
          <w:left w:w="0" w:type="dxa"/>
          <w:bottom w:w="0" w:type="dxa"/>
          <w:right w:w="0" w:type="dxa"/>
        </w:tblCellMar>
      </w:tblPr>
      <w:tr>
        <w:trPr>
          <w:trHeight w:val="206"/>
        </w:trPr>
        <w:tc>
          <w:tcPr>
            <w:tcW w:w="4980" w:type="dxa"/>
            <w:vAlign w:val="bottom"/>
          </w:tcPr>
          <w:p>
            <w:pPr>
              <w:jc w:val="center"/>
              <w:ind w:right="1194"/>
              <w:spacing w:after="0"/>
              <w:rPr>
                <w:sz w:val="20"/>
                <w:szCs w:val="20"/>
                <w:color w:val="auto"/>
              </w:rPr>
            </w:pPr>
            <w:r>
              <w:rPr>
                <w:rFonts w:ascii="Arial" w:cs="Arial" w:eastAsia="Arial" w:hAnsi="Arial"/>
                <w:sz w:val="17"/>
                <w:szCs w:val="17"/>
                <w:b w:val="1"/>
                <w:bCs w:val="1"/>
                <w:color w:val="auto"/>
                <w:w w:val="99"/>
              </w:rPr>
              <w:t>UNITED STATES</w:t>
            </w:r>
          </w:p>
        </w:tc>
        <w:tc>
          <w:tcPr>
            <w:tcW w:w="20" w:type="dxa"/>
            <w:vAlign w:val="bottom"/>
          </w:tcPr>
          <w:p>
            <w:pPr>
              <w:spacing w:after="0"/>
              <w:rPr>
                <w:sz w:val="17"/>
                <w:szCs w:val="17"/>
                <w:color w:val="auto"/>
              </w:rPr>
            </w:pPr>
          </w:p>
        </w:tc>
        <w:tc>
          <w:tcPr>
            <w:tcW w:w="2600" w:type="dxa"/>
            <w:vAlign w:val="bottom"/>
            <w:gridSpan w:val="3"/>
          </w:tcPr>
          <w:p>
            <w:pPr>
              <w:ind w:left="6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57"/>
        </w:trPr>
        <w:tc>
          <w:tcPr>
            <w:tcW w:w="4980" w:type="dxa"/>
            <w:vAlign w:val="bottom"/>
            <w:vMerge w:val="restart"/>
          </w:tcPr>
          <w:p>
            <w:pPr>
              <w:jc w:val="center"/>
              <w:ind w:right="1194"/>
              <w:spacing w:after="0"/>
              <w:rPr>
                <w:sz w:val="20"/>
                <w:szCs w:val="20"/>
                <w:color w:val="auto"/>
              </w:rPr>
            </w:pPr>
            <w:r>
              <w:rPr>
                <w:rFonts w:ascii="Arial" w:cs="Arial" w:eastAsia="Arial" w:hAnsi="Arial"/>
                <w:sz w:val="17"/>
                <w:szCs w:val="17"/>
                <w:b w:val="1"/>
                <w:bCs w:val="1"/>
                <w:color w:val="auto"/>
              </w:rPr>
              <w:t>SECURITIES AND EXCHANGE COMMISSION</w:t>
            </w:r>
          </w:p>
        </w:tc>
        <w:tc>
          <w:tcPr>
            <w:tcW w:w="20" w:type="dxa"/>
            <w:vAlign w:val="bottom"/>
          </w:tcPr>
          <w:p>
            <w:pPr>
              <w:spacing w:after="0"/>
              <w:rPr>
                <w:sz w:val="4"/>
                <w:szCs w:val="4"/>
                <w:color w:val="auto"/>
              </w:rPr>
            </w:pPr>
          </w:p>
        </w:tc>
        <w:tc>
          <w:tcPr>
            <w:tcW w:w="1340" w:type="dxa"/>
            <w:vAlign w:val="bottom"/>
            <w:vMerge w:val="restart"/>
          </w:tcPr>
          <w:p>
            <w:pPr>
              <w:spacing w:after="0"/>
              <w:rPr>
                <w:sz w:val="20"/>
                <w:szCs w:val="20"/>
                <w:color w:val="auto"/>
              </w:rPr>
            </w:pPr>
            <w:r>
              <w:rPr>
                <w:rFonts w:ascii="Arial" w:cs="Arial" w:eastAsia="Arial" w:hAnsi="Arial"/>
                <w:sz w:val="17"/>
                <w:szCs w:val="17"/>
                <w:color w:val="auto"/>
              </w:rPr>
              <w:t>OMB Number:</w:t>
            </w:r>
          </w:p>
        </w:tc>
        <w:tc>
          <w:tcPr>
            <w:tcW w:w="1240" w:type="dxa"/>
            <w:vAlign w:val="bottom"/>
            <w:vMerge w:val="restart"/>
          </w:tcPr>
          <w:p>
            <w:pPr>
              <w:jc w:val="right"/>
              <w:ind w:right="254"/>
              <w:spacing w:after="0"/>
              <w:rPr>
                <w:sz w:val="20"/>
                <w:szCs w:val="20"/>
                <w:color w:val="auto"/>
              </w:rPr>
            </w:pPr>
            <w:r>
              <w:rPr>
                <w:rFonts w:ascii="Arial" w:cs="Arial" w:eastAsia="Arial" w:hAnsi="Arial"/>
                <w:sz w:val="17"/>
                <w:szCs w:val="17"/>
                <w:color w:val="auto"/>
              </w:rPr>
              <w:t>3235-0145</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498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34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4980" w:type="dxa"/>
            <w:vAlign w:val="bottom"/>
          </w:tcPr>
          <w:p>
            <w:pPr>
              <w:jc w:val="center"/>
              <w:ind w:right="1194"/>
              <w:spacing w:after="0"/>
              <w:rPr>
                <w:sz w:val="20"/>
                <w:szCs w:val="20"/>
                <w:color w:val="auto"/>
              </w:rPr>
            </w:pPr>
            <w:r>
              <w:rPr>
                <w:rFonts w:ascii="Arial" w:cs="Arial" w:eastAsia="Arial" w:hAnsi="Arial"/>
                <w:sz w:val="17"/>
                <w:szCs w:val="17"/>
                <w:b w:val="1"/>
                <w:bCs w:val="1"/>
                <w:color w:val="auto"/>
                <w:w w:val="92"/>
              </w:rPr>
              <w:t>Washington, D.C. 20549</w:t>
            </w:r>
          </w:p>
        </w:tc>
        <w:tc>
          <w:tcPr>
            <w:tcW w:w="20" w:type="dxa"/>
            <w:vAlign w:val="bottom"/>
            <w:shd w:val="clear" w:color="auto" w:fill="000000"/>
          </w:tcPr>
          <w:p>
            <w:pPr>
              <w:spacing w:after="0"/>
              <w:rPr>
                <w:sz w:val="21"/>
                <w:szCs w:val="21"/>
                <w:color w:val="auto"/>
              </w:rPr>
            </w:pPr>
          </w:p>
        </w:tc>
        <w:tc>
          <w:tcPr>
            <w:tcW w:w="1340" w:type="dxa"/>
            <w:vAlign w:val="bottom"/>
          </w:tcPr>
          <w:p>
            <w:pPr>
              <w:spacing w:after="0"/>
              <w:rPr>
                <w:sz w:val="20"/>
                <w:szCs w:val="20"/>
                <w:color w:val="auto"/>
              </w:rPr>
            </w:pPr>
            <w:r>
              <w:rPr>
                <w:rFonts w:ascii="Arial" w:cs="Arial" w:eastAsia="Arial" w:hAnsi="Arial"/>
                <w:sz w:val="17"/>
                <w:szCs w:val="17"/>
                <w:color w:val="auto"/>
              </w:rPr>
              <w:t>Expires:</w:t>
            </w:r>
          </w:p>
        </w:tc>
        <w:tc>
          <w:tcPr>
            <w:tcW w:w="1240" w:type="dxa"/>
            <w:vAlign w:val="bottom"/>
          </w:tcPr>
          <w:p>
            <w:pPr>
              <w:jc w:val="right"/>
              <w:spacing w:after="0"/>
              <w:rPr>
                <w:sz w:val="20"/>
                <w:szCs w:val="20"/>
                <w:color w:val="auto"/>
              </w:rPr>
            </w:pPr>
            <w:r>
              <w:rPr>
                <w:rFonts w:ascii="Arial" w:cs="Arial" w:eastAsia="Arial" w:hAnsi="Arial"/>
                <w:sz w:val="17"/>
                <w:szCs w:val="17"/>
                <w:color w:val="auto"/>
              </w:rPr>
              <w:t>February 28,</w:t>
            </w:r>
          </w:p>
        </w:tc>
        <w:tc>
          <w:tcPr>
            <w:tcW w:w="2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9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340" w:type="dxa"/>
            <w:vAlign w:val="bottom"/>
          </w:tcPr>
          <w:p>
            <w:pPr>
              <w:spacing w:after="0"/>
              <w:rPr>
                <w:sz w:val="20"/>
                <w:szCs w:val="20"/>
                <w:color w:val="auto"/>
              </w:rPr>
            </w:pPr>
            <w:r>
              <w:rPr>
                <w:rFonts w:ascii="Arial" w:cs="Arial" w:eastAsia="Arial" w:hAnsi="Arial"/>
                <w:sz w:val="17"/>
                <w:szCs w:val="17"/>
                <w:color w:val="auto"/>
              </w:rPr>
              <w:t>2009</w:t>
            </w:r>
          </w:p>
        </w:tc>
        <w:tc>
          <w:tcPr>
            <w:tcW w:w="12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580" w:type="dxa"/>
            <w:vAlign w:val="bottom"/>
            <w:gridSpan w:val="2"/>
          </w:tcPr>
          <w:p>
            <w:pPr>
              <w:spacing w:after="0"/>
              <w:rPr>
                <w:sz w:val="20"/>
                <w:szCs w:val="20"/>
                <w:color w:val="auto"/>
              </w:rPr>
            </w:pPr>
            <w:r>
              <w:rPr>
                <w:rFonts w:ascii="Arial" w:cs="Arial" w:eastAsia="Arial" w:hAnsi="Arial"/>
                <w:sz w:val="17"/>
                <w:szCs w:val="17"/>
                <w:color w:val="auto"/>
              </w:rPr>
              <w:t>Estimated average burden</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98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0"/>
              </w:rPr>
              <w:t>hours per response</w:t>
            </w:r>
          </w:p>
        </w:tc>
        <w:tc>
          <w:tcPr>
            <w:tcW w:w="1240" w:type="dxa"/>
            <w:vAlign w:val="bottom"/>
            <w:tcBorders>
              <w:bottom w:val="single" w:sz="8" w:color="auto"/>
            </w:tcBorders>
          </w:tcPr>
          <w:p>
            <w:pPr>
              <w:jc w:val="right"/>
              <w:ind w:right="794"/>
              <w:spacing w:after="0"/>
              <w:rPr>
                <w:sz w:val="20"/>
                <w:szCs w:val="20"/>
                <w:color w:val="auto"/>
              </w:rPr>
            </w:pPr>
            <w:r>
              <w:rPr>
                <w:rFonts w:ascii="Arial" w:cs="Arial" w:eastAsia="Arial" w:hAnsi="Arial"/>
                <w:sz w:val="17"/>
                <w:szCs w:val="17"/>
                <w:color w:val="auto"/>
              </w:rPr>
              <w:t>10.4</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bl>
    <w:p>
      <w:pPr>
        <w:spacing w:after="0" w:line="21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5697855</wp:posOffset>
            </wp:positionH>
            <wp:positionV relativeFrom="page">
              <wp:posOffset>289560</wp:posOffset>
            </wp:positionV>
            <wp:extent cx="1689100" cy="1809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89100" cy="18097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7"/>
          <w:szCs w:val="17"/>
          <w:b w:val="1"/>
          <w:bCs w:val="1"/>
          <w:color w:val="auto"/>
        </w:rPr>
        <w:t>SCHEDULE 13D</w:t>
      </w:r>
    </w:p>
    <w:p>
      <w:pPr>
        <w:spacing w:after="0" w:line="218"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Under the Securities Exchange Act of 1934</w:t>
      </w:r>
    </w:p>
    <w:p>
      <w:pPr>
        <w:spacing w:after="0" w:line="218"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(Amendment No.)*</w:t>
      </w:r>
    </w:p>
    <w:p>
      <w:pPr>
        <w:spacing w:after="0" w:line="200" w:lineRule="exact"/>
        <w:rPr>
          <w:sz w:val="24"/>
          <w:szCs w:val="24"/>
          <w:color w:val="auto"/>
        </w:rPr>
      </w:pPr>
    </w:p>
    <w:p>
      <w:pPr>
        <w:spacing w:after="0" w:line="224" w:lineRule="exact"/>
        <w:rPr>
          <w:sz w:val="24"/>
          <w:szCs w:val="24"/>
          <w:color w:val="auto"/>
        </w:rPr>
      </w:pPr>
    </w:p>
    <w:p>
      <w:pPr>
        <w:ind w:left="5040"/>
        <w:spacing w:after="0"/>
        <w:rPr>
          <w:sz w:val="20"/>
          <w:szCs w:val="20"/>
          <w:color w:val="auto"/>
        </w:rPr>
      </w:pPr>
      <w:r>
        <w:rPr>
          <w:rFonts w:ascii="Arial" w:cs="Arial" w:eastAsia="Arial" w:hAnsi="Arial"/>
          <w:sz w:val="17"/>
          <w:szCs w:val="17"/>
          <w:b w:val="1"/>
          <w:bCs w:val="1"/>
          <w:color w:val="auto"/>
        </w:rPr>
        <w:t>Civeo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1974850</wp:posOffset>
            </wp:positionH>
            <wp:positionV relativeFrom="paragraph">
              <wp:posOffset>-5080</wp:posOffset>
            </wp:positionV>
            <wp:extent cx="3307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7080" cy="8255"/>
                    </a:xfrm>
                    <a:prstGeom prst="rect">
                      <a:avLst/>
                    </a:prstGeom>
                    <a:noFill/>
                  </pic:spPr>
                </pic:pic>
              </a:graphicData>
            </a:graphic>
          </wp:anchor>
        </w:drawing>
      </w:r>
    </w:p>
    <w:p>
      <w:pPr>
        <w:spacing w:after="0" w:line="8"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(Name of Issuer)</w:t>
      </w:r>
    </w:p>
    <w:p>
      <w:pPr>
        <w:spacing w:after="0" w:line="201"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1437640</wp:posOffset>
            </wp:positionH>
            <wp:positionV relativeFrom="paragraph">
              <wp:posOffset>-5080</wp:posOffset>
            </wp:positionV>
            <wp:extent cx="43821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82135" cy="8255"/>
                    </a:xfrm>
                    <a:prstGeom prst="rect">
                      <a:avLst/>
                    </a:prstGeom>
                    <a:noFill/>
                  </pic:spPr>
                </pic:pic>
              </a:graphicData>
            </a:graphic>
          </wp:anchor>
        </w:drawing>
      </w:r>
    </w:p>
    <w:p>
      <w:pPr>
        <w:spacing w:after="0" w:line="8" w:lineRule="exact"/>
        <w:rPr>
          <w:sz w:val="24"/>
          <w:szCs w:val="24"/>
          <w:color w:val="auto"/>
        </w:rPr>
      </w:pPr>
    </w:p>
    <w:p>
      <w:pPr>
        <w:jc w:val="center"/>
        <w:ind w:right="-99"/>
        <w:spacing w:after="0"/>
        <w:rPr>
          <w:sz w:val="20"/>
          <w:szCs w:val="20"/>
          <w:color w:val="auto"/>
        </w:rPr>
      </w:pPr>
      <w:r>
        <w:rPr>
          <w:rFonts w:ascii="Arial" w:cs="Arial" w:eastAsia="Arial" w:hAnsi="Arial"/>
          <w:sz w:val="17"/>
          <w:szCs w:val="17"/>
          <w:color w:val="auto"/>
        </w:rPr>
        <w:t>(Title of Class of Securities)</w:t>
      </w:r>
    </w:p>
    <w:p>
      <w:pPr>
        <w:spacing w:after="0" w:line="201" w:lineRule="exact"/>
        <w:rPr>
          <w:sz w:val="24"/>
          <w:szCs w:val="24"/>
          <w:color w:val="auto"/>
        </w:rPr>
      </w:pPr>
    </w:p>
    <w:p>
      <w:pPr>
        <w:ind w:left="5420"/>
        <w:spacing w:after="0"/>
        <w:rPr>
          <w:sz w:val="20"/>
          <w:szCs w:val="20"/>
          <w:color w:val="auto"/>
        </w:rPr>
      </w:pPr>
      <w:r>
        <w:rPr>
          <w:rFonts w:ascii="Arial" w:cs="Arial" w:eastAsia="Arial" w:hAnsi="Arial"/>
          <w:sz w:val="17"/>
          <w:szCs w:val="17"/>
          <w:b w:val="1"/>
          <w:bCs w:val="1"/>
          <w:color w:val="auto"/>
        </w:rPr>
        <w:t>178787107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897890</wp:posOffset>
            </wp:positionH>
            <wp:positionV relativeFrom="paragraph">
              <wp:posOffset>-5080</wp:posOffset>
            </wp:positionV>
            <wp:extent cx="54610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61000" cy="8255"/>
                    </a:xfrm>
                    <a:prstGeom prst="rect">
                      <a:avLst/>
                    </a:prstGeom>
                    <a:noFill/>
                  </pic:spPr>
                </pic:pic>
              </a:graphicData>
            </a:graphic>
          </wp:anchor>
        </w:drawing>
      </w:r>
    </w:p>
    <w:p>
      <w:pPr>
        <w:spacing w:after="0" w:line="8" w:lineRule="exact"/>
        <w:rPr>
          <w:sz w:val="24"/>
          <w:szCs w:val="24"/>
          <w:color w:val="auto"/>
        </w:rPr>
      </w:pPr>
    </w:p>
    <w:p>
      <w:pPr>
        <w:ind w:left="5100"/>
        <w:spacing w:after="0"/>
        <w:rPr>
          <w:sz w:val="20"/>
          <w:szCs w:val="20"/>
          <w:color w:val="auto"/>
        </w:rPr>
      </w:pPr>
      <w:r>
        <w:rPr>
          <w:rFonts w:ascii="Arial" w:cs="Arial" w:eastAsia="Arial" w:hAnsi="Arial"/>
          <w:sz w:val="17"/>
          <w:szCs w:val="17"/>
          <w:color w:val="auto"/>
        </w:rPr>
        <w:t>(CUSIP Number)</w:t>
      </w:r>
    </w:p>
    <w:p>
      <w:pPr>
        <w:spacing w:after="0" w:line="207" w:lineRule="exact"/>
        <w:rPr>
          <w:sz w:val="24"/>
          <w:szCs w:val="24"/>
          <w:color w:val="auto"/>
        </w:rPr>
      </w:pPr>
    </w:p>
    <w:p>
      <w:pPr>
        <w:ind w:left="4900"/>
        <w:spacing w:after="0"/>
        <w:rPr>
          <w:sz w:val="20"/>
          <w:szCs w:val="20"/>
          <w:color w:val="auto"/>
        </w:rPr>
      </w:pPr>
      <w:r>
        <w:rPr>
          <w:rFonts w:ascii="Arial" w:cs="Arial" w:eastAsia="Arial" w:hAnsi="Arial"/>
          <w:sz w:val="17"/>
          <w:szCs w:val="17"/>
          <w:color w:val="auto"/>
        </w:rPr>
        <w:t>Greenlight Capital, Inc.</w:t>
      </w:r>
    </w:p>
    <w:p>
      <w:pPr>
        <w:spacing w:after="0" w:line="22" w:lineRule="exact"/>
        <w:rPr>
          <w:sz w:val="24"/>
          <w:szCs w:val="24"/>
          <w:color w:val="auto"/>
        </w:rPr>
      </w:pPr>
    </w:p>
    <w:p>
      <w:pPr>
        <w:ind w:left="4680"/>
        <w:spacing w:after="0"/>
        <w:rPr>
          <w:sz w:val="20"/>
          <w:szCs w:val="20"/>
          <w:color w:val="auto"/>
        </w:rPr>
      </w:pPr>
      <w:r>
        <w:rPr>
          <w:rFonts w:ascii="Arial" w:cs="Arial" w:eastAsia="Arial" w:hAnsi="Arial"/>
          <w:sz w:val="17"/>
          <w:szCs w:val="17"/>
          <w:color w:val="auto"/>
        </w:rPr>
        <w:t>140 East 45th Street, Floor 24</w:t>
      </w:r>
    </w:p>
    <w:p>
      <w:pPr>
        <w:spacing w:after="0" w:line="11" w:lineRule="exact"/>
        <w:rPr>
          <w:sz w:val="24"/>
          <w:szCs w:val="24"/>
          <w:color w:val="auto"/>
        </w:rPr>
      </w:pPr>
    </w:p>
    <w:p>
      <w:pPr>
        <w:ind w:left="4740"/>
        <w:spacing w:after="0"/>
        <w:rPr>
          <w:sz w:val="20"/>
          <w:szCs w:val="20"/>
          <w:color w:val="auto"/>
        </w:rPr>
      </w:pPr>
      <w:r>
        <w:rPr>
          <w:rFonts w:ascii="Arial" w:cs="Arial" w:eastAsia="Arial" w:hAnsi="Arial"/>
          <w:sz w:val="17"/>
          <w:szCs w:val="17"/>
          <w:color w:val="auto"/>
        </w:rPr>
        <w:t>New York, New York 10017</w:t>
      </w:r>
    </w:p>
    <w:p>
      <w:pPr>
        <w:spacing w:after="0" w:line="11" w:lineRule="exact"/>
        <w:rPr>
          <w:sz w:val="24"/>
          <w:szCs w:val="24"/>
          <w:color w:val="auto"/>
        </w:rPr>
      </w:pPr>
    </w:p>
    <w:p>
      <w:pPr>
        <w:ind w:left="4860"/>
        <w:spacing w:after="0"/>
        <w:rPr>
          <w:sz w:val="20"/>
          <w:szCs w:val="20"/>
          <w:color w:val="auto"/>
        </w:rPr>
      </w:pPr>
      <w:r>
        <w:rPr>
          <w:rFonts w:ascii="Arial" w:cs="Arial" w:eastAsia="Arial" w:hAnsi="Arial"/>
          <w:sz w:val="17"/>
          <w:szCs w:val="17"/>
          <w:color w:val="auto"/>
        </w:rPr>
        <w:t>Tel. No.: (212) 973-1900</w:t>
      </w:r>
    </w:p>
    <w:p>
      <w:pPr>
        <w:spacing w:after="0" w:line="11" w:lineRule="exact"/>
        <w:rPr>
          <w:sz w:val="24"/>
          <w:szCs w:val="24"/>
          <w:color w:val="auto"/>
        </w:rPr>
      </w:pPr>
    </w:p>
    <w:p>
      <w:pPr>
        <w:ind w:left="4540"/>
        <w:spacing w:after="0"/>
        <w:rPr>
          <w:sz w:val="20"/>
          <w:szCs w:val="20"/>
          <w:color w:val="auto"/>
        </w:rPr>
      </w:pPr>
      <w:r>
        <w:rPr>
          <w:rFonts w:ascii="Arial" w:cs="Arial" w:eastAsia="Arial" w:hAnsi="Arial"/>
          <w:sz w:val="17"/>
          <w:szCs w:val="17"/>
          <w:color w:val="auto"/>
        </w:rPr>
        <w:t>Attention: Chief Operating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1654810</wp:posOffset>
            </wp:positionH>
            <wp:positionV relativeFrom="paragraph">
              <wp:posOffset>-15875</wp:posOffset>
            </wp:positionV>
            <wp:extent cx="39477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47795" cy="8255"/>
                    </a:xfrm>
                    <a:prstGeom prst="rect">
                      <a:avLst/>
                    </a:prstGeom>
                    <a:noFill/>
                  </pic:spPr>
                </pic:pic>
              </a:graphicData>
            </a:graphic>
          </wp:anchor>
        </w:drawing>
      </w:r>
    </w:p>
    <w:p>
      <w:pPr>
        <w:ind w:left="3480"/>
        <w:spacing w:after="0"/>
        <w:rPr>
          <w:sz w:val="20"/>
          <w:szCs w:val="20"/>
          <w:color w:val="auto"/>
        </w:rPr>
      </w:pPr>
      <w:r>
        <w:rPr>
          <w:rFonts w:ascii="Arial" w:cs="Arial" w:eastAsia="Arial" w:hAnsi="Arial"/>
          <w:sz w:val="17"/>
          <w:szCs w:val="17"/>
          <w:color w:val="auto"/>
        </w:rPr>
        <w:t>(Name, Address and Telephone Number of Person Authorized to</w:t>
      </w:r>
    </w:p>
    <w:p>
      <w:pPr>
        <w:spacing w:after="0" w:line="11" w:lineRule="exact"/>
        <w:rPr>
          <w:sz w:val="24"/>
          <w:szCs w:val="24"/>
          <w:color w:val="auto"/>
        </w:rPr>
      </w:pPr>
    </w:p>
    <w:p>
      <w:pPr>
        <w:ind w:left="4360"/>
        <w:spacing w:after="0"/>
        <w:rPr>
          <w:sz w:val="20"/>
          <w:szCs w:val="20"/>
          <w:color w:val="auto"/>
        </w:rPr>
      </w:pPr>
      <w:r>
        <w:rPr>
          <w:rFonts w:ascii="Arial" w:cs="Arial" w:eastAsia="Arial" w:hAnsi="Arial"/>
          <w:sz w:val="17"/>
          <w:szCs w:val="17"/>
          <w:color w:val="auto"/>
        </w:rPr>
        <w:t>Receive Notices and Communications)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 with copies to -</w:t>
      </w:r>
    </w:p>
    <w:p>
      <w:pPr>
        <w:spacing w:after="0" w:line="218"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Barry N. Hurwitz</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Bingham McCutchen LLP</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One Federal Street</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Boston, MA 02110</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(617) 951-8000</w:t>
      </w:r>
    </w:p>
    <w:p>
      <w:pPr>
        <w:spacing w:after="0" w:line="200" w:lineRule="exact"/>
        <w:rPr>
          <w:sz w:val="24"/>
          <w:szCs w:val="24"/>
          <w:color w:val="auto"/>
        </w:rPr>
      </w:pP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September 30,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727710</wp:posOffset>
            </wp:positionH>
            <wp:positionV relativeFrom="paragraph">
              <wp:posOffset>-5080</wp:posOffset>
            </wp:positionV>
            <wp:extent cx="5800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00725" cy="8255"/>
                    </a:xfrm>
                    <a:prstGeom prst="rect">
                      <a:avLst/>
                    </a:prstGeom>
                    <a:noFill/>
                  </pic:spPr>
                </pic:pic>
              </a:graphicData>
            </a:graphic>
          </wp:anchor>
        </w:drawing>
      </w:r>
    </w:p>
    <w:p>
      <w:pPr>
        <w:spacing w:after="0" w:line="8" w:lineRule="exact"/>
        <w:rPr>
          <w:sz w:val="24"/>
          <w:szCs w:val="24"/>
          <w:color w:val="auto"/>
        </w:rPr>
      </w:pPr>
    </w:p>
    <w:p>
      <w:pPr>
        <w:jc w:val="center"/>
        <w:ind w:right="-99"/>
        <w:spacing w:after="0"/>
        <w:rPr>
          <w:sz w:val="20"/>
          <w:szCs w:val="20"/>
          <w:color w:val="auto"/>
        </w:rPr>
      </w:pPr>
      <w:r>
        <w:rPr>
          <w:rFonts w:ascii="Arial" w:cs="Arial" w:eastAsia="Arial" w:hAnsi="Arial"/>
          <w:sz w:val="17"/>
          <w:szCs w:val="17"/>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ind w:right="380"/>
        <w:spacing w:after="0" w:line="280" w:lineRule="auto"/>
        <w:rPr>
          <w:sz w:val="20"/>
          <w:szCs w:val="20"/>
          <w:color w:val="auto"/>
        </w:rPr>
      </w:pPr>
      <w:r>
        <w:rPr>
          <w:rFonts w:ascii="Arial" w:cs="Arial" w:eastAsia="Arial" w:hAnsi="Arial"/>
          <w:sz w:val="17"/>
          <w:szCs w:val="17"/>
          <w:color w:val="auto"/>
        </w:rPr>
        <w:t>If the filing person has previously filed a statement on Schedule 13G to report the acquisition that is the subject of this Schedule 13D, and is filing this schedule because of §§240.13d-1(e), 240.13d-1(f) or 240.13d-1(g), check the following box. o</w:t>
      </w:r>
    </w:p>
    <w:p>
      <w:pPr>
        <w:spacing w:after="0" w:line="183" w:lineRule="exact"/>
        <w:rPr>
          <w:sz w:val="24"/>
          <w:szCs w:val="24"/>
          <w:color w:val="auto"/>
        </w:rPr>
      </w:pPr>
    </w:p>
    <w:p>
      <w:pPr>
        <w:ind w:right="20"/>
        <w:spacing w:after="0" w:line="287" w:lineRule="auto"/>
        <w:rPr>
          <w:sz w:val="20"/>
          <w:szCs w:val="20"/>
          <w:color w:val="auto"/>
        </w:rPr>
      </w:pPr>
      <w:r>
        <w:rPr>
          <w:rFonts w:ascii="Arial" w:cs="Arial" w:eastAsia="Arial" w:hAnsi="Arial"/>
          <w:sz w:val="17"/>
          <w:szCs w:val="17"/>
          <w:b w:val="1"/>
          <w:bCs w:val="1"/>
          <w:color w:val="auto"/>
        </w:rPr>
        <w:t xml:space="preserve">Note: </w:t>
      </w:r>
      <w:r>
        <w:rPr>
          <w:rFonts w:ascii="Arial" w:cs="Arial" w:eastAsia="Arial" w:hAnsi="Arial"/>
          <w:sz w:val="17"/>
          <w:szCs w:val="17"/>
          <w:color w:val="auto"/>
        </w:rPr>
        <w:t>Schedules filed in paper format shall include a signed original and five copies of the schedule, including all exhibits. See Rule 13d-7 for other parties to whom</w:t>
      </w:r>
      <w:r>
        <w:rPr>
          <w:rFonts w:ascii="Arial" w:cs="Arial" w:eastAsia="Arial" w:hAnsi="Arial"/>
          <w:sz w:val="17"/>
          <w:szCs w:val="17"/>
          <w:b w:val="1"/>
          <w:bCs w:val="1"/>
          <w:color w:val="auto"/>
        </w:rPr>
        <w:t xml:space="preserve"> </w:t>
      </w:r>
      <w:r>
        <w:rPr>
          <w:rFonts w:ascii="Arial" w:cs="Arial" w:eastAsia="Arial" w:hAnsi="Arial"/>
          <w:sz w:val="17"/>
          <w:szCs w:val="17"/>
          <w:color w:val="auto"/>
        </w:rPr>
        <w:t>copies are to be sent.</w:t>
      </w:r>
    </w:p>
    <w:p>
      <w:pPr>
        <w:spacing w:after="0" w:line="184" w:lineRule="exact"/>
        <w:rPr>
          <w:sz w:val="24"/>
          <w:szCs w:val="24"/>
          <w:color w:val="auto"/>
        </w:rPr>
      </w:pPr>
    </w:p>
    <w:p>
      <w:pPr>
        <w:ind w:right="360" w:firstLine="3"/>
        <w:spacing w:after="0" w:line="280" w:lineRule="auto"/>
        <w:tabs>
          <w:tab w:leader="none" w:pos="129"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9" w:lineRule="exact"/>
        <w:rPr>
          <w:sz w:val="24"/>
          <w:szCs w:val="24"/>
          <w:color w:val="auto"/>
        </w:rPr>
      </w:pPr>
    </w:p>
    <w:p>
      <w:pPr>
        <w:ind w:right="60"/>
        <w:spacing w:after="0" w:line="31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504825</wp:posOffset>
            </wp:positionV>
            <wp:extent cx="725741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457" w:right="279" w:bottom="1440" w:gutter="0" w:footer="0" w:header="0"/>
        </w:sectPr>
      </w:pPr>
    </w:p>
    <w:bookmarkStart w:id="1" w:name="page2"/>
    <w:bookmarkEnd w:id="1"/>
    <w:p>
      <w:pPr>
        <w:ind w:left="700" w:right="8700" w:hanging="697"/>
        <w:spacing w:after="0" w:line="349" w:lineRule="auto"/>
        <w:tabs>
          <w:tab w:leader="none" w:pos="700" w:val="left"/>
        </w:tabs>
        <w:numPr>
          <w:ilvl w:val="0"/>
          <w:numId w:val="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154305</wp:posOffset>
            </wp:positionH>
            <wp:positionV relativeFrom="page">
              <wp:posOffset>326390</wp:posOffset>
            </wp:positionV>
            <wp:extent cx="72529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2970" cy="8255"/>
                    </a:xfrm>
                    <a:prstGeom prst="rect">
                      <a:avLst/>
                    </a:prstGeom>
                    <a:noFill/>
                  </pic:spPr>
                </pic:pic>
              </a:graphicData>
            </a:graphic>
          </wp:anchor>
        </w:drawing>
        <w:t>Names of Reporting Persons. Greenlight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25297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330" w:lineRule="exact"/>
        <w:rPr>
          <w:sz w:val="20"/>
          <w:szCs w:val="20"/>
          <w:color w:val="auto"/>
        </w:rPr>
      </w:pPr>
    </w:p>
    <w:p>
      <w:pPr>
        <w:ind w:left="700" w:hanging="697"/>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Box if a Member of a Group (See Instructions)</w:t>
      </w:r>
    </w:p>
    <w:p>
      <w:pPr>
        <w:spacing w:after="0" w:line="217" w:lineRule="exact"/>
        <w:rPr>
          <w:rFonts w:ascii="Arial" w:cs="Arial" w:eastAsia="Arial" w:hAnsi="Arial"/>
          <w:sz w:val="17"/>
          <w:szCs w:val="17"/>
          <w:color w:val="auto"/>
        </w:rPr>
      </w:pPr>
    </w:p>
    <w:p>
      <w:pPr>
        <w:ind w:left="1360" w:hanging="660"/>
        <w:spacing w:after="0"/>
        <w:tabs>
          <w:tab w:leader="none" w:pos="1360" w:val="left"/>
        </w:tabs>
        <w:numPr>
          <w:ilvl w:val="1"/>
          <w:numId w:val="3"/>
        </w:numPr>
        <w:rPr>
          <w:rFonts w:ascii="Arial" w:cs="Arial" w:eastAsia="Arial" w:hAnsi="Arial"/>
          <w:sz w:val="17"/>
          <w:szCs w:val="17"/>
          <w:color w:val="auto"/>
        </w:rPr>
      </w:pPr>
      <w:r>
        <w:rPr>
          <w:rFonts w:ascii="Arial" w:cs="Arial" w:eastAsia="Arial" w:hAnsi="Arial"/>
          <w:sz w:val="17"/>
          <w:szCs w:val="17"/>
          <w:color w:val="auto"/>
        </w:rPr>
        <w:t>[ ]</w:t>
      </w:r>
    </w:p>
    <w:p>
      <w:pPr>
        <w:spacing w:after="0" w:line="217" w:lineRule="exact"/>
        <w:rPr>
          <w:rFonts w:ascii="Arial" w:cs="Arial" w:eastAsia="Arial" w:hAnsi="Arial"/>
          <w:sz w:val="17"/>
          <w:szCs w:val="17"/>
          <w:color w:val="auto"/>
        </w:rPr>
      </w:pPr>
    </w:p>
    <w:p>
      <w:pPr>
        <w:ind w:left="1380" w:hanging="680"/>
        <w:spacing w:after="0"/>
        <w:tabs>
          <w:tab w:leader="none" w:pos="1380" w:val="left"/>
        </w:tabs>
        <w:numPr>
          <w:ilvl w:val="1"/>
          <w:numId w:val="3"/>
        </w:numPr>
        <w:rPr>
          <w:rFonts w:ascii="Arial" w:cs="Arial" w:eastAsia="Arial" w:hAnsi="Arial"/>
          <w:sz w:val="17"/>
          <w:szCs w:val="17"/>
          <w:color w:val="auto"/>
        </w:rPr>
      </w:pP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25297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223" w:lineRule="exact"/>
        <w:rPr>
          <w:sz w:val="20"/>
          <w:szCs w:val="20"/>
          <w:color w:val="auto"/>
        </w:rPr>
      </w:pPr>
    </w:p>
    <w:p>
      <w:pPr>
        <w:ind w:left="700" w:hanging="697"/>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25297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223" w:lineRule="exact"/>
        <w:rPr>
          <w:sz w:val="20"/>
          <w:szCs w:val="20"/>
          <w:color w:val="auto"/>
        </w:rPr>
      </w:pPr>
    </w:p>
    <w:p>
      <w:pPr>
        <w:ind w:left="700" w:right="8280" w:hanging="697"/>
        <w:spacing w:after="0" w:line="280" w:lineRule="auto"/>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Source of Funds (See Instructions): AF, 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25297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376" w:lineRule="exact"/>
        <w:rPr>
          <w:sz w:val="20"/>
          <w:szCs w:val="20"/>
          <w:color w:val="auto"/>
        </w:rPr>
      </w:pPr>
    </w:p>
    <w:p>
      <w:pPr>
        <w:ind w:left="700" w:right="5060" w:hanging="697"/>
        <w:spacing w:after="0" w:line="280" w:lineRule="auto"/>
        <w:tabs>
          <w:tab w:leader="none" w:pos="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Check if disclosure of legal proceedings is required pursuant to Items 2(d) or 2(e):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25297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376" w:lineRule="exact"/>
        <w:rPr>
          <w:sz w:val="20"/>
          <w:szCs w:val="20"/>
          <w:color w:val="auto"/>
        </w:rPr>
      </w:pPr>
    </w:p>
    <w:p>
      <w:pPr>
        <w:ind w:left="700" w:right="8160" w:hanging="697"/>
        <w:spacing w:after="0" w:line="280" w:lineRule="auto"/>
        <w:tabs>
          <w:tab w:leader="none" w:pos="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25297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6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7"/>
                <w:szCs w:val="17"/>
                <w:color w:val="auto"/>
              </w:rPr>
              <w:t>7</w:t>
            </w:r>
          </w:p>
        </w:tc>
        <w:tc>
          <w:tcPr>
            <w:tcW w:w="9120" w:type="dxa"/>
            <w:vAlign w:val="bottom"/>
          </w:tcPr>
          <w:p>
            <w:pPr>
              <w:ind w:left="320"/>
              <w:spacing w:after="0"/>
              <w:rPr>
                <w:sz w:val="20"/>
                <w:szCs w:val="20"/>
                <w:color w:val="auto"/>
              </w:rPr>
            </w:pPr>
            <w:r>
              <w:rPr>
                <w:rFonts w:ascii="Arial" w:cs="Arial" w:eastAsia="Arial" w:hAnsi="Arial"/>
                <w:sz w:val="17"/>
                <w:szCs w:val="17"/>
                <w:color w:val="auto"/>
              </w:rPr>
              <w:t>Sole Voting Power</w:t>
            </w:r>
          </w:p>
        </w:tc>
        <w:tc>
          <w:tcPr>
            <w:tcW w:w="0" w:type="dxa"/>
            <w:vAlign w:val="bottom"/>
          </w:tcPr>
          <w:p>
            <w:pPr>
              <w:spacing w:after="0"/>
              <w:rPr>
                <w:sz w:val="1"/>
                <w:szCs w:val="1"/>
                <w:color w:val="auto"/>
              </w:rPr>
            </w:pPr>
          </w:p>
        </w:tc>
      </w:tr>
      <w:tr>
        <w:trPr>
          <w:trHeight w:val="225"/>
        </w:trPr>
        <w:tc>
          <w:tcPr>
            <w:tcW w:w="2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120" w:type="dxa"/>
            <w:vAlign w:val="bottom"/>
            <w:tcBorders>
              <w:bottom w:val="single" w:sz="8" w:color="auto"/>
            </w:tcBorders>
          </w:tcPr>
          <w:p>
            <w:pPr>
              <w:jc w:val="right"/>
              <w:ind w:right="8874"/>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7"/>
        </w:trPr>
        <w:tc>
          <w:tcPr>
            <w:tcW w:w="2060" w:type="dxa"/>
            <w:vAlign w:val="bottom"/>
          </w:tcPr>
          <w:p>
            <w:pPr>
              <w:jc w:val="center"/>
              <w:spacing w:after="0"/>
              <w:rPr>
                <w:sz w:val="20"/>
                <w:szCs w:val="20"/>
                <w:color w:val="auto"/>
              </w:rPr>
            </w:pPr>
            <w:r>
              <w:rPr>
                <w:rFonts w:ascii="Arial" w:cs="Arial" w:eastAsia="Arial" w:hAnsi="Arial"/>
                <w:sz w:val="17"/>
                <w:szCs w:val="17"/>
                <w:color w:val="auto"/>
                <w:w w:val="92"/>
              </w:rPr>
              <w:t>Number</w:t>
            </w:r>
          </w:p>
        </w:tc>
        <w:tc>
          <w:tcPr>
            <w:tcW w:w="240" w:type="dxa"/>
            <w:vAlign w:val="bottom"/>
            <w:vMerge w:val="restart"/>
          </w:tcPr>
          <w:p>
            <w:pPr>
              <w:spacing w:after="0"/>
              <w:rPr>
                <w:sz w:val="20"/>
                <w:szCs w:val="20"/>
                <w:color w:val="auto"/>
              </w:rPr>
            </w:pPr>
            <w:r>
              <w:rPr>
                <w:rFonts w:ascii="Arial" w:cs="Arial" w:eastAsia="Arial" w:hAnsi="Arial"/>
                <w:sz w:val="17"/>
                <w:szCs w:val="17"/>
                <w:color w:val="auto"/>
              </w:rPr>
              <w:t>8</w:t>
            </w:r>
          </w:p>
        </w:tc>
        <w:tc>
          <w:tcPr>
            <w:tcW w:w="9120" w:type="dxa"/>
            <w:vAlign w:val="bottom"/>
            <w:vMerge w:val="restart"/>
          </w:tcPr>
          <w:p>
            <w:pPr>
              <w:ind w:left="320"/>
              <w:spacing w:after="0"/>
              <w:rPr>
                <w:sz w:val="20"/>
                <w:szCs w:val="20"/>
                <w:color w:val="auto"/>
              </w:rPr>
            </w:pPr>
            <w:r>
              <w:rPr>
                <w:rFonts w:ascii="Arial" w:cs="Arial" w:eastAsia="Arial" w:hAnsi="Arial"/>
                <w:sz w:val="17"/>
                <w:szCs w:val="17"/>
                <w:color w:val="auto"/>
              </w:rPr>
              <w:t>Shared Voting Power</w:t>
            </w:r>
          </w:p>
        </w:tc>
        <w:tc>
          <w:tcPr>
            <w:tcW w:w="0" w:type="dxa"/>
            <w:vAlign w:val="bottom"/>
          </w:tcPr>
          <w:p>
            <w:pPr>
              <w:spacing w:after="0"/>
              <w:rPr>
                <w:sz w:val="1"/>
                <w:szCs w:val="1"/>
                <w:color w:val="auto"/>
              </w:rPr>
            </w:pPr>
          </w:p>
        </w:tc>
      </w:tr>
      <w:tr>
        <w:trPr>
          <w:trHeight w:val="194"/>
        </w:trPr>
        <w:tc>
          <w:tcPr>
            <w:tcW w:w="2060" w:type="dxa"/>
            <w:vAlign w:val="bottom"/>
          </w:tcPr>
          <w:p>
            <w:pPr>
              <w:jc w:val="center"/>
              <w:spacing w:after="0" w:line="194" w:lineRule="exact"/>
              <w:rPr>
                <w:sz w:val="20"/>
                <w:szCs w:val="20"/>
                <w:color w:val="auto"/>
              </w:rPr>
            </w:pPr>
            <w:r>
              <w:rPr>
                <w:rFonts w:ascii="Arial" w:cs="Arial" w:eastAsia="Arial" w:hAnsi="Arial"/>
                <w:sz w:val="17"/>
                <w:szCs w:val="17"/>
                <w:color w:val="auto"/>
                <w:w w:val="87"/>
              </w:rPr>
              <w:t>of Shares</w:t>
            </w:r>
          </w:p>
        </w:tc>
        <w:tc>
          <w:tcPr>
            <w:tcW w:w="240" w:type="dxa"/>
            <w:vAlign w:val="bottom"/>
            <w:vMerge w:val="continue"/>
          </w:tcPr>
          <w:p>
            <w:pPr>
              <w:spacing w:after="0"/>
              <w:rPr>
                <w:sz w:val="16"/>
                <w:szCs w:val="16"/>
                <w:color w:val="auto"/>
              </w:rPr>
            </w:pPr>
          </w:p>
        </w:tc>
        <w:tc>
          <w:tcPr>
            <w:tcW w:w="9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60" w:type="dxa"/>
            <w:vAlign w:val="bottom"/>
          </w:tcPr>
          <w:p>
            <w:pPr>
              <w:jc w:val="center"/>
              <w:spacing w:after="0"/>
              <w:rPr>
                <w:sz w:val="20"/>
                <w:szCs w:val="20"/>
                <w:color w:val="auto"/>
              </w:rPr>
            </w:pPr>
            <w:r>
              <w:rPr>
                <w:rFonts w:ascii="Arial" w:cs="Arial" w:eastAsia="Arial" w:hAnsi="Arial"/>
                <w:sz w:val="17"/>
                <w:szCs w:val="17"/>
                <w:color w:val="auto"/>
                <w:w w:val="97"/>
              </w:rPr>
              <w:t>Beneficially</w:t>
            </w:r>
          </w:p>
        </w:tc>
        <w:tc>
          <w:tcPr>
            <w:tcW w:w="240" w:type="dxa"/>
            <w:vAlign w:val="bottom"/>
            <w:tcBorders>
              <w:bottom w:val="single" w:sz="8" w:color="auto"/>
            </w:tcBorders>
          </w:tcPr>
          <w:p>
            <w:pPr>
              <w:spacing w:after="0"/>
              <w:rPr>
                <w:sz w:val="19"/>
                <w:szCs w:val="19"/>
                <w:color w:val="auto"/>
              </w:rPr>
            </w:pPr>
          </w:p>
        </w:tc>
        <w:tc>
          <w:tcPr>
            <w:tcW w:w="9120" w:type="dxa"/>
            <w:vAlign w:val="bottom"/>
            <w:tcBorders>
              <w:bottom w:val="single" w:sz="8" w:color="auto"/>
            </w:tcBorders>
          </w:tcPr>
          <w:p>
            <w:pPr>
              <w:jc w:val="right"/>
              <w:ind w:right="7854"/>
              <w:spacing w:after="0"/>
              <w:rPr>
                <w:sz w:val="20"/>
                <w:szCs w:val="20"/>
                <w:color w:val="auto"/>
              </w:rPr>
            </w:pPr>
            <w:r>
              <w:rPr>
                <w:rFonts w:ascii="Arial" w:cs="Arial" w:eastAsia="Arial" w:hAnsi="Arial"/>
                <w:sz w:val="17"/>
                <w:szCs w:val="17"/>
                <w:color w:val="auto"/>
              </w:rPr>
              <w:t>6,860,707</w:t>
            </w:r>
          </w:p>
        </w:tc>
        <w:tc>
          <w:tcPr>
            <w:tcW w:w="0" w:type="dxa"/>
            <w:vAlign w:val="bottom"/>
          </w:tcPr>
          <w:p>
            <w:pPr>
              <w:spacing w:after="0"/>
              <w:rPr>
                <w:sz w:val="1"/>
                <w:szCs w:val="1"/>
                <w:color w:val="auto"/>
              </w:rPr>
            </w:pPr>
          </w:p>
        </w:tc>
      </w:tr>
      <w:tr>
        <w:trPr>
          <w:trHeight w:val="181"/>
        </w:trPr>
        <w:tc>
          <w:tcPr>
            <w:tcW w:w="2060" w:type="dxa"/>
            <w:vAlign w:val="bottom"/>
          </w:tcPr>
          <w:p>
            <w:pPr>
              <w:jc w:val="center"/>
              <w:spacing w:after="0" w:line="181" w:lineRule="exact"/>
              <w:rPr>
                <w:sz w:val="20"/>
                <w:szCs w:val="20"/>
                <w:color w:val="auto"/>
              </w:rPr>
            </w:pPr>
            <w:r>
              <w:rPr>
                <w:rFonts w:ascii="Arial" w:cs="Arial" w:eastAsia="Arial" w:hAnsi="Arial"/>
                <w:sz w:val="17"/>
                <w:szCs w:val="17"/>
                <w:color w:val="auto"/>
                <w:w w:val="94"/>
              </w:rPr>
              <w:t>Owned by</w:t>
            </w:r>
          </w:p>
        </w:tc>
        <w:tc>
          <w:tcPr>
            <w:tcW w:w="240" w:type="dxa"/>
            <w:vAlign w:val="bottom"/>
          </w:tcPr>
          <w:p>
            <w:pPr>
              <w:spacing w:after="0"/>
              <w:rPr>
                <w:sz w:val="15"/>
                <w:szCs w:val="15"/>
                <w:color w:val="auto"/>
              </w:rPr>
            </w:pPr>
          </w:p>
        </w:tc>
        <w:tc>
          <w:tcPr>
            <w:tcW w:w="9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60" w:type="dxa"/>
            <w:vAlign w:val="bottom"/>
          </w:tcPr>
          <w:p>
            <w:pPr>
              <w:jc w:val="center"/>
              <w:spacing w:after="0"/>
              <w:rPr>
                <w:sz w:val="20"/>
                <w:szCs w:val="20"/>
                <w:color w:val="auto"/>
              </w:rPr>
            </w:pPr>
            <w:r>
              <w:rPr>
                <w:rFonts w:ascii="Arial" w:cs="Arial" w:eastAsia="Arial" w:hAnsi="Arial"/>
                <w:sz w:val="17"/>
                <w:szCs w:val="17"/>
                <w:color w:val="auto"/>
                <w:w w:val="87"/>
              </w:rPr>
              <w:t>Each</w:t>
            </w:r>
          </w:p>
        </w:tc>
        <w:tc>
          <w:tcPr>
            <w:tcW w:w="240" w:type="dxa"/>
            <w:vAlign w:val="bottom"/>
          </w:tcPr>
          <w:p>
            <w:pPr>
              <w:spacing w:after="0"/>
              <w:rPr>
                <w:sz w:val="20"/>
                <w:szCs w:val="20"/>
                <w:color w:val="auto"/>
              </w:rPr>
            </w:pPr>
            <w:r>
              <w:rPr>
                <w:rFonts w:ascii="Arial" w:cs="Arial" w:eastAsia="Arial" w:hAnsi="Arial"/>
                <w:sz w:val="17"/>
                <w:szCs w:val="17"/>
                <w:color w:val="auto"/>
              </w:rPr>
              <w:t>9</w:t>
            </w:r>
          </w:p>
        </w:tc>
        <w:tc>
          <w:tcPr>
            <w:tcW w:w="9120" w:type="dxa"/>
            <w:vAlign w:val="bottom"/>
          </w:tcPr>
          <w:p>
            <w:pPr>
              <w:jc w:val="right"/>
              <w:ind w:right="7054"/>
              <w:spacing w:after="0"/>
              <w:rPr>
                <w:sz w:val="20"/>
                <w:szCs w:val="20"/>
                <w:color w:val="auto"/>
              </w:rPr>
            </w:pPr>
            <w:r>
              <w:rPr>
                <w:rFonts w:ascii="Arial" w:cs="Arial" w:eastAsia="Arial" w:hAnsi="Arial"/>
                <w:sz w:val="17"/>
                <w:szCs w:val="17"/>
                <w:color w:val="auto"/>
              </w:rPr>
              <w:t>Sole Dispositive Power</w:t>
            </w:r>
          </w:p>
        </w:tc>
        <w:tc>
          <w:tcPr>
            <w:tcW w:w="0" w:type="dxa"/>
            <w:vAlign w:val="bottom"/>
          </w:tcPr>
          <w:p>
            <w:pPr>
              <w:spacing w:after="0"/>
              <w:rPr>
                <w:sz w:val="1"/>
                <w:szCs w:val="1"/>
                <w:color w:val="auto"/>
              </w:rPr>
            </w:pPr>
          </w:p>
        </w:tc>
      </w:tr>
      <w:tr>
        <w:trPr>
          <w:trHeight w:val="206"/>
        </w:trPr>
        <w:tc>
          <w:tcPr>
            <w:tcW w:w="2060" w:type="dxa"/>
            <w:vAlign w:val="bottom"/>
          </w:tcPr>
          <w:p>
            <w:pPr>
              <w:jc w:val="center"/>
              <w:spacing w:after="0"/>
              <w:rPr>
                <w:sz w:val="20"/>
                <w:szCs w:val="20"/>
                <w:color w:val="auto"/>
              </w:rPr>
            </w:pPr>
            <w:r>
              <w:rPr>
                <w:rFonts w:ascii="Arial" w:cs="Arial" w:eastAsia="Arial" w:hAnsi="Arial"/>
                <w:sz w:val="17"/>
                <w:szCs w:val="17"/>
                <w:color w:val="auto"/>
                <w:w w:val="92"/>
              </w:rPr>
              <w:t>Reporting</w:t>
            </w:r>
          </w:p>
        </w:tc>
        <w:tc>
          <w:tcPr>
            <w:tcW w:w="240" w:type="dxa"/>
            <w:vAlign w:val="bottom"/>
          </w:tcPr>
          <w:p>
            <w:pPr>
              <w:spacing w:after="0"/>
              <w:rPr>
                <w:sz w:val="17"/>
                <w:szCs w:val="17"/>
                <w:color w:val="auto"/>
              </w:rPr>
            </w:pPr>
          </w:p>
        </w:tc>
        <w:tc>
          <w:tcPr>
            <w:tcW w:w="9120" w:type="dxa"/>
            <w:vAlign w:val="bottom"/>
          </w:tcPr>
          <w:p>
            <w:pPr>
              <w:jc w:val="right"/>
              <w:ind w:right="8874"/>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1"/>
        </w:trPr>
        <w:tc>
          <w:tcPr>
            <w:tcW w:w="2060" w:type="dxa"/>
            <w:vAlign w:val="bottom"/>
            <w:vMerge w:val="restart"/>
          </w:tcPr>
          <w:p>
            <w:pPr>
              <w:jc w:val="center"/>
              <w:spacing w:after="0"/>
              <w:rPr>
                <w:sz w:val="20"/>
                <w:szCs w:val="20"/>
                <w:color w:val="auto"/>
              </w:rPr>
            </w:pPr>
            <w:r>
              <w:rPr>
                <w:rFonts w:ascii="Arial" w:cs="Arial" w:eastAsia="Arial" w:hAnsi="Arial"/>
                <w:sz w:val="17"/>
                <w:szCs w:val="17"/>
                <w:color w:val="auto"/>
                <w:w w:val="90"/>
              </w:rPr>
              <w:t>Person With</w:t>
            </w:r>
          </w:p>
        </w:tc>
        <w:tc>
          <w:tcPr>
            <w:tcW w:w="240" w:type="dxa"/>
            <w:vAlign w:val="bottom"/>
            <w:tcBorders>
              <w:bottom w:val="single" w:sz="8" w:color="auto"/>
            </w:tcBorders>
          </w:tcPr>
          <w:p>
            <w:pPr>
              <w:spacing w:after="0"/>
              <w:rPr>
                <w:sz w:val="2"/>
                <w:szCs w:val="2"/>
                <w:color w:val="auto"/>
              </w:rPr>
            </w:pPr>
          </w:p>
        </w:tc>
        <w:tc>
          <w:tcPr>
            <w:tcW w:w="9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60" w:type="dxa"/>
            <w:vAlign w:val="bottom"/>
            <w:vMerge w:val="continue"/>
          </w:tcPr>
          <w:p>
            <w:pPr>
              <w:spacing w:after="0"/>
              <w:rPr>
                <w:sz w:val="14"/>
                <w:szCs w:val="14"/>
                <w:color w:val="auto"/>
              </w:rPr>
            </w:pPr>
          </w:p>
        </w:tc>
        <w:tc>
          <w:tcPr>
            <w:tcW w:w="240" w:type="dxa"/>
            <w:vAlign w:val="bottom"/>
            <w:vMerge w:val="restart"/>
          </w:tcPr>
          <w:p>
            <w:pPr>
              <w:spacing w:after="0"/>
              <w:rPr>
                <w:sz w:val="20"/>
                <w:szCs w:val="20"/>
                <w:color w:val="auto"/>
              </w:rPr>
            </w:pPr>
            <w:r>
              <w:rPr>
                <w:rFonts w:ascii="Arial" w:cs="Arial" w:eastAsia="Arial" w:hAnsi="Arial"/>
                <w:sz w:val="17"/>
                <w:szCs w:val="17"/>
                <w:color w:val="auto"/>
              </w:rPr>
              <w:t>10</w:t>
            </w:r>
          </w:p>
        </w:tc>
        <w:tc>
          <w:tcPr>
            <w:tcW w:w="9120" w:type="dxa"/>
            <w:vAlign w:val="bottom"/>
            <w:vMerge w:val="restart"/>
          </w:tcPr>
          <w:p>
            <w:pPr>
              <w:jc w:val="right"/>
              <w:ind w:right="6834"/>
              <w:spacing w:after="0"/>
              <w:rPr>
                <w:sz w:val="20"/>
                <w:szCs w:val="20"/>
                <w:color w:val="auto"/>
              </w:rPr>
            </w:pPr>
            <w:r>
              <w:rPr>
                <w:rFonts w:ascii="Arial" w:cs="Arial" w:eastAsia="Arial" w:hAnsi="Arial"/>
                <w:sz w:val="17"/>
                <w:szCs w:val="17"/>
                <w:color w:val="auto"/>
              </w:rPr>
              <w:t>Shared Dispositive Power</w:t>
            </w: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9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120" w:type="dxa"/>
            <w:vAlign w:val="bottom"/>
            <w:tcBorders>
              <w:bottom w:val="single" w:sz="8" w:color="auto"/>
            </w:tcBorders>
          </w:tcPr>
          <w:p>
            <w:pPr>
              <w:jc w:val="right"/>
              <w:ind w:right="7834"/>
              <w:spacing w:after="0"/>
              <w:rPr>
                <w:sz w:val="20"/>
                <w:szCs w:val="20"/>
                <w:color w:val="auto"/>
              </w:rPr>
            </w:pPr>
            <w:r>
              <w:rPr>
                <w:rFonts w:ascii="Arial" w:cs="Arial" w:eastAsia="Arial" w:hAnsi="Arial"/>
                <w:sz w:val="17"/>
                <w:szCs w:val="17"/>
                <w:color w:val="auto"/>
              </w:rPr>
              <w:t>6,860,707</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040" w:right="6120" w:hanging="1037"/>
        <w:spacing w:after="0" w:line="280" w:lineRule="auto"/>
        <w:tabs>
          <w:tab w:leader="none" w:pos="696" w:val="left"/>
        </w:tabs>
        <w:numPr>
          <w:ilvl w:val="0"/>
          <w:numId w:val="8"/>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6,860,707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25297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169" w:lineRule="exact"/>
        <w:rPr>
          <w:sz w:val="20"/>
          <w:szCs w:val="20"/>
          <w:color w:val="auto"/>
        </w:rPr>
      </w:pPr>
    </w:p>
    <w:p>
      <w:pPr>
        <w:spacing w:after="0"/>
        <w:tabs>
          <w:tab w:leader="none" w:pos="680" w:val="left"/>
          <w:tab w:leader="none" w:pos="696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6"/>
          <w:szCs w:val="16"/>
          <w:color w:val="auto"/>
        </w:rPr>
        <w:t>Check if the Aggregate Amount in Row (11) Excludes Certain Shares (See Instructions)</w:t>
      </w:r>
      <w:r>
        <w:rPr>
          <w:sz w:val="20"/>
          <w:szCs w:val="20"/>
          <w:color w:val="auto"/>
        </w:rPr>
        <w:tab/>
      </w: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25297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223" w:lineRule="exact"/>
        <w:rPr>
          <w:sz w:val="20"/>
          <w:szCs w:val="20"/>
          <w:color w:val="auto"/>
        </w:rPr>
      </w:pPr>
    </w:p>
    <w:p>
      <w:pPr>
        <w:ind w:left="1040" w:right="7020" w:hanging="1037"/>
        <w:spacing w:after="0" w:line="280" w:lineRule="auto"/>
        <w:tabs>
          <w:tab w:leader="none" w:pos="696" w:val="left"/>
        </w:tabs>
        <w:numPr>
          <w:ilvl w:val="0"/>
          <w:numId w:val="9"/>
        </w:numPr>
        <w:rPr>
          <w:rFonts w:ascii="Arial" w:cs="Arial" w:eastAsia="Arial" w:hAnsi="Arial"/>
          <w:sz w:val="17"/>
          <w:szCs w:val="17"/>
          <w:color w:val="auto"/>
        </w:rPr>
      </w:pPr>
      <w:r>
        <w:rPr>
          <w:rFonts w:ascii="Arial" w:cs="Arial" w:eastAsia="Arial" w:hAnsi="Arial"/>
          <w:sz w:val="17"/>
          <w:szCs w:val="17"/>
          <w:color w:val="auto"/>
        </w:rPr>
        <w:t>Percent of Class Represented by Amount in Row (11) 6.4%</w:t>
      </w:r>
    </w:p>
    <w:p>
      <w:pPr>
        <w:spacing w:after="0" w:line="395" w:lineRule="exact"/>
        <w:rPr>
          <w:rFonts w:ascii="Arial" w:cs="Arial" w:eastAsia="Arial" w:hAnsi="Arial"/>
          <w:sz w:val="17"/>
          <w:szCs w:val="17"/>
          <w:color w:val="auto"/>
        </w:rPr>
      </w:pPr>
    </w:p>
    <w:p>
      <w:pPr>
        <w:ind w:left="700" w:hanging="697"/>
        <w:spacing w:after="0"/>
        <w:tabs>
          <w:tab w:leader="none" w:pos="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-262890</wp:posOffset>
            </wp:positionV>
            <wp:extent cx="725297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CO,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25297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2970" cy="165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710565</wp:posOffset>
            </wp:positionV>
            <wp:extent cx="725741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21" w:right="239" w:bottom="1440" w:gutter="0" w:footer="0" w:header="0"/>
        </w:sectPr>
      </w:pPr>
    </w:p>
    <w:bookmarkStart w:id="2" w:name="page3"/>
    <w:bookmarkEnd w:id="2"/>
    <w:p>
      <w:pPr>
        <w:ind w:left="740" w:right="8660" w:hanging="737"/>
        <w:spacing w:after="0" w:line="349" w:lineRule="auto"/>
        <w:tabs>
          <w:tab w:leader="none" w:pos="740" w:val="left"/>
        </w:tabs>
        <w:numPr>
          <w:ilvl w:val="0"/>
          <w:numId w:val="1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154305</wp:posOffset>
            </wp:positionH>
            <wp:positionV relativeFrom="page">
              <wp:posOffset>621665</wp:posOffset>
            </wp:positionV>
            <wp:extent cx="72529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2970" cy="8255"/>
                    </a:xfrm>
                    <a:prstGeom prst="rect">
                      <a:avLst/>
                    </a:prstGeom>
                    <a:noFill/>
                  </pic:spPr>
                </pic:pic>
              </a:graphicData>
            </a:graphic>
          </wp:anchor>
        </w:drawing>
        <w:t>Names of Reporting Persons. DME Advisors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25297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330" w:lineRule="exact"/>
        <w:rPr>
          <w:sz w:val="20"/>
          <w:szCs w:val="20"/>
          <w:color w:val="auto"/>
        </w:rPr>
      </w:pPr>
    </w:p>
    <w:p>
      <w:pPr>
        <w:ind w:left="740" w:hanging="737"/>
        <w:spacing w:after="0"/>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Check the Appropriate Box if a Member of a Group (See Instructions)</w:t>
      </w:r>
    </w:p>
    <w:p>
      <w:pPr>
        <w:spacing w:after="0" w:line="217" w:lineRule="exact"/>
        <w:rPr>
          <w:rFonts w:ascii="Arial" w:cs="Arial" w:eastAsia="Arial" w:hAnsi="Arial"/>
          <w:sz w:val="17"/>
          <w:szCs w:val="17"/>
          <w:color w:val="auto"/>
        </w:rPr>
      </w:pPr>
    </w:p>
    <w:p>
      <w:pPr>
        <w:ind w:left="1400" w:hanging="661"/>
        <w:spacing w:after="0"/>
        <w:tabs>
          <w:tab w:leader="none" w:pos="14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 ]</w:t>
      </w:r>
    </w:p>
    <w:p>
      <w:pPr>
        <w:spacing w:after="0" w:line="217" w:lineRule="exact"/>
        <w:rPr>
          <w:rFonts w:ascii="Arial" w:cs="Arial" w:eastAsia="Arial" w:hAnsi="Arial"/>
          <w:sz w:val="17"/>
          <w:szCs w:val="17"/>
          <w:color w:val="auto"/>
        </w:rPr>
      </w:pPr>
    </w:p>
    <w:p>
      <w:pPr>
        <w:ind w:left="1420" w:hanging="681"/>
        <w:spacing w:after="0"/>
        <w:tabs>
          <w:tab w:leader="none" w:pos="14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25297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223" w:lineRule="exact"/>
        <w:rPr>
          <w:sz w:val="20"/>
          <w:szCs w:val="20"/>
          <w:color w:val="auto"/>
        </w:rPr>
      </w:pPr>
    </w:p>
    <w:p>
      <w:pPr>
        <w:ind w:left="740" w:hanging="737"/>
        <w:spacing w:after="0"/>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25297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223" w:lineRule="exact"/>
        <w:rPr>
          <w:sz w:val="20"/>
          <w:szCs w:val="20"/>
          <w:color w:val="auto"/>
        </w:rPr>
      </w:pPr>
    </w:p>
    <w:p>
      <w:pPr>
        <w:ind w:left="740" w:right="8240" w:hanging="737"/>
        <w:spacing w:after="0" w:line="280" w:lineRule="auto"/>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Source of Funds (See Instructions): AF, 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25297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376" w:lineRule="exact"/>
        <w:rPr>
          <w:sz w:val="20"/>
          <w:szCs w:val="20"/>
          <w:color w:val="auto"/>
        </w:rPr>
      </w:pPr>
    </w:p>
    <w:p>
      <w:pPr>
        <w:ind w:left="740" w:right="5020" w:hanging="737"/>
        <w:spacing w:after="0" w:line="280" w:lineRule="auto"/>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Check if disclosure of legal proceedings is required pursuant to Items 2(d) or 2(e):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25297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376" w:lineRule="exact"/>
        <w:rPr>
          <w:sz w:val="20"/>
          <w:szCs w:val="20"/>
          <w:color w:val="auto"/>
        </w:rPr>
      </w:pPr>
    </w:p>
    <w:p>
      <w:pPr>
        <w:ind w:left="740" w:right="8120" w:hanging="737"/>
        <w:spacing w:after="0" w:line="280" w:lineRule="auto"/>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25297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6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7"/>
                <w:szCs w:val="17"/>
                <w:color w:val="auto"/>
              </w:rPr>
              <w:t>7</w:t>
            </w:r>
          </w:p>
        </w:tc>
        <w:tc>
          <w:tcPr>
            <w:tcW w:w="9120" w:type="dxa"/>
            <w:vAlign w:val="bottom"/>
          </w:tcPr>
          <w:p>
            <w:pPr>
              <w:ind w:left="320"/>
              <w:spacing w:after="0"/>
              <w:rPr>
                <w:sz w:val="20"/>
                <w:szCs w:val="20"/>
                <w:color w:val="auto"/>
              </w:rPr>
            </w:pPr>
            <w:r>
              <w:rPr>
                <w:rFonts w:ascii="Arial" w:cs="Arial" w:eastAsia="Arial" w:hAnsi="Arial"/>
                <w:sz w:val="17"/>
                <w:szCs w:val="17"/>
                <w:color w:val="auto"/>
              </w:rPr>
              <w:t>Sole Voting Power</w:t>
            </w:r>
          </w:p>
        </w:tc>
        <w:tc>
          <w:tcPr>
            <w:tcW w:w="0" w:type="dxa"/>
            <w:vAlign w:val="bottom"/>
          </w:tcPr>
          <w:p>
            <w:pPr>
              <w:spacing w:after="0"/>
              <w:rPr>
                <w:sz w:val="1"/>
                <w:szCs w:val="1"/>
                <w:color w:val="auto"/>
              </w:rPr>
            </w:pPr>
          </w:p>
        </w:tc>
      </w:tr>
      <w:tr>
        <w:trPr>
          <w:trHeight w:val="225"/>
        </w:trPr>
        <w:tc>
          <w:tcPr>
            <w:tcW w:w="2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12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7"/>
        </w:trPr>
        <w:tc>
          <w:tcPr>
            <w:tcW w:w="2060" w:type="dxa"/>
            <w:vAlign w:val="bottom"/>
          </w:tcPr>
          <w:p>
            <w:pPr>
              <w:jc w:val="center"/>
              <w:spacing w:after="0"/>
              <w:rPr>
                <w:sz w:val="20"/>
                <w:szCs w:val="20"/>
                <w:color w:val="auto"/>
              </w:rPr>
            </w:pPr>
            <w:r>
              <w:rPr>
                <w:rFonts w:ascii="Arial" w:cs="Arial" w:eastAsia="Arial" w:hAnsi="Arial"/>
                <w:sz w:val="17"/>
                <w:szCs w:val="17"/>
                <w:color w:val="auto"/>
                <w:w w:val="92"/>
              </w:rPr>
              <w:t>Number</w:t>
            </w:r>
          </w:p>
        </w:tc>
        <w:tc>
          <w:tcPr>
            <w:tcW w:w="240" w:type="dxa"/>
            <w:vAlign w:val="bottom"/>
            <w:vMerge w:val="restart"/>
          </w:tcPr>
          <w:p>
            <w:pPr>
              <w:spacing w:after="0"/>
              <w:rPr>
                <w:sz w:val="20"/>
                <w:szCs w:val="20"/>
                <w:color w:val="auto"/>
              </w:rPr>
            </w:pPr>
            <w:r>
              <w:rPr>
                <w:rFonts w:ascii="Arial" w:cs="Arial" w:eastAsia="Arial" w:hAnsi="Arial"/>
                <w:sz w:val="17"/>
                <w:szCs w:val="17"/>
                <w:color w:val="auto"/>
              </w:rPr>
              <w:t>8</w:t>
            </w:r>
          </w:p>
        </w:tc>
        <w:tc>
          <w:tcPr>
            <w:tcW w:w="9120" w:type="dxa"/>
            <w:vAlign w:val="bottom"/>
            <w:vMerge w:val="restart"/>
          </w:tcPr>
          <w:p>
            <w:pPr>
              <w:ind w:left="320"/>
              <w:spacing w:after="0"/>
              <w:rPr>
                <w:sz w:val="20"/>
                <w:szCs w:val="20"/>
                <w:color w:val="auto"/>
              </w:rPr>
            </w:pPr>
            <w:r>
              <w:rPr>
                <w:rFonts w:ascii="Arial" w:cs="Arial" w:eastAsia="Arial" w:hAnsi="Arial"/>
                <w:sz w:val="17"/>
                <w:szCs w:val="17"/>
                <w:color w:val="auto"/>
              </w:rPr>
              <w:t>Shared Voting Power</w:t>
            </w:r>
          </w:p>
        </w:tc>
        <w:tc>
          <w:tcPr>
            <w:tcW w:w="0" w:type="dxa"/>
            <w:vAlign w:val="bottom"/>
          </w:tcPr>
          <w:p>
            <w:pPr>
              <w:spacing w:after="0"/>
              <w:rPr>
                <w:sz w:val="1"/>
                <w:szCs w:val="1"/>
                <w:color w:val="auto"/>
              </w:rPr>
            </w:pPr>
          </w:p>
        </w:tc>
      </w:tr>
      <w:tr>
        <w:trPr>
          <w:trHeight w:val="194"/>
        </w:trPr>
        <w:tc>
          <w:tcPr>
            <w:tcW w:w="2060" w:type="dxa"/>
            <w:vAlign w:val="bottom"/>
          </w:tcPr>
          <w:p>
            <w:pPr>
              <w:jc w:val="center"/>
              <w:spacing w:after="0" w:line="194" w:lineRule="exact"/>
              <w:rPr>
                <w:sz w:val="20"/>
                <w:szCs w:val="20"/>
                <w:color w:val="auto"/>
              </w:rPr>
            </w:pPr>
            <w:r>
              <w:rPr>
                <w:rFonts w:ascii="Arial" w:cs="Arial" w:eastAsia="Arial" w:hAnsi="Arial"/>
                <w:sz w:val="17"/>
                <w:szCs w:val="17"/>
                <w:color w:val="auto"/>
                <w:w w:val="87"/>
              </w:rPr>
              <w:t>of Shares</w:t>
            </w:r>
          </w:p>
        </w:tc>
        <w:tc>
          <w:tcPr>
            <w:tcW w:w="240" w:type="dxa"/>
            <w:vAlign w:val="bottom"/>
            <w:vMerge w:val="continue"/>
          </w:tcPr>
          <w:p>
            <w:pPr>
              <w:spacing w:after="0"/>
              <w:rPr>
                <w:sz w:val="16"/>
                <w:szCs w:val="16"/>
                <w:color w:val="auto"/>
              </w:rPr>
            </w:pPr>
          </w:p>
        </w:tc>
        <w:tc>
          <w:tcPr>
            <w:tcW w:w="9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60" w:type="dxa"/>
            <w:vAlign w:val="bottom"/>
          </w:tcPr>
          <w:p>
            <w:pPr>
              <w:jc w:val="center"/>
              <w:spacing w:after="0"/>
              <w:rPr>
                <w:sz w:val="20"/>
                <w:szCs w:val="20"/>
                <w:color w:val="auto"/>
              </w:rPr>
            </w:pPr>
            <w:r>
              <w:rPr>
                <w:rFonts w:ascii="Arial" w:cs="Arial" w:eastAsia="Arial" w:hAnsi="Arial"/>
                <w:sz w:val="17"/>
                <w:szCs w:val="17"/>
                <w:color w:val="auto"/>
                <w:w w:val="97"/>
              </w:rPr>
              <w:t>Beneficially</w:t>
            </w:r>
          </w:p>
        </w:tc>
        <w:tc>
          <w:tcPr>
            <w:tcW w:w="240" w:type="dxa"/>
            <w:vAlign w:val="bottom"/>
            <w:tcBorders>
              <w:bottom w:val="single" w:sz="8" w:color="auto"/>
            </w:tcBorders>
          </w:tcPr>
          <w:p>
            <w:pPr>
              <w:spacing w:after="0"/>
              <w:rPr>
                <w:sz w:val="19"/>
                <w:szCs w:val="19"/>
                <w:color w:val="auto"/>
              </w:rPr>
            </w:pPr>
          </w:p>
        </w:tc>
        <w:tc>
          <w:tcPr>
            <w:tcW w:w="912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3,798,222</w:t>
            </w:r>
          </w:p>
        </w:tc>
        <w:tc>
          <w:tcPr>
            <w:tcW w:w="0" w:type="dxa"/>
            <w:vAlign w:val="bottom"/>
          </w:tcPr>
          <w:p>
            <w:pPr>
              <w:spacing w:after="0"/>
              <w:rPr>
                <w:sz w:val="1"/>
                <w:szCs w:val="1"/>
                <w:color w:val="auto"/>
              </w:rPr>
            </w:pPr>
          </w:p>
        </w:tc>
      </w:tr>
      <w:tr>
        <w:trPr>
          <w:trHeight w:val="181"/>
        </w:trPr>
        <w:tc>
          <w:tcPr>
            <w:tcW w:w="2060" w:type="dxa"/>
            <w:vAlign w:val="bottom"/>
          </w:tcPr>
          <w:p>
            <w:pPr>
              <w:jc w:val="center"/>
              <w:spacing w:after="0" w:line="181" w:lineRule="exact"/>
              <w:rPr>
                <w:sz w:val="20"/>
                <w:szCs w:val="20"/>
                <w:color w:val="auto"/>
              </w:rPr>
            </w:pPr>
            <w:r>
              <w:rPr>
                <w:rFonts w:ascii="Arial" w:cs="Arial" w:eastAsia="Arial" w:hAnsi="Arial"/>
                <w:sz w:val="17"/>
                <w:szCs w:val="17"/>
                <w:color w:val="auto"/>
                <w:w w:val="94"/>
              </w:rPr>
              <w:t>Owned by</w:t>
            </w:r>
          </w:p>
        </w:tc>
        <w:tc>
          <w:tcPr>
            <w:tcW w:w="240" w:type="dxa"/>
            <w:vAlign w:val="bottom"/>
          </w:tcPr>
          <w:p>
            <w:pPr>
              <w:spacing w:after="0"/>
              <w:rPr>
                <w:sz w:val="15"/>
                <w:szCs w:val="15"/>
                <w:color w:val="auto"/>
              </w:rPr>
            </w:pPr>
          </w:p>
        </w:tc>
        <w:tc>
          <w:tcPr>
            <w:tcW w:w="9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60" w:type="dxa"/>
            <w:vAlign w:val="bottom"/>
          </w:tcPr>
          <w:p>
            <w:pPr>
              <w:jc w:val="center"/>
              <w:spacing w:after="0"/>
              <w:rPr>
                <w:sz w:val="20"/>
                <w:szCs w:val="20"/>
                <w:color w:val="auto"/>
              </w:rPr>
            </w:pPr>
            <w:r>
              <w:rPr>
                <w:rFonts w:ascii="Arial" w:cs="Arial" w:eastAsia="Arial" w:hAnsi="Arial"/>
                <w:sz w:val="17"/>
                <w:szCs w:val="17"/>
                <w:color w:val="auto"/>
                <w:w w:val="87"/>
              </w:rPr>
              <w:t>Each</w:t>
            </w:r>
          </w:p>
        </w:tc>
        <w:tc>
          <w:tcPr>
            <w:tcW w:w="240" w:type="dxa"/>
            <w:vAlign w:val="bottom"/>
          </w:tcPr>
          <w:p>
            <w:pPr>
              <w:spacing w:after="0"/>
              <w:rPr>
                <w:sz w:val="20"/>
                <w:szCs w:val="20"/>
                <w:color w:val="auto"/>
              </w:rPr>
            </w:pPr>
            <w:r>
              <w:rPr>
                <w:rFonts w:ascii="Arial" w:cs="Arial" w:eastAsia="Arial" w:hAnsi="Arial"/>
                <w:sz w:val="17"/>
                <w:szCs w:val="17"/>
                <w:color w:val="auto"/>
              </w:rPr>
              <w:t>9</w:t>
            </w:r>
          </w:p>
        </w:tc>
        <w:tc>
          <w:tcPr>
            <w:tcW w:w="9120" w:type="dxa"/>
            <w:vAlign w:val="bottom"/>
          </w:tcPr>
          <w:p>
            <w:pPr>
              <w:ind w:left="380"/>
              <w:spacing w:after="0"/>
              <w:rPr>
                <w:sz w:val="20"/>
                <w:szCs w:val="20"/>
                <w:color w:val="auto"/>
              </w:rPr>
            </w:pPr>
            <w:r>
              <w:rPr>
                <w:rFonts w:ascii="Arial" w:cs="Arial" w:eastAsia="Arial" w:hAnsi="Arial"/>
                <w:sz w:val="17"/>
                <w:szCs w:val="17"/>
                <w:color w:val="auto"/>
              </w:rPr>
              <w:t>Sole Dispositive Power</w:t>
            </w:r>
          </w:p>
        </w:tc>
        <w:tc>
          <w:tcPr>
            <w:tcW w:w="0" w:type="dxa"/>
            <w:vAlign w:val="bottom"/>
          </w:tcPr>
          <w:p>
            <w:pPr>
              <w:spacing w:after="0"/>
              <w:rPr>
                <w:sz w:val="1"/>
                <w:szCs w:val="1"/>
                <w:color w:val="auto"/>
              </w:rPr>
            </w:pPr>
          </w:p>
        </w:tc>
      </w:tr>
      <w:tr>
        <w:trPr>
          <w:trHeight w:val="206"/>
        </w:trPr>
        <w:tc>
          <w:tcPr>
            <w:tcW w:w="2060" w:type="dxa"/>
            <w:vAlign w:val="bottom"/>
          </w:tcPr>
          <w:p>
            <w:pPr>
              <w:jc w:val="center"/>
              <w:spacing w:after="0"/>
              <w:rPr>
                <w:sz w:val="20"/>
                <w:szCs w:val="20"/>
                <w:color w:val="auto"/>
              </w:rPr>
            </w:pPr>
            <w:r>
              <w:rPr>
                <w:rFonts w:ascii="Arial" w:cs="Arial" w:eastAsia="Arial" w:hAnsi="Arial"/>
                <w:sz w:val="17"/>
                <w:szCs w:val="17"/>
                <w:color w:val="auto"/>
                <w:w w:val="92"/>
              </w:rPr>
              <w:t>Reporting</w:t>
            </w:r>
          </w:p>
        </w:tc>
        <w:tc>
          <w:tcPr>
            <w:tcW w:w="240" w:type="dxa"/>
            <w:vAlign w:val="bottom"/>
          </w:tcPr>
          <w:p>
            <w:pPr>
              <w:spacing w:after="0"/>
              <w:rPr>
                <w:sz w:val="17"/>
                <w:szCs w:val="17"/>
                <w:color w:val="auto"/>
              </w:rPr>
            </w:pPr>
          </w:p>
        </w:tc>
        <w:tc>
          <w:tcPr>
            <w:tcW w:w="9120" w:type="dxa"/>
            <w:vAlign w:val="bottom"/>
          </w:tcPr>
          <w:p>
            <w:pPr>
              <w:ind w:left="12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1"/>
        </w:trPr>
        <w:tc>
          <w:tcPr>
            <w:tcW w:w="2060" w:type="dxa"/>
            <w:vAlign w:val="bottom"/>
            <w:vMerge w:val="restart"/>
          </w:tcPr>
          <w:p>
            <w:pPr>
              <w:jc w:val="center"/>
              <w:spacing w:after="0"/>
              <w:rPr>
                <w:sz w:val="20"/>
                <w:szCs w:val="20"/>
                <w:color w:val="auto"/>
              </w:rPr>
            </w:pPr>
            <w:r>
              <w:rPr>
                <w:rFonts w:ascii="Arial" w:cs="Arial" w:eastAsia="Arial" w:hAnsi="Arial"/>
                <w:sz w:val="17"/>
                <w:szCs w:val="17"/>
                <w:color w:val="auto"/>
                <w:w w:val="90"/>
              </w:rPr>
              <w:t>Person With</w:t>
            </w:r>
          </w:p>
        </w:tc>
        <w:tc>
          <w:tcPr>
            <w:tcW w:w="240" w:type="dxa"/>
            <w:vAlign w:val="bottom"/>
            <w:tcBorders>
              <w:bottom w:val="single" w:sz="8" w:color="auto"/>
            </w:tcBorders>
          </w:tcPr>
          <w:p>
            <w:pPr>
              <w:spacing w:after="0"/>
              <w:rPr>
                <w:sz w:val="2"/>
                <w:szCs w:val="2"/>
                <w:color w:val="auto"/>
              </w:rPr>
            </w:pPr>
          </w:p>
        </w:tc>
        <w:tc>
          <w:tcPr>
            <w:tcW w:w="9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60" w:type="dxa"/>
            <w:vAlign w:val="bottom"/>
            <w:vMerge w:val="continue"/>
          </w:tcPr>
          <w:p>
            <w:pPr>
              <w:spacing w:after="0"/>
              <w:rPr>
                <w:sz w:val="14"/>
                <w:szCs w:val="14"/>
                <w:color w:val="auto"/>
              </w:rPr>
            </w:pPr>
          </w:p>
        </w:tc>
        <w:tc>
          <w:tcPr>
            <w:tcW w:w="240" w:type="dxa"/>
            <w:vAlign w:val="bottom"/>
            <w:vMerge w:val="restart"/>
          </w:tcPr>
          <w:p>
            <w:pPr>
              <w:spacing w:after="0"/>
              <w:rPr>
                <w:sz w:val="20"/>
                <w:szCs w:val="20"/>
                <w:color w:val="auto"/>
              </w:rPr>
            </w:pPr>
            <w:r>
              <w:rPr>
                <w:rFonts w:ascii="Arial" w:cs="Arial" w:eastAsia="Arial" w:hAnsi="Arial"/>
                <w:sz w:val="17"/>
                <w:szCs w:val="17"/>
                <w:color w:val="auto"/>
              </w:rPr>
              <w:t>10</w:t>
            </w:r>
          </w:p>
        </w:tc>
        <w:tc>
          <w:tcPr>
            <w:tcW w:w="9120" w:type="dxa"/>
            <w:vAlign w:val="bottom"/>
            <w:vMerge w:val="restart"/>
          </w:tcPr>
          <w:p>
            <w:pPr>
              <w:ind w:left="420"/>
              <w:spacing w:after="0"/>
              <w:rPr>
                <w:sz w:val="20"/>
                <w:szCs w:val="20"/>
                <w:color w:val="auto"/>
              </w:rPr>
            </w:pPr>
            <w:r>
              <w:rPr>
                <w:rFonts w:ascii="Arial" w:cs="Arial" w:eastAsia="Arial" w:hAnsi="Arial"/>
                <w:sz w:val="17"/>
                <w:szCs w:val="17"/>
                <w:color w:val="auto"/>
              </w:rPr>
              <w:t>Shared Dispositive Power</w:t>
            </w: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9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120" w:type="dxa"/>
            <w:vAlign w:val="bottom"/>
            <w:tcBorders>
              <w:bottom w:val="single" w:sz="8" w:color="auto"/>
            </w:tcBorders>
          </w:tcPr>
          <w:p>
            <w:pPr>
              <w:ind w:left="580"/>
              <w:spacing w:after="0"/>
              <w:rPr>
                <w:sz w:val="20"/>
                <w:szCs w:val="20"/>
                <w:color w:val="auto"/>
              </w:rPr>
            </w:pPr>
            <w:r>
              <w:rPr>
                <w:rFonts w:ascii="Arial" w:cs="Arial" w:eastAsia="Arial" w:hAnsi="Arial"/>
                <w:sz w:val="17"/>
                <w:szCs w:val="17"/>
                <w:color w:val="auto"/>
              </w:rPr>
              <w:t>3,798,222</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160" w:right="6100" w:hanging="1157"/>
        <w:spacing w:after="0" w:line="280" w:lineRule="auto"/>
        <w:tabs>
          <w:tab w:leader="none" w:pos="73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3,798,222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25297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169" w:lineRule="exact"/>
        <w:rPr>
          <w:sz w:val="20"/>
          <w:szCs w:val="20"/>
          <w:color w:val="auto"/>
        </w:rPr>
      </w:pPr>
    </w:p>
    <w:p>
      <w:pPr>
        <w:spacing w:after="0"/>
        <w:tabs>
          <w:tab w:leader="none" w:pos="720" w:val="left"/>
          <w:tab w:leader="none" w:pos="700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6"/>
          <w:szCs w:val="16"/>
          <w:color w:val="auto"/>
        </w:rPr>
        <w:t>Check if the Aggregate Amount in Row (11) Excludes Certain Shares (See Instructions)</w:t>
      </w:r>
      <w:r>
        <w:rPr>
          <w:sz w:val="20"/>
          <w:szCs w:val="20"/>
          <w:color w:val="auto"/>
        </w:rPr>
        <w:tab/>
      </w: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25297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223" w:lineRule="exact"/>
        <w:rPr>
          <w:sz w:val="20"/>
          <w:szCs w:val="20"/>
          <w:color w:val="auto"/>
        </w:rPr>
      </w:pPr>
    </w:p>
    <w:p>
      <w:pPr>
        <w:ind w:left="1080" w:right="6980" w:hanging="1077"/>
        <w:spacing w:after="0" w:line="280" w:lineRule="auto"/>
        <w:tabs>
          <w:tab w:leader="none" w:pos="7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Percent of Class Represented by Amount in Row (11) 3.6%</w:t>
      </w:r>
    </w:p>
    <w:p>
      <w:pPr>
        <w:spacing w:after="0" w:line="395" w:lineRule="exact"/>
        <w:rPr>
          <w:rFonts w:ascii="Arial" w:cs="Arial" w:eastAsia="Arial" w:hAnsi="Arial"/>
          <w:sz w:val="17"/>
          <w:szCs w:val="17"/>
          <w:color w:val="auto"/>
        </w:rPr>
      </w:pPr>
    </w:p>
    <w:p>
      <w:pPr>
        <w:ind w:left="740" w:hanging="737"/>
        <w:spacing w:after="0"/>
        <w:tabs>
          <w:tab w:leader="none" w:pos="7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-262890</wp:posOffset>
            </wp:positionV>
            <wp:extent cx="725297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2"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25297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2970" cy="165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710565</wp:posOffset>
            </wp:positionV>
            <wp:extent cx="725741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185" w:right="239" w:bottom="1440" w:gutter="0" w:footer="0" w:header="0"/>
        </w:sectPr>
      </w:pPr>
    </w:p>
    <w:bookmarkStart w:id="3" w:name="page4"/>
    <w:bookmarkEnd w:id="3"/>
    <w:p>
      <w:pPr>
        <w:ind w:left="800" w:right="8480" w:hanging="797"/>
        <w:spacing w:after="0" w:line="349" w:lineRule="auto"/>
        <w:tabs>
          <w:tab w:leader="none" w:pos="800" w:val="left"/>
        </w:tabs>
        <w:numPr>
          <w:ilvl w:val="0"/>
          <w:numId w:val="1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154305</wp:posOffset>
            </wp:positionH>
            <wp:positionV relativeFrom="page">
              <wp:posOffset>621665</wp:posOffset>
            </wp:positionV>
            <wp:extent cx="72529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2970" cy="8255"/>
                    </a:xfrm>
                    <a:prstGeom prst="rect">
                      <a:avLst/>
                    </a:prstGeom>
                    <a:noFill/>
                  </pic:spPr>
                </pic:pic>
              </a:graphicData>
            </a:graphic>
          </wp:anchor>
        </w:drawing>
        <w:t>Names of Reporting Persons. DME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25297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330" w:lineRule="exact"/>
        <w:rPr>
          <w:sz w:val="20"/>
          <w:szCs w:val="20"/>
          <w:color w:val="auto"/>
        </w:rPr>
      </w:pPr>
    </w:p>
    <w:p>
      <w:pPr>
        <w:ind w:left="800" w:hanging="797"/>
        <w:spacing w:after="0"/>
        <w:tabs>
          <w:tab w:leader="none" w:pos="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Check the Appropriate Box if a Member of a Group (See Instructions)</w:t>
      </w:r>
    </w:p>
    <w:p>
      <w:pPr>
        <w:spacing w:after="0" w:line="217" w:lineRule="exact"/>
        <w:rPr>
          <w:rFonts w:ascii="Arial" w:cs="Arial" w:eastAsia="Arial" w:hAnsi="Arial"/>
          <w:sz w:val="17"/>
          <w:szCs w:val="17"/>
          <w:color w:val="auto"/>
        </w:rPr>
      </w:pPr>
    </w:p>
    <w:p>
      <w:pPr>
        <w:ind w:left="1460" w:hanging="670"/>
        <w:spacing w:after="0"/>
        <w:tabs>
          <w:tab w:leader="none" w:pos="14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 ]</w:t>
      </w:r>
    </w:p>
    <w:p>
      <w:pPr>
        <w:spacing w:after="0" w:line="217" w:lineRule="exact"/>
        <w:rPr>
          <w:rFonts w:ascii="Arial" w:cs="Arial" w:eastAsia="Arial" w:hAnsi="Arial"/>
          <w:sz w:val="17"/>
          <w:szCs w:val="17"/>
          <w:color w:val="auto"/>
        </w:rPr>
      </w:pPr>
    </w:p>
    <w:p>
      <w:pPr>
        <w:ind w:left="1460" w:hanging="670"/>
        <w:spacing w:after="0"/>
        <w:tabs>
          <w:tab w:leader="none" w:pos="14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25297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223" w:lineRule="exact"/>
        <w:rPr>
          <w:sz w:val="20"/>
          <w:szCs w:val="20"/>
          <w:color w:val="auto"/>
        </w:rPr>
      </w:pPr>
    </w:p>
    <w:p>
      <w:pPr>
        <w:ind w:left="800" w:hanging="797"/>
        <w:spacing w:after="0"/>
        <w:tabs>
          <w:tab w:leader="none" w:pos="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25297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223" w:lineRule="exact"/>
        <w:rPr>
          <w:sz w:val="20"/>
          <w:szCs w:val="20"/>
          <w:color w:val="auto"/>
        </w:rPr>
      </w:pPr>
    </w:p>
    <w:p>
      <w:pPr>
        <w:ind w:left="800" w:right="8200" w:hanging="797"/>
        <w:spacing w:after="0" w:line="280" w:lineRule="auto"/>
        <w:tabs>
          <w:tab w:leader="none" w:pos="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Source of Funds (See Instructions): AF, 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25297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376" w:lineRule="exact"/>
        <w:rPr>
          <w:sz w:val="20"/>
          <w:szCs w:val="20"/>
          <w:color w:val="auto"/>
        </w:rPr>
      </w:pPr>
    </w:p>
    <w:p>
      <w:pPr>
        <w:ind w:left="800" w:right="4960" w:hanging="797"/>
        <w:spacing w:after="0" w:line="280" w:lineRule="auto"/>
        <w:tabs>
          <w:tab w:leader="none" w:pos="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Check if disclosure of legal proceedings is required pursuant to Items 2(d) or 2(e):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25297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376" w:lineRule="exact"/>
        <w:rPr>
          <w:sz w:val="20"/>
          <w:szCs w:val="20"/>
          <w:color w:val="auto"/>
        </w:rPr>
      </w:pPr>
    </w:p>
    <w:p>
      <w:pPr>
        <w:ind w:left="800" w:right="8080" w:hanging="797"/>
        <w:spacing w:after="0" w:line="280" w:lineRule="auto"/>
        <w:tabs>
          <w:tab w:leader="none" w:pos="8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25297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4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7"/>
                <w:szCs w:val="17"/>
                <w:color w:val="auto"/>
              </w:rPr>
              <w:t>7</w:t>
            </w:r>
          </w:p>
        </w:tc>
        <w:tc>
          <w:tcPr>
            <w:tcW w:w="9040" w:type="dxa"/>
            <w:vAlign w:val="bottom"/>
          </w:tcPr>
          <w:p>
            <w:pPr>
              <w:ind w:left="320"/>
              <w:spacing w:after="0"/>
              <w:rPr>
                <w:sz w:val="20"/>
                <w:szCs w:val="20"/>
                <w:color w:val="auto"/>
              </w:rPr>
            </w:pPr>
            <w:r>
              <w:rPr>
                <w:rFonts w:ascii="Arial" w:cs="Arial" w:eastAsia="Arial" w:hAnsi="Arial"/>
                <w:sz w:val="17"/>
                <w:szCs w:val="17"/>
                <w:color w:val="auto"/>
              </w:rPr>
              <w:t>Sole Voting Power</w:t>
            </w:r>
          </w:p>
        </w:tc>
        <w:tc>
          <w:tcPr>
            <w:tcW w:w="0" w:type="dxa"/>
            <w:vAlign w:val="bottom"/>
          </w:tcPr>
          <w:p>
            <w:pPr>
              <w:spacing w:after="0"/>
              <w:rPr>
                <w:sz w:val="1"/>
                <w:szCs w:val="1"/>
                <w:color w:val="auto"/>
              </w:rPr>
            </w:pPr>
          </w:p>
        </w:tc>
      </w:tr>
      <w:tr>
        <w:trPr>
          <w:trHeight w:val="225"/>
        </w:trPr>
        <w:tc>
          <w:tcPr>
            <w:tcW w:w="2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4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7"/>
        </w:trPr>
        <w:tc>
          <w:tcPr>
            <w:tcW w:w="2140" w:type="dxa"/>
            <w:vAlign w:val="bottom"/>
          </w:tcPr>
          <w:p>
            <w:pPr>
              <w:jc w:val="center"/>
              <w:spacing w:after="0"/>
              <w:rPr>
                <w:sz w:val="20"/>
                <w:szCs w:val="20"/>
                <w:color w:val="auto"/>
              </w:rPr>
            </w:pPr>
            <w:r>
              <w:rPr>
                <w:rFonts w:ascii="Arial" w:cs="Arial" w:eastAsia="Arial" w:hAnsi="Arial"/>
                <w:sz w:val="17"/>
                <w:szCs w:val="17"/>
                <w:color w:val="auto"/>
                <w:w w:val="92"/>
              </w:rPr>
              <w:t>Number</w:t>
            </w:r>
          </w:p>
        </w:tc>
        <w:tc>
          <w:tcPr>
            <w:tcW w:w="240" w:type="dxa"/>
            <w:vAlign w:val="bottom"/>
            <w:vMerge w:val="restart"/>
          </w:tcPr>
          <w:p>
            <w:pPr>
              <w:spacing w:after="0"/>
              <w:rPr>
                <w:sz w:val="20"/>
                <w:szCs w:val="20"/>
                <w:color w:val="auto"/>
              </w:rPr>
            </w:pPr>
            <w:r>
              <w:rPr>
                <w:rFonts w:ascii="Arial" w:cs="Arial" w:eastAsia="Arial" w:hAnsi="Arial"/>
                <w:sz w:val="17"/>
                <w:szCs w:val="17"/>
                <w:color w:val="auto"/>
              </w:rPr>
              <w:t>8</w:t>
            </w:r>
          </w:p>
        </w:tc>
        <w:tc>
          <w:tcPr>
            <w:tcW w:w="9040" w:type="dxa"/>
            <w:vAlign w:val="bottom"/>
            <w:vMerge w:val="restart"/>
          </w:tcPr>
          <w:p>
            <w:pPr>
              <w:ind w:left="320"/>
              <w:spacing w:after="0"/>
              <w:rPr>
                <w:sz w:val="20"/>
                <w:szCs w:val="20"/>
                <w:color w:val="auto"/>
              </w:rPr>
            </w:pPr>
            <w:r>
              <w:rPr>
                <w:rFonts w:ascii="Arial" w:cs="Arial" w:eastAsia="Arial" w:hAnsi="Arial"/>
                <w:sz w:val="17"/>
                <w:szCs w:val="17"/>
                <w:color w:val="auto"/>
              </w:rPr>
              <w:t>Shared Voting Power</w:t>
            </w:r>
          </w:p>
        </w:tc>
        <w:tc>
          <w:tcPr>
            <w:tcW w:w="0" w:type="dxa"/>
            <w:vAlign w:val="bottom"/>
          </w:tcPr>
          <w:p>
            <w:pPr>
              <w:spacing w:after="0"/>
              <w:rPr>
                <w:sz w:val="1"/>
                <w:szCs w:val="1"/>
                <w:color w:val="auto"/>
              </w:rPr>
            </w:pPr>
          </w:p>
        </w:tc>
      </w:tr>
      <w:tr>
        <w:trPr>
          <w:trHeight w:val="194"/>
        </w:trPr>
        <w:tc>
          <w:tcPr>
            <w:tcW w:w="2140" w:type="dxa"/>
            <w:vAlign w:val="bottom"/>
          </w:tcPr>
          <w:p>
            <w:pPr>
              <w:jc w:val="center"/>
              <w:spacing w:after="0" w:line="194" w:lineRule="exact"/>
              <w:rPr>
                <w:sz w:val="20"/>
                <w:szCs w:val="20"/>
                <w:color w:val="auto"/>
              </w:rPr>
            </w:pPr>
            <w:r>
              <w:rPr>
                <w:rFonts w:ascii="Arial" w:cs="Arial" w:eastAsia="Arial" w:hAnsi="Arial"/>
                <w:sz w:val="17"/>
                <w:szCs w:val="17"/>
                <w:color w:val="auto"/>
                <w:w w:val="87"/>
              </w:rPr>
              <w:t>of Shares</w:t>
            </w:r>
          </w:p>
        </w:tc>
        <w:tc>
          <w:tcPr>
            <w:tcW w:w="240" w:type="dxa"/>
            <w:vAlign w:val="bottom"/>
            <w:vMerge w:val="continue"/>
          </w:tcPr>
          <w:p>
            <w:pPr>
              <w:spacing w:after="0"/>
              <w:rPr>
                <w:sz w:val="16"/>
                <w:szCs w:val="16"/>
                <w:color w:val="auto"/>
              </w:rPr>
            </w:pPr>
          </w:p>
        </w:tc>
        <w:tc>
          <w:tcPr>
            <w:tcW w:w="9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140" w:type="dxa"/>
            <w:vAlign w:val="bottom"/>
          </w:tcPr>
          <w:p>
            <w:pPr>
              <w:jc w:val="center"/>
              <w:spacing w:after="0"/>
              <w:rPr>
                <w:sz w:val="20"/>
                <w:szCs w:val="20"/>
                <w:color w:val="auto"/>
              </w:rPr>
            </w:pPr>
            <w:r>
              <w:rPr>
                <w:rFonts w:ascii="Arial" w:cs="Arial" w:eastAsia="Arial" w:hAnsi="Arial"/>
                <w:sz w:val="17"/>
                <w:szCs w:val="17"/>
                <w:color w:val="auto"/>
                <w:w w:val="97"/>
              </w:rPr>
              <w:t>Beneficially</w:t>
            </w:r>
          </w:p>
        </w:tc>
        <w:tc>
          <w:tcPr>
            <w:tcW w:w="240" w:type="dxa"/>
            <w:vAlign w:val="bottom"/>
            <w:tcBorders>
              <w:bottom w:val="single" w:sz="8" w:color="auto"/>
            </w:tcBorders>
          </w:tcPr>
          <w:p>
            <w:pPr>
              <w:spacing w:after="0"/>
              <w:rPr>
                <w:sz w:val="19"/>
                <w:szCs w:val="19"/>
                <w:color w:val="auto"/>
              </w:rPr>
            </w:pPr>
          </w:p>
        </w:tc>
        <w:tc>
          <w:tcPr>
            <w:tcW w:w="904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2,281,700</w:t>
            </w:r>
          </w:p>
        </w:tc>
        <w:tc>
          <w:tcPr>
            <w:tcW w:w="0" w:type="dxa"/>
            <w:vAlign w:val="bottom"/>
          </w:tcPr>
          <w:p>
            <w:pPr>
              <w:spacing w:after="0"/>
              <w:rPr>
                <w:sz w:val="1"/>
                <w:szCs w:val="1"/>
                <w:color w:val="auto"/>
              </w:rPr>
            </w:pPr>
          </w:p>
        </w:tc>
      </w:tr>
      <w:tr>
        <w:trPr>
          <w:trHeight w:val="181"/>
        </w:trPr>
        <w:tc>
          <w:tcPr>
            <w:tcW w:w="2140" w:type="dxa"/>
            <w:vAlign w:val="bottom"/>
          </w:tcPr>
          <w:p>
            <w:pPr>
              <w:jc w:val="center"/>
              <w:spacing w:after="0" w:line="181" w:lineRule="exact"/>
              <w:rPr>
                <w:sz w:val="20"/>
                <w:szCs w:val="20"/>
                <w:color w:val="auto"/>
              </w:rPr>
            </w:pPr>
            <w:r>
              <w:rPr>
                <w:rFonts w:ascii="Arial" w:cs="Arial" w:eastAsia="Arial" w:hAnsi="Arial"/>
                <w:sz w:val="17"/>
                <w:szCs w:val="17"/>
                <w:color w:val="auto"/>
                <w:w w:val="94"/>
              </w:rPr>
              <w:t>Owned by</w:t>
            </w:r>
          </w:p>
        </w:tc>
        <w:tc>
          <w:tcPr>
            <w:tcW w:w="240" w:type="dxa"/>
            <w:vAlign w:val="bottom"/>
          </w:tcPr>
          <w:p>
            <w:pPr>
              <w:spacing w:after="0"/>
              <w:rPr>
                <w:sz w:val="15"/>
                <w:szCs w:val="15"/>
                <w:color w:val="auto"/>
              </w:rPr>
            </w:pPr>
          </w:p>
        </w:tc>
        <w:tc>
          <w:tcPr>
            <w:tcW w:w="9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140" w:type="dxa"/>
            <w:vAlign w:val="bottom"/>
          </w:tcPr>
          <w:p>
            <w:pPr>
              <w:jc w:val="center"/>
              <w:spacing w:after="0"/>
              <w:rPr>
                <w:sz w:val="20"/>
                <w:szCs w:val="20"/>
                <w:color w:val="auto"/>
              </w:rPr>
            </w:pPr>
            <w:r>
              <w:rPr>
                <w:rFonts w:ascii="Arial" w:cs="Arial" w:eastAsia="Arial" w:hAnsi="Arial"/>
                <w:sz w:val="17"/>
                <w:szCs w:val="17"/>
                <w:color w:val="auto"/>
                <w:w w:val="87"/>
              </w:rPr>
              <w:t>Each</w:t>
            </w:r>
          </w:p>
        </w:tc>
        <w:tc>
          <w:tcPr>
            <w:tcW w:w="240" w:type="dxa"/>
            <w:vAlign w:val="bottom"/>
          </w:tcPr>
          <w:p>
            <w:pPr>
              <w:spacing w:after="0"/>
              <w:rPr>
                <w:sz w:val="20"/>
                <w:szCs w:val="20"/>
                <w:color w:val="auto"/>
              </w:rPr>
            </w:pPr>
            <w:r>
              <w:rPr>
                <w:rFonts w:ascii="Arial" w:cs="Arial" w:eastAsia="Arial" w:hAnsi="Arial"/>
                <w:sz w:val="17"/>
                <w:szCs w:val="17"/>
                <w:color w:val="auto"/>
              </w:rPr>
              <w:t>9</w:t>
            </w:r>
          </w:p>
        </w:tc>
        <w:tc>
          <w:tcPr>
            <w:tcW w:w="9040" w:type="dxa"/>
            <w:vAlign w:val="bottom"/>
          </w:tcPr>
          <w:p>
            <w:pPr>
              <w:ind w:left="360"/>
              <w:spacing w:after="0"/>
              <w:rPr>
                <w:sz w:val="20"/>
                <w:szCs w:val="20"/>
                <w:color w:val="auto"/>
              </w:rPr>
            </w:pPr>
            <w:r>
              <w:rPr>
                <w:rFonts w:ascii="Arial" w:cs="Arial" w:eastAsia="Arial" w:hAnsi="Arial"/>
                <w:sz w:val="17"/>
                <w:szCs w:val="17"/>
                <w:color w:val="auto"/>
              </w:rPr>
              <w:t>Sole Dispositive Power</w:t>
            </w:r>
          </w:p>
        </w:tc>
        <w:tc>
          <w:tcPr>
            <w:tcW w:w="0" w:type="dxa"/>
            <w:vAlign w:val="bottom"/>
          </w:tcPr>
          <w:p>
            <w:pPr>
              <w:spacing w:after="0"/>
              <w:rPr>
                <w:sz w:val="1"/>
                <w:szCs w:val="1"/>
                <w:color w:val="auto"/>
              </w:rPr>
            </w:pPr>
          </w:p>
        </w:tc>
      </w:tr>
      <w:tr>
        <w:trPr>
          <w:trHeight w:val="206"/>
        </w:trPr>
        <w:tc>
          <w:tcPr>
            <w:tcW w:w="2140" w:type="dxa"/>
            <w:vAlign w:val="bottom"/>
          </w:tcPr>
          <w:p>
            <w:pPr>
              <w:jc w:val="center"/>
              <w:spacing w:after="0"/>
              <w:rPr>
                <w:sz w:val="20"/>
                <w:szCs w:val="20"/>
                <w:color w:val="auto"/>
              </w:rPr>
            </w:pPr>
            <w:r>
              <w:rPr>
                <w:rFonts w:ascii="Arial" w:cs="Arial" w:eastAsia="Arial" w:hAnsi="Arial"/>
                <w:sz w:val="17"/>
                <w:szCs w:val="17"/>
                <w:color w:val="auto"/>
                <w:w w:val="92"/>
              </w:rPr>
              <w:t>Reporting</w:t>
            </w:r>
          </w:p>
        </w:tc>
        <w:tc>
          <w:tcPr>
            <w:tcW w:w="240" w:type="dxa"/>
            <w:vAlign w:val="bottom"/>
          </w:tcPr>
          <w:p>
            <w:pPr>
              <w:spacing w:after="0"/>
              <w:rPr>
                <w:sz w:val="17"/>
                <w:szCs w:val="17"/>
                <w:color w:val="auto"/>
              </w:rPr>
            </w:pPr>
          </w:p>
        </w:tc>
        <w:tc>
          <w:tcPr>
            <w:tcW w:w="9040" w:type="dxa"/>
            <w:vAlign w:val="bottom"/>
          </w:tcPr>
          <w:p>
            <w:pPr>
              <w:ind w:left="3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1"/>
        </w:trPr>
        <w:tc>
          <w:tcPr>
            <w:tcW w:w="2140" w:type="dxa"/>
            <w:vAlign w:val="bottom"/>
            <w:vMerge w:val="restart"/>
          </w:tcPr>
          <w:p>
            <w:pPr>
              <w:jc w:val="center"/>
              <w:spacing w:after="0"/>
              <w:rPr>
                <w:sz w:val="20"/>
                <w:szCs w:val="20"/>
                <w:color w:val="auto"/>
              </w:rPr>
            </w:pPr>
            <w:r>
              <w:rPr>
                <w:rFonts w:ascii="Arial" w:cs="Arial" w:eastAsia="Arial" w:hAnsi="Arial"/>
                <w:sz w:val="17"/>
                <w:szCs w:val="17"/>
                <w:color w:val="auto"/>
                <w:w w:val="90"/>
              </w:rPr>
              <w:t>Person With</w:t>
            </w:r>
          </w:p>
        </w:tc>
        <w:tc>
          <w:tcPr>
            <w:tcW w:w="240" w:type="dxa"/>
            <w:vAlign w:val="bottom"/>
            <w:tcBorders>
              <w:bottom w:val="single" w:sz="8" w:color="auto"/>
            </w:tcBorders>
          </w:tcPr>
          <w:p>
            <w:pPr>
              <w:spacing w:after="0"/>
              <w:rPr>
                <w:sz w:val="2"/>
                <w:szCs w:val="2"/>
                <w:color w:val="auto"/>
              </w:rPr>
            </w:pPr>
          </w:p>
        </w:tc>
        <w:tc>
          <w:tcPr>
            <w:tcW w:w="9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140" w:type="dxa"/>
            <w:vAlign w:val="bottom"/>
            <w:vMerge w:val="continue"/>
          </w:tcPr>
          <w:p>
            <w:pPr>
              <w:spacing w:after="0"/>
              <w:rPr>
                <w:sz w:val="14"/>
                <w:szCs w:val="14"/>
                <w:color w:val="auto"/>
              </w:rPr>
            </w:pPr>
          </w:p>
        </w:tc>
        <w:tc>
          <w:tcPr>
            <w:tcW w:w="240" w:type="dxa"/>
            <w:vAlign w:val="bottom"/>
            <w:vMerge w:val="restart"/>
          </w:tcPr>
          <w:p>
            <w:pPr>
              <w:spacing w:after="0"/>
              <w:rPr>
                <w:sz w:val="20"/>
                <w:szCs w:val="20"/>
                <w:color w:val="auto"/>
              </w:rPr>
            </w:pPr>
            <w:r>
              <w:rPr>
                <w:rFonts w:ascii="Arial" w:cs="Arial" w:eastAsia="Arial" w:hAnsi="Arial"/>
                <w:sz w:val="17"/>
                <w:szCs w:val="17"/>
                <w:color w:val="auto"/>
              </w:rPr>
              <w:t>10</w:t>
            </w:r>
          </w:p>
        </w:tc>
        <w:tc>
          <w:tcPr>
            <w:tcW w:w="9040" w:type="dxa"/>
            <w:vAlign w:val="bottom"/>
            <w:vMerge w:val="restart"/>
          </w:tcPr>
          <w:p>
            <w:pPr>
              <w:ind w:left="420"/>
              <w:spacing w:after="0"/>
              <w:rPr>
                <w:sz w:val="20"/>
                <w:szCs w:val="20"/>
                <w:color w:val="auto"/>
              </w:rPr>
            </w:pPr>
            <w:r>
              <w:rPr>
                <w:rFonts w:ascii="Arial" w:cs="Arial" w:eastAsia="Arial" w:hAnsi="Arial"/>
                <w:sz w:val="17"/>
                <w:szCs w:val="17"/>
                <w:color w:val="auto"/>
              </w:rPr>
              <w:t>Shared Dispositive Power</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9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4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2,281,700</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140" w:right="6040" w:hanging="1137"/>
        <w:spacing w:after="0" w:line="280" w:lineRule="auto"/>
        <w:tabs>
          <w:tab w:leader="none" w:pos="796" w:val="left"/>
        </w:tabs>
        <w:numPr>
          <w:ilvl w:val="0"/>
          <w:numId w:val="2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2,281,700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25297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169" w:lineRule="exact"/>
        <w:rPr>
          <w:sz w:val="20"/>
          <w:szCs w:val="20"/>
          <w:color w:val="auto"/>
        </w:rPr>
      </w:pPr>
    </w:p>
    <w:p>
      <w:pPr>
        <w:spacing w:after="0"/>
        <w:tabs>
          <w:tab w:leader="none" w:pos="780" w:val="left"/>
          <w:tab w:leader="none" w:pos="704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6"/>
          <w:szCs w:val="16"/>
          <w:color w:val="auto"/>
        </w:rPr>
        <w:t>Check if the Aggregate Amount in Row (11) Excludes Certain Shares (See Instructions)</w:t>
      </w:r>
      <w:r>
        <w:rPr>
          <w:sz w:val="20"/>
          <w:szCs w:val="20"/>
          <w:color w:val="auto"/>
        </w:rPr>
        <w:tab/>
      </w: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25297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223" w:lineRule="exact"/>
        <w:rPr>
          <w:sz w:val="20"/>
          <w:szCs w:val="20"/>
          <w:color w:val="auto"/>
        </w:rPr>
      </w:pPr>
    </w:p>
    <w:p>
      <w:pPr>
        <w:ind w:left="1140" w:right="6920" w:hanging="1137"/>
        <w:spacing w:after="0" w:line="280" w:lineRule="auto"/>
        <w:tabs>
          <w:tab w:leader="none" w:pos="796" w:val="left"/>
        </w:tabs>
        <w:numPr>
          <w:ilvl w:val="0"/>
          <w:numId w:val="25"/>
        </w:numPr>
        <w:rPr>
          <w:rFonts w:ascii="Arial" w:cs="Arial" w:eastAsia="Arial" w:hAnsi="Arial"/>
          <w:sz w:val="17"/>
          <w:szCs w:val="17"/>
          <w:color w:val="auto"/>
        </w:rPr>
      </w:pPr>
      <w:r>
        <w:rPr>
          <w:rFonts w:ascii="Arial" w:cs="Arial" w:eastAsia="Arial" w:hAnsi="Arial"/>
          <w:sz w:val="17"/>
          <w:szCs w:val="17"/>
          <w:color w:val="auto"/>
        </w:rPr>
        <w:t>Percent of Class Represented by Amount in Row (11) 2.1%</w:t>
      </w:r>
    </w:p>
    <w:p>
      <w:pPr>
        <w:spacing w:after="0" w:line="395" w:lineRule="exact"/>
        <w:rPr>
          <w:rFonts w:ascii="Arial" w:cs="Arial" w:eastAsia="Arial" w:hAnsi="Arial"/>
          <w:sz w:val="17"/>
          <w:szCs w:val="17"/>
          <w:color w:val="auto"/>
        </w:rPr>
      </w:pPr>
    </w:p>
    <w:p>
      <w:pPr>
        <w:ind w:left="800" w:hanging="797"/>
        <w:spacing w:after="0"/>
        <w:tabs>
          <w:tab w:leader="none" w:pos="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-262890</wp:posOffset>
            </wp:positionV>
            <wp:extent cx="725297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2"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PN,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25297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2970" cy="165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563245</wp:posOffset>
            </wp:positionV>
            <wp:extent cx="725741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185" w:right="239" w:bottom="1440" w:gutter="0" w:footer="0" w:header="0"/>
        </w:sectPr>
      </w:pPr>
    </w:p>
    <w:bookmarkStart w:id="4" w:name="page5"/>
    <w:bookmarkEnd w:id="4"/>
    <w:p>
      <w:pPr>
        <w:ind w:left="740" w:right="8660" w:hanging="737"/>
        <w:spacing w:after="0" w:line="349" w:lineRule="auto"/>
        <w:tabs>
          <w:tab w:leader="none" w:pos="740" w:val="left"/>
        </w:tabs>
        <w:numPr>
          <w:ilvl w:val="0"/>
          <w:numId w:val="2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154305</wp:posOffset>
            </wp:positionH>
            <wp:positionV relativeFrom="page">
              <wp:posOffset>474345</wp:posOffset>
            </wp:positionV>
            <wp:extent cx="72529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2970" cy="8255"/>
                    </a:xfrm>
                    <a:prstGeom prst="rect">
                      <a:avLst/>
                    </a:prstGeom>
                    <a:noFill/>
                  </pic:spPr>
                </pic:pic>
              </a:graphicData>
            </a:graphic>
          </wp:anchor>
        </w:drawing>
        <w:t>Names of Reporting Persons. DME Advisors,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25297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330" w:lineRule="exact"/>
        <w:rPr>
          <w:sz w:val="20"/>
          <w:szCs w:val="20"/>
          <w:color w:val="auto"/>
        </w:rPr>
      </w:pPr>
    </w:p>
    <w:p>
      <w:pPr>
        <w:ind w:left="740" w:hanging="737"/>
        <w:spacing w:after="0"/>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Check the Appropriate Box if a Member of a Group (See Instructions)</w:t>
      </w:r>
    </w:p>
    <w:p>
      <w:pPr>
        <w:spacing w:after="0" w:line="217" w:lineRule="exact"/>
        <w:rPr>
          <w:rFonts w:ascii="Arial" w:cs="Arial" w:eastAsia="Arial" w:hAnsi="Arial"/>
          <w:sz w:val="17"/>
          <w:szCs w:val="17"/>
          <w:color w:val="auto"/>
        </w:rPr>
      </w:pPr>
    </w:p>
    <w:p>
      <w:pPr>
        <w:ind w:left="1400" w:hanging="661"/>
        <w:spacing w:after="0"/>
        <w:tabs>
          <w:tab w:leader="none" w:pos="14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 ]</w:t>
      </w:r>
    </w:p>
    <w:p>
      <w:pPr>
        <w:spacing w:after="0" w:line="217" w:lineRule="exact"/>
        <w:rPr>
          <w:rFonts w:ascii="Arial" w:cs="Arial" w:eastAsia="Arial" w:hAnsi="Arial"/>
          <w:sz w:val="17"/>
          <w:szCs w:val="17"/>
          <w:color w:val="auto"/>
        </w:rPr>
      </w:pPr>
    </w:p>
    <w:p>
      <w:pPr>
        <w:ind w:left="1420" w:hanging="681"/>
        <w:spacing w:after="0"/>
        <w:tabs>
          <w:tab w:leader="none" w:pos="1420" w:val="left"/>
        </w:tabs>
        <w:numPr>
          <w:ilvl w:val="1"/>
          <w:numId w:val="27"/>
        </w:numPr>
        <w:rPr>
          <w:rFonts w:ascii="Arial" w:cs="Arial" w:eastAsia="Arial" w:hAnsi="Arial"/>
          <w:sz w:val="17"/>
          <w:szCs w:val="17"/>
          <w:color w:val="auto"/>
        </w:rPr>
      </w:pP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252970"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223" w:lineRule="exact"/>
        <w:rPr>
          <w:sz w:val="20"/>
          <w:szCs w:val="20"/>
          <w:color w:val="auto"/>
        </w:rPr>
      </w:pPr>
    </w:p>
    <w:p>
      <w:pPr>
        <w:ind w:left="740" w:hanging="737"/>
        <w:spacing w:after="0"/>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252970"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223" w:lineRule="exact"/>
        <w:rPr>
          <w:sz w:val="20"/>
          <w:szCs w:val="20"/>
          <w:color w:val="auto"/>
        </w:rPr>
      </w:pPr>
    </w:p>
    <w:p>
      <w:pPr>
        <w:ind w:left="740" w:right="8240" w:hanging="737"/>
        <w:spacing w:after="0" w:line="280" w:lineRule="auto"/>
        <w:tabs>
          <w:tab w:leader="none" w:pos="7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Source of Funds (See Instructions): AF, 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25297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376" w:lineRule="exact"/>
        <w:rPr>
          <w:sz w:val="20"/>
          <w:szCs w:val="20"/>
          <w:color w:val="auto"/>
        </w:rPr>
      </w:pPr>
    </w:p>
    <w:p>
      <w:pPr>
        <w:ind w:left="740" w:right="5020" w:hanging="737"/>
        <w:spacing w:after="0" w:line="280" w:lineRule="auto"/>
        <w:tabs>
          <w:tab w:leader="none" w:pos="7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Check if disclosure of legal proceedings is required pursuant to Items 2(d) or 2(e):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252970"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376" w:lineRule="exact"/>
        <w:rPr>
          <w:sz w:val="20"/>
          <w:szCs w:val="20"/>
          <w:color w:val="auto"/>
        </w:rPr>
      </w:pPr>
    </w:p>
    <w:p>
      <w:pPr>
        <w:ind w:left="740" w:right="8120" w:hanging="737"/>
        <w:spacing w:after="0" w:line="280" w:lineRule="auto"/>
        <w:tabs>
          <w:tab w:leader="none" w:pos="7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25297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6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7"/>
                <w:szCs w:val="17"/>
                <w:color w:val="auto"/>
              </w:rPr>
              <w:t>7</w:t>
            </w:r>
          </w:p>
        </w:tc>
        <w:tc>
          <w:tcPr>
            <w:tcW w:w="9120" w:type="dxa"/>
            <w:vAlign w:val="bottom"/>
          </w:tcPr>
          <w:p>
            <w:pPr>
              <w:ind w:left="320"/>
              <w:spacing w:after="0"/>
              <w:rPr>
                <w:sz w:val="20"/>
                <w:szCs w:val="20"/>
                <w:color w:val="auto"/>
              </w:rPr>
            </w:pPr>
            <w:r>
              <w:rPr>
                <w:rFonts w:ascii="Arial" w:cs="Arial" w:eastAsia="Arial" w:hAnsi="Arial"/>
                <w:sz w:val="17"/>
                <w:szCs w:val="17"/>
                <w:color w:val="auto"/>
              </w:rPr>
              <w:t>Sole Voting Power</w:t>
            </w:r>
          </w:p>
        </w:tc>
        <w:tc>
          <w:tcPr>
            <w:tcW w:w="0" w:type="dxa"/>
            <w:vAlign w:val="bottom"/>
          </w:tcPr>
          <w:p>
            <w:pPr>
              <w:spacing w:after="0"/>
              <w:rPr>
                <w:sz w:val="1"/>
                <w:szCs w:val="1"/>
                <w:color w:val="auto"/>
              </w:rPr>
            </w:pPr>
          </w:p>
        </w:tc>
      </w:tr>
      <w:tr>
        <w:trPr>
          <w:trHeight w:val="225"/>
        </w:trPr>
        <w:tc>
          <w:tcPr>
            <w:tcW w:w="2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12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7"/>
        </w:trPr>
        <w:tc>
          <w:tcPr>
            <w:tcW w:w="2060" w:type="dxa"/>
            <w:vAlign w:val="bottom"/>
          </w:tcPr>
          <w:p>
            <w:pPr>
              <w:jc w:val="center"/>
              <w:spacing w:after="0"/>
              <w:rPr>
                <w:sz w:val="20"/>
                <w:szCs w:val="20"/>
                <w:color w:val="auto"/>
              </w:rPr>
            </w:pPr>
            <w:r>
              <w:rPr>
                <w:rFonts w:ascii="Arial" w:cs="Arial" w:eastAsia="Arial" w:hAnsi="Arial"/>
                <w:sz w:val="17"/>
                <w:szCs w:val="17"/>
                <w:color w:val="auto"/>
                <w:w w:val="92"/>
              </w:rPr>
              <w:t>Number</w:t>
            </w:r>
          </w:p>
        </w:tc>
        <w:tc>
          <w:tcPr>
            <w:tcW w:w="240" w:type="dxa"/>
            <w:vAlign w:val="bottom"/>
            <w:vMerge w:val="restart"/>
          </w:tcPr>
          <w:p>
            <w:pPr>
              <w:spacing w:after="0"/>
              <w:rPr>
                <w:sz w:val="20"/>
                <w:szCs w:val="20"/>
                <w:color w:val="auto"/>
              </w:rPr>
            </w:pPr>
            <w:r>
              <w:rPr>
                <w:rFonts w:ascii="Arial" w:cs="Arial" w:eastAsia="Arial" w:hAnsi="Arial"/>
                <w:sz w:val="17"/>
                <w:szCs w:val="17"/>
                <w:color w:val="auto"/>
              </w:rPr>
              <w:t>8</w:t>
            </w:r>
          </w:p>
        </w:tc>
        <w:tc>
          <w:tcPr>
            <w:tcW w:w="9120" w:type="dxa"/>
            <w:vAlign w:val="bottom"/>
            <w:vMerge w:val="restart"/>
          </w:tcPr>
          <w:p>
            <w:pPr>
              <w:ind w:left="320"/>
              <w:spacing w:after="0"/>
              <w:rPr>
                <w:sz w:val="20"/>
                <w:szCs w:val="20"/>
                <w:color w:val="auto"/>
              </w:rPr>
            </w:pPr>
            <w:r>
              <w:rPr>
                <w:rFonts w:ascii="Arial" w:cs="Arial" w:eastAsia="Arial" w:hAnsi="Arial"/>
                <w:sz w:val="17"/>
                <w:szCs w:val="17"/>
                <w:color w:val="auto"/>
              </w:rPr>
              <w:t>Shared Voting Power</w:t>
            </w:r>
          </w:p>
        </w:tc>
        <w:tc>
          <w:tcPr>
            <w:tcW w:w="0" w:type="dxa"/>
            <w:vAlign w:val="bottom"/>
          </w:tcPr>
          <w:p>
            <w:pPr>
              <w:spacing w:after="0"/>
              <w:rPr>
                <w:sz w:val="1"/>
                <w:szCs w:val="1"/>
                <w:color w:val="auto"/>
              </w:rPr>
            </w:pPr>
          </w:p>
        </w:tc>
      </w:tr>
      <w:tr>
        <w:trPr>
          <w:trHeight w:val="194"/>
        </w:trPr>
        <w:tc>
          <w:tcPr>
            <w:tcW w:w="2060" w:type="dxa"/>
            <w:vAlign w:val="bottom"/>
          </w:tcPr>
          <w:p>
            <w:pPr>
              <w:jc w:val="center"/>
              <w:spacing w:after="0" w:line="194" w:lineRule="exact"/>
              <w:rPr>
                <w:sz w:val="20"/>
                <w:szCs w:val="20"/>
                <w:color w:val="auto"/>
              </w:rPr>
            </w:pPr>
            <w:r>
              <w:rPr>
                <w:rFonts w:ascii="Arial" w:cs="Arial" w:eastAsia="Arial" w:hAnsi="Arial"/>
                <w:sz w:val="17"/>
                <w:szCs w:val="17"/>
                <w:color w:val="auto"/>
                <w:w w:val="87"/>
              </w:rPr>
              <w:t>of Shares</w:t>
            </w:r>
          </w:p>
        </w:tc>
        <w:tc>
          <w:tcPr>
            <w:tcW w:w="240" w:type="dxa"/>
            <w:vAlign w:val="bottom"/>
            <w:vMerge w:val="continue"/>
          </w:tcPr>
          <w:p>
            <w:pPr>
              <w:spacing w:after="0"/>
              <w:rPr>
                <w:sz w:val="16"/>
                <w:szCs w:val="16"/>
                <w:color w:val="auto"/>
              </w:rPr>
            </w:pPr>
          </w:p>
        </w:tc>
        <w:tc>
          <w:tcPr>
            <w:tcW w:w="9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60" w:type="dxa"/>
            <w:vAlign w:val="bottom"/>
          </w:tcPr>
          <w:p>
            <w:pPr>
              <w:jc w:val="center"/>
              <w:spacing w:after="0"/>
              <w:rPr>
                <w:sz w:val="20"/>
                <w:szCs w:val="20"/>
                <w:color w:val="auto"/>
              </w:rPr>
            </w:pPr>
            <w:r>
              <w:rPr>
                <w:rFonts w:ascii="Arial" w:cs="Arial" w:eastAsia="Arial" w:hAnsi="Arial"/>
                <w:sz w:val="17"/>
                <w:szCs w:val="17"/>
                <w:color w:val="auto"/>
                <w:w w:val="97"/>
              </w:rPr>
              <w:t>Beneficially</w:t>
            </w:r>
          </w:p>
        </w:tc>
        <w:tc>
          <w:tcPr>
            <w:tcW w:w="240" w:type="dxa"/>
            <w:vAlign w:val="bottom"/>
            <w:tcBorders>
              <w:bottom w:val="single" w:sz="8" w:color="auto"/>
            </w:tcBorders>
          </w:tcPr>
          <w:p>
            <w:pPr>
              <w:spacing w:after="0"/>
              <w:rPr>
                <w:sz w:val="19"/>
                <w:szCs w:val="19"/>
                <w:color w:val="auto"/>
              </w:rPr>
            </w:pPr>
          </w:p>
        </w:tc>
        <w:tc>
          <w:tcPr>
            <w:tcW w:w="912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1,516,522</w:t>
            </w:r>
          </w:p>
        </w:tc>
        <w:tc>
          <w:tcPr>
            <w:tcW w:w="0" w:type="dxa"/>
            <w:vAlign w:val="bottom"/>
          </w:tcPr>
          <w:p>
            <w:pPr>
              <w:spacing w:after="0"/>
              <w:rPr>
                <w:sz w:val="1"/>
                <w:szCs w:val="1"/>
                <w:color w:val="auto"/>
              </w:rPr>
            </w:pPr>
          </w:p>
        </w:tc>
      </w:tr>
      <w:tr>
        <w:trPr>
          <w:trHeight w:val="181"/>
        </w:trPr>
        <w:tc>
          <w:tcPr>
            <w:tcW w:w="2060" w:type="dxa"/>
            <w:vAlign w:val="bottom"/>
          </w:tcPr>
          <w:p>
            <w:pPr>
              <w:jc w:val="center"/>
              <w:spacing w:after="0" w:line="181" w:lineRule="exact"/>
              <w:rPr>
                <w:sz w:val="20"/>
                <w:szCs w:val="20"/>
                <w:color w:val="auto"/>
              </w:rPr>
            </w:pPr>
            <w:r>
              <w:rPr>
                <w:rFonts w:ascii="Arial" w:cs="Arial" w:eastAsia="Arial" w:hAnsi="Arial"/>
                <w:sz w:val="17"/>
                <w:szCs w:val="17"/>
                <w:color w:val="auto"/>
                <w:w w:val="94"/>
              </w:rPr>
              <w:t>Owned by</w:t>
            </w:r>
          </w:p>
        </w:tc>
        <w:tc>
          <w:tcPr>
            <w:tcW w:w="240" w:type="dxa"/>
            <w:vAlign w:val="bottom"/>
          </w:tcPr>
          <w:p>
            <w:pPr>
              <w:spacing w:after="0"/>
              <w:rPr>
                <w:sz w:val="15"/>
                <w:szCs w:val="15"/>
                <w:color w:val="auto"/>
              </w:rPr>
            </w:pPr>
          </w:p>
        </w:tc>
        <w:tc>
          <w:tcPr>
            <w:tcW w:w="9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60" w:type="dxa"/>
            <w:vAlign w:val="bottom"/>
          </w:tcPr>
          <w:p>
            <w:pPr>
              <w:jc w:val="center"/>
              <w:spacing w:after="0"/>
              <w:rPr>
                <w:sz w:val="20"/>
                <w:szCs w:val="20"/>
                <w:color w:val="auto"/>
              </w:rPr>
            </w:pPr>
            <w:r>
              <w:rPr>
                <w:rFonts w:ascii="Arial" w:cs="Arial" w:eastAsia="Arial" w:hAnsi="Arial"/>
                <w:sz w:val="17"/>
                <w:szCs w:val="17"/>
                <w:color w:val="auto"/>
                <w:w w:val="87"/>
              </w:rPr>
              <w:t>Each</w:t>
            </w:r>
          </w:p>
        </w:tc>
        <w:tc>
          <w:tcPr>
            <w:tcW w:w="240" w:type="dxa"/>
            <w:vAlign w:val="bottom"/>
          </w:tcPr>
          <w:p>
            <w:pPr>
              <w:spacing w:after="0"/>
              <w:rPr>
                <w:sz w:val="20"/>
                <w:szCs w:val="20"/>
                <w:color w:val="auto"/>
              </w:rPr>
            </w:pPr>
            <w:r>
              <w:rPr>
                <w:rFonts w:ascii="Arial" w:cs="Arial" w:eastAsia="Arial" w:hAnsi="Arial"/>
                <w:sz w:val="17"/>
                <w:szCs w:val="17"/>
                <w:color w:val="auto"/>
              </w:rPr>
              <w:t>9</w:t>
            </w:r>
          </w:p>
        </w:tc>
        <w:tc>
          <w:tcPr>
            <w:tcW w:w="9120" w:type="dxa"/>
            <w:vAlign w:val="bottom"/>
          </w:tcPr>
          <w:p>
            <w:pPr>
              <w:ind w:left="380"/>
              <w:spacing w:after="0"/>
              <w:rPr>
                <w:sz w:val="20"/>
                <w:szCs w:val="20"/>
                <w:color w:val="auto"/>
              </w:rPr>
            </w:pPr>
            <w:r>
              <w:rPr>
                <w:rFonts w:ascii="Arial" w:cs="Arial" w:eastAsia="Arial" w:hAnsi="Arial"/>
                <w:sz w:val="17"/>
                <w:szCs w:val="17"/>
                <w:color w:val="auto"/>
              </w:rPr>
              <w:t>Sole Dispositive Power</w:t>
            </w:r>
          </w:p>
        </w:tc>
        <w:tc>
          <w:tcPr>
            <w:tcW w:w="0" w:type="dxa"/>
            <w:vAlign w:val="bottom"/>
          </w:tcPr>
          <w:p>
            <w:pPr>
              <w:spacing w:after="0"/>
              <w:rPr>
                <w:sz w:val="1"/>
                <w:szCs w:val="1"/>
                <w:color w:val="auto"/>
              </w:rPr>
            </w:pPr>
          </w:p>
        </w:tc>
      </w:tr>
      <w:tr>
        <w:trPr>
          <w:trHeight w:val="206"/>
        </w:trPr>
        <w:tc>
          <w:tcPr>
            <w:tcW w:w="2060" w:type="dxa"/>
            <w:vAlign w:val="bottom"/>
          </w:tcPr>
          <w:p>
            <w:pPr>
              <w:jc w:val="center"/>
              <w:spacing w:after="0"/>
              <w:rPr>
                <w:sz w:val="20"/>
                <w:szCs w:val="20"/>
                <w:color w:val="auto"/>
              </w:rPr>
            </w:pPr>
            <w:r>
              <w:rPr>
                <w:rFonts w:ascii="Arial" w:cs="Arial" w:eastAsia="Arial" w:hAnsi="Arial"/>
                <w:sz w:val="17"/>
                <w:szCs w:val="17"/>
                <w:color w:val="auto"/>
                <w:w w:val="92"/>
              </w:rPr>
              <w:t>Reporting</w:t>
            </w:r>
          </w:p>
        </w:tc>
        <w:tc>
          <w:tcPr>
            <w:tcW w:w="240" w:type="dxa"/>
            <w:vAlign w:val="bottom"/>
          </w:tcPr>
          <w:p>
            <w:pPr>
              <w:spacing w:after="0"/>
              <w:rPr>
                <w:sz w:val="17"/>
                <w:szCs w:val="17"/>
                <w:color w:val="auto"/>
              </w:rPr>
            </w:pPr>
          </w:p>
        </w:tc>
        <w:tc>
          <w:tcPr>
            <w:tcW w:w="9120" w:type="dxa"/>
            <w:vAlign w:val="bottom"/>
          </w:tcPr>
          <w:p>
            <w:pPr>
              <w:ind w:left="38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1"/>
        </w:trPr>
        <w:tc>
          <w:tcPr>
            <w:tcW w:w="2060" w:type="dxa"/>
            <w:vAlign w:val="bottom"/>
            <w:vMerge w:val="restart"/>
          </w:tcPr>
          <w:p>
            <w:pPr>
              <w:jc w:val="center"/>
              <w:spacing w:after="0"/>
              <w:rPr>
                <w:sz w:val="20"/>
                <w:szCs w:val="20"/>
                <w:color w:val="auto"/>
              </w:rPr>
            </w:pPr>
            <w:r>
              <w:rPr>
                <w:rFonts w:ascii="Arial" w:cs="Arial" w:eastAsia="Arial" w:hAnsi="Arial"/>
                <w:sz w:val="17"/>
                <w:szCs w:val="17"/>
                <w:color w:val="auto"/>
                <w:w w:val="90"/>
              </w:rPr>
              <w:t>Person With</w:t>
            </w:r>
          </w:p>
        </w:tc>
        <w:tc>
          <w:tcPr>
            <w:tcW w:w="240" w:type="dxa"/>
            <w:vAlign w:val="bottom"/>
            <w:tcBorders>
              <w:bottom w:val="single" w:sz="8" w:color="auto"/>
            </w:tcBorders>
          </w:tcPr>
          <w:p>
            <w:pPr>
              <w:spacing w:after="0"/>
              <w:rPr>
                <w:sz w:val="2"/>
                <w:szCs w:val="2"/>
                <w:color w:val="auto"/>
              </w:rPr>
            </w:pPr>
          </w:p>
        </w:tc>
        <w:tc>
          <w:tcPr>
            <w:tcW w:w="9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60" w:type="dxa"/>
            <w:vAlign w:val="bottom"/>
            <w:vMerge w:val="continue"/>
          </w:tcPr>
          <w:p>
            <w:pPr>
              <w:spacing w:after="0"/>
              <w:rPr>
                <w:sz w:val="14"/>
                <w:szCs w:val="14"/>
                <w:color w:val="auto"/>
              </w:rPr>
            </w:pPr>
          </w:p>
        </w:tc>
        <w:tc>
          <w:tcPr>
            <w:tcW w:w="240" w:type="dxa"/>
            <w:vAlign w:val="bottom"/>
            <w:vMerge w:val="restart"/>
          </w:tcPr>
          <w:p>
            <w:pPr>
              <w:spacing w:after="0"/>
              <w:rPr>
                <w:sz w:val="20"/>
                <w:szCs w:val="20"/>
                <w:color w:val="auto"/>
              </w:rPr>
            </w:pPr>
            <w:r>
              <w:rPr>
                <w:rFonts w:ascii="Arial" w:cs="Arial" w:eastAsia="Arial" w:hAnsi="Arial"/>
                <w:sz w:val="17"/>
                <w:szCs w:val="17"/>
                <w:color w:val="auto"/>
              </w:rPr>
              <w:t>10</w:t>
            </w:r>
          </w:p>
        </w:tc>
        <w:tc>
          <w:tcPr>
            <w:tcW w:w="9120" w:type="dxa"/>
            <w:vAlign w:val="bottom"/>
            <w:vMerge w:val="restart"/>
          </w:tcPr>
          <w:p>
            <w:pPr>
              <w:ind w:left="420"/>
              <w:spacing w:after="0"/>
              <w:rPr>
                <w:sz w:val="20"/>
                <w:szCs w:val="20"/>
                <w:color w:val="auto"/>
              </w:rPr>
            </w:pPr>
            <w:r>
              <w:rPr>
                <w:rFonts w:ascii="Arial" w:cs="Arial" w:eastAsia="Arial" w:hAnsi="Arial"/>
                <w:sz w:val="17"/>
                <w:szCs w:val="17"/>
                <w:color w:val="auto"/>
              </w:rPr>
              <w:t>Shared Dispositive Power</w:t>
            </w: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9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12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1,516,522</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340" w:right="6100" w:hanging="1337"/>
        <w:spacing w:after="0" w:line="280" w:lineRule="auto"/>
        <w:tabs>
          <w:tab w:leader="none" w:pos="738" w:val="left"/>
        </w:tabs>
        <w:numPr>
          <w:ilvl w:val="0"/>
          <w:numId w:val="32"/>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1,516,522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25297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169" w:lineRule="exact"/>
        <w:rPr>
          <w:sz w:val="20"/>
          <w:szCs w:val="20"/>
          <w:color w:val="auto"/>
        </w:rPr>
      </w:pPr>
    </w:p>
    <w:p>
      <w:pPr>
        <w:spacing w:after="0"/>
        <w:tabs>
          <w:tab w:leader="none" w:pos="720" w:val="left"/>
          <w:tab w:leader="none" w:pos="700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6"/>
          <w:szCs w:val="16"/>
          <w:color w:val="auto"/>
        </w:rPr>
        <w:t>Check if the Aggregate Amount in Row (11) Excludes Certain Shares (See Instructions)</w:t>
      </w:r>
      <w:r>
        <w:rPr>
          <w:sz w:val="20"/>
          <w:szCs w:val="20"/>
          <w:color w:val="auto"/>
        </w:rPr>
        <w:tab/>
      </w: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252970"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223" w:lineRule="exact"/>
        <w:rPr>
          <w:sz w:val="20"/>
          <w:szCs w:val="20"/>
          <w:color w:val="auto"/>
        </w:rPr>
      </w:pPr>
    </w:p>
    <w:p>
      <w:pPr>
        <w:ind w:left="1340" w:right="6980" w:hanging="1337"/>
        <w:spacing w:after="0" w:line="280" w:lineRule="auto"/>
        <w:tabs>
          <w:tab w:leader="none" w:pos="738" w:val="left"/>
        </w:tabs>
        <w:numPr>
          <w:ilvl w:val="0"/>
          <w:numId w:val="33"/>
        </w:numPr>
        <w:rPr>
          <w:rFonts w:ascii="Arial" w:cs="Arial" w:eastAsia="Arial" w:hAnsi="Arial"/>
          <w:sz w:val="17"/>
          <w:szCs w:val="17"/>
          <w:color w:val="auto"/>
        </w:rPr>
      </w:pPr>
      <w:r>
        <w:rPr>
          <w:rFonts w:ascii="Arial" w:cs="Arial" w:eastAsia="Arial" w:hAnsi="Arial"/>
          <w:sz w:val="17"/>
          <w:szCs w:val="17"/>
          <w:color w:val="auto"/>
        </w:rPr>
        <w:t>Percent of Class Represented by Amount in Row (11) 1.4%</w:t>
      </w:r>
    </w:p>
    <w:p>
      <w:pPr>
        <w:spacing w:after="0" w:line="395" w:lineRule="exact"/>
        <w:rPr>
          <w:rFonts w:ascii="Arial" w:cs="Arial" w:eastAsia="Arial" w:hAnsi="Arial"/>
          <w:sz w:val="17"/>
          <w:szCs w:val="17"/>
          <w:color w:val="auto"/>
        </w:rPr>
      </w:pPr>
    </w:p>
    <w:p>
      <w:pPr>
        <w:ind w:left="740" w:hanging="737"/>
        <w:spacing w:after="0"/>
        <w:tabs>
          <w:tab w:leader="none" w:pos="7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-262890</wp:posOffset>
            </wp:positionV>
            <wp:extent cx="7252970"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2"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PN,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25297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2970" cy="165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415290</wp:posOffset>
            </wp:positionV>
            <wp:extent cx="725741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953" w:right="239" w:bottom="1440" w:gutter="0" w:footer="0" w:header="0"/>
        </w:sectPr>
      </w:pPr>
    </w:p>
    <w:bookmarkStart w:id="5" w:name="page6"/>
    <w:bookmarkEnd w:id="5"/>
    <w:p>
      <w:pPr>
        <w:ind w:left="880" w:right="8520" w:hanging="877"/>
        <w:spacing w:after="0" w:line="280" w:lineRule="auto"/>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474345</wp:posOffset>
            </wp:positionV>
            <wp:extent cx="72529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2970" cy="8255"/>
                    </a:xfrm>
                    <a:prstGeom prst="rect">
                      <a:avLst/>
                    </a:prstGeom>
                    <a:noFill/>
                  </pic:spPr>
                </pic:pic>
              </a:graphicData>
            </a:graphic>
          </wp:anchor>
        </w:drawing>
        <w:t>Names of Reporting Persons. David Einhorn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252970"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376" w:lineRule="exact"/>
        <w:rPr>
          <w:sz w:val="20"/>
          <w:szCs w:val="20"/>
          <w:color w:val="auto"/>
        </w:rPr>
      </w:pPr>
    </w:p>
    <w:p>
      <w:pPr>
        <w:ind w:left="880" w:hanging="877"/>
        <w:spacing w:after="0"/>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Check the Appropriate Box if a Member of a Group (See Instructions)</w:t>
      </w:r>
    </w:p>
    <w:p>
      <w:pPr>
        <w:spacing w:after="0" w:line="217" w:lineRule="exact"/>
        <w:rPr>
          <w:rFonts w:ascii="Arial" w:cs="Arial" w:eastAsia="Arial" w:hAnsi="Arial"/>
          <w:sz w:val="17"/>
          <w:szCs w:val="17"/>
          <w:color w:val="auto"/>
        </w:rPr>
      </w:pPr>
    </w:p>
    <w:p>
      <w:pPr>
        <w:ind w:left="1540" w:hanging="659"/>
        <w:spacing w:after="0"/>
        <w:tabs>
          <w:tab w:leader="none" w:pos="1540" w:val="left"/>
        </w:tabs>
        <w:numPr>
          <w:ilvl w:val="1"/>
          <w:numId w:val="35"/>
        </w:numPr>
        <w:rPr>
          <w:rFonts w:ascii="Arial" w:cs="Arial" w:eastAsia="Arial" w:hAnsi="Arial"/>
          <w:sz w:val="17"/>
          <w:szCs w:val="17"/>
          <w:color w:val="auto"/>
        </w:rPr>
      </w:pPr>
      <w:r>
        <w:rPr>
          <w:rFonts w:ascii="Arial" w:cs="Arial" w:eastAsia="Arial" w:hAnsi="Arial"/>
          <w:sz w:val="17"/>
          <w:szCs w:val="17"/>
          <w:color w:val="auto"/>
        </w:rPr>
        <w:t>[ ]</w:t>
      </w:r>
    </w:p>
    <w:p>
      <w:pPr>
        <w:spacing w:after="0" w:line="217" w:lineRule="exact"/>
        <w:rPr>
          <w:rFonts w:ascii="Arial" w:cs="Arial" w:eastAsia="Arial" w:hAnsi="Arial"/>
          <w:sz w:val="17"/>
          <w:szCs w:val="17"/>
          <w:color w:val="auto"/>
        </w:rPr>
      </w:pPr>
    </w:p>
    <w:p>
      <w:pPr>
        <w:ind w:left="1560" w:hanging="679"/>
        <w:spacing w:after="0"/>
        <w:tabs>
          <w:tab w:leader="none" w:pos="15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252970"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223" w:lineRule="exact"/>
        <w:rPr>
          <w:sz w:val="20"/>
          <w:szCs w:val="20"/>
          <w:color w:val="auto"/>
        </w:rPr>
      </w:pPr>
    </w:p>
    <w:p>
      <w:pPr>
        <w:ind w:left="880" w:hanging="877"/>
        <w:spacing w:after="0"/>
        <w:tabs>
          <w:tab w:leader="none" w:pos="8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252970"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223" w:lineRule="exact"/>
        <w:rPr>
          <w:sz w:val="20"/>
          <w:szCs w:val="20"/>
          <w:color w:val="auto"/>
        </w:rPr>
      </w:pPr>
    </w:p>
    <w:p>
      <w:pPr>
        <w:ind w:left="880" w:right="8100" w:hanging="877"/>
        <w:spacing w:after="0" w:line="280" w:lineRule="auto"/>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Source of Funds (See Instructions): AF, 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252970"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376" w:lineRule="exact"/>
        <w:rPr>
          <w:sz w:val="20"/>
          <w:szCs w:val="20"/>
          <w:color w:val="auto"/>
        </w:rPr>
      </w:pPr>
    </w:p>
    <w:p>
      <w:pPr>
        <w:ind w:left="880" w:right="4880" w:hanging="877"/>
        <w:spacing w:after="0" w:line="280" w:lineRule="auto"/>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Check if disclosure of legal proceedings is required pursuant to Items 2(d) or 2(e):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252970"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376" w:lineRule="exact"/>
        <w:rPr>
          <w:sz w:val="20"/>
          <w:szCs w:val="20"/>
          <w:color w:val="auto"/>
        </w:rPr>
      </w:pPr>
    </w:p>
    <w:p>
      <w:pPr>
        <w:ind w:left="880" w:hanging="877"/>
        <w:spacing w:after="0"/>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Citizenship or Place of Organization.</w:t>
      </w:r>
    </w:p>
    <w:p>
      <w:pPr>
        <w:spacing w:after="0" w:line="21" w:lineRule="exact"/>
        <w:rPr>
          <w:rFonts w:ascii="Arial" w:cs="Arial" w:eastAsia="Arial" w:hAnsi="Arial"/>
          <w:sz w:val="17"/>
          <w:szCs w:val="17"/>
          <w:color w:val="auto"/>
        </w:rPr>
      </w:pPr>
    </w:p>
    <w:p>
      <w:pPr>
        <w:ind w:left="880"/>
        <w:spacing w:after="0"/>
        <w:rPr>
          <w:rFonts w:ascii="Arial" w:cs="Arial" w:eastAsia="Arial" w:hAnsi="Arial"/>
          <w:sz w:val="17"/>
          <w:szCs w:val="17"/>
          <w:color w:val="auto"/>
        </w:rPr>
      </w:pPr>
      <w:r>
        <w:rPr>
          <w:rFonts w:ascii="Arial" w:cs="Arial" w:eastAsia="Arial" w:hAnsi="Arial"/>
          <w:sz w:val="17"/>
          <w:szCs w:val="17"/>
          <w:color w:val="auto"/>
        </w:rPr>
        <w:t>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252970"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8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7"/>
                <w:szCs w:val="17"/>
                <w:color w:val="auto"/>
              </w:rPr>
              <w:t>7</w:t>
            </w:r>
          </w:p>
        </w:tc>
        <w:tc>
          <w:tcPr>
            <w:tcW w:w="9000" w:type="dxa"/>
            <w:vAlign w:val="bottom"/>
          </w:tcPr>
          <w:p>
            <w:pPr>
              <w:ind w:left="320"/>
              <w:spacing w:after="0"/>
              <w:rPr>
                <w:sz w:val="20"/>
                <w:szCs w:val="20"/>
                <w:color w:val="auto"/>
              </w:rPr>
            </w:pPr>
            <w:r>
              <w:rPr>
                <w:rFonts w:ascii="Arial" w:cs="Arial" w:eastAsia="Arial" w:hAnsi="Arial"/>
                <w:sz w:val="17"/>
                <w:szCs w:val="17"/>
                <w:color w:val="auto"/>
              </w:rPr>
              <w:t>Sole Voting Power</w:t>
            </w:r>
          </w:p>
        </w:tc>
        <w:tc>
          <w:tcPr>
            <w:tcW w:w="0" w:type="dxa"/>
            <w:vAlign w:val="bottom"/>
          </w:tcPr>
          <w:p>
            <w:pPr>
              <w:spacing w:after="0"/>
              <w:rPr>
                <w:sz w:val="1"/>
                <w:szCs w:val="1"/>
                <w:color w:val="auto"/>
              </w:rPr>
            </w:pPr>
          </w:p>
        </w:tc>
      </w:tr>
      <w:tr>
        <w:trPr>
          <w:trHeight w:val="225"/>
        </w:trPr>
        <w:tc>
          <w:tcPr>
            <w:tcW w:w="2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7"/>
        </w:trPr>
        <w:tc>
          <w:tcPr>
            <w:tcW w:w="2180" w:type="dxa"/>
            <w:vAlign w:val="bottom"/>
          </w:tcPr>
          <w:p>
            <w:pPr>
              <w:jc w:val="center"/>
              <w:spacing w:after="0"/>
              <w:rPr>
                <w:sz w:val="20"/>
                <w:szCs w:val="20"/>
                <w:color w:val="auto"/>
              </w:rPr>
            </w:pPr>
            <w:r>
              <w:rPr>
                <w:rFonts w:ascii="Arial" w:cs="Arial" w:eastAsia="Arial" w:hAnsi="Arial"/>
                <w:sz w:val="17"/>
                <w:szCs w:val="17"/>
                <w:color w:val="auto"/>
                <w:w w:val="92"/>
              </w:rPr>
              <w:t>Number</w:t>
            </w:r>
          </w:p>
        </w:tc>
        <w:tc>
          <w:tcPr>
            <w:tcW w:w="240" w:type="dxa"/>
            <w:vAlign w:val="bottom"/>
            <w:vMerge w:val="restart"/>
          </w:tcPr>
          <w:p>
            <w:pPr>
              <w:spacing w:after="0"/>
              <w:rPr>
                <w:sz w:val="20"/>
                <w:szCs w:val="20"/>
                <w:color w:val="auto"/>
              </w:rPr>
            </w:pPr>
            <w:r>
              <w:rPr>
                <w:rFonts w:ascii="Arial" w:cs="Arial" w:eastAsia="Arial" w:hAnsi="Arial"/>
                <w:sz w:val="17"/>
                <w:szCs w:val="17"/>
                <w:color w:val="auto"/>
              </w:rPr>
              <w:t>8</w:t>
            </w:r>
          </w:p>
        </w:tc>
        <w:tc>
          <w:tcPr>
            <w:tcW w:w="9000" w:type="dxa"/>
            <w:vAlign w:val="bottom"/>
            <w:vMerge w:val="restart"/>
          </w:tcPr>
          <w:p>
            <w:pPr>
              <w:ind w:left="320"/>
              <w:spacing w:after="0"/>
              <w:rPr>
                <w:sz w:val="20"/>
                <w:szCs w:val="20"/>
                <w:color w:val="auto"/>
              </w:rPr>
            </w:pPr>
            <w:r>
              <w:rPr>
                <w:rFonts w:ascii="Arial" w:cs="Arial" w:eastAsia="Arial" w:hAnsi="Arial"/>
                <w:sz w:val="17"/>
                <w:szCs w:val="17"/>
                <w:color w:val="auto"/>
              </w:rPr>
              <w:t>Shared Voting Power</w:t>
            </w:r>
          </w:p>
        </w:tc>
        <w:tc>
          <w:tcPr>
            <w:tcW w:w="0" w:type="dxa"/>
            <w:vAlign w:val="bottom"/>
          </w:tcPr>
          <w:p>
            <w:pPr>
              <w:spacing w:after="0"/>
              <w:rPr>
                <w:sz w:val="1"/>
                <w:szCs w:val="1"/>
                <w:color w:val="auto"/>
              </w:rPr>
            </w:pPr>
          </w:p>
        </w:tc>
      </w:tr>
      <w:tr>
        <w:trPr>
          <w:trHeight w:val="194"/>
        </w:trPr>
        <w:tc>
          <w:tcPr>
            <w:tcW w:w="2180" w:type="dxa"/>
            <w:vAlign w:val="bottom"/>
          </w:tcPr>
          <w:p>
            <w:pPr>
              <w:jc w:val="center"/>
              <w:spacing w:after="0" w:line="194" w:lineRule="exact"/>
              <w:rPr>
                <w:sz w:val="20"/>
                <w:szCs w:val="20"/>
                <w:color w:val="auto"/>
              </w:rPr>
            </w:pPr>
            <w:r>
              <w:rPr>
                <w:rFonts w:ascii="Arial" w:cs="Arial" w:eastAsia="Arial" w:hAnsi="Arial"/>
                <w:sz w:val="17"/>
                <w:szCs w:val="17"/>
                <w:color w:val="auto"/>
                <w:w w:val="87"/>
              </w:rPr>
              <w:t>of Shares</w:t>
            </w:r>
          </w:p>
        </w:tc>
        <w:tc>
          <w:tcPr>
            <w:tcW w:w="240" w:type="dxa"/>
            <w:vAlign w:val="bottom"/>
            <w:vMerge w:val="continue"/>
          </w:tcPr>
          <w:p>
            <w:pPr>
              <w:spacing w:after="0"/>
              <w:rPr>
                <w:sz w:val="16"/>
                <w:szCs w:val="16"/>
                <w:color w:val="auto"/>
              </w:rPr>
            </w:pPr>
          </w:p>
        </w:tc>
        <w:tc>
          <w:tcPr>
            <w:tcW w:w="9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180" w:type="dxa"/>
            <w:vAlign w:val="bottom"/>
          </w:tcPr>
          <w:p>
            <w:pPr>
              <w:jc w:val="center"/>
              <w:spacing w:after="0"/>
              <w:rPr>
                <w:sz w:val="20"/>
                <w:szCs w:val="20"/>
                <w:color w:val="auto"/>
              </w:rPr>
            </w:pPr>
            <w:r>
              <w:rPr>
                <w:rFonts w:ascii="Arial" w:cs="Arial" w:eastAsia="Arial" w:hAnsi="Arial"/>
                <w:sz w:val="17"/>
                <w:szCs w:val="17"/>
                <w:color w:val="auto"/>
                <w:w w:val="97"/>
              </w:rPr>
              <w:t>Beneficially</w:t>
            </w:r>
          </w:p>
        </w:tc>
        <w:tc>
          <w:tcPr>
            <w:tcW w:w="240" w:type="dxa"/>
            <w:vAlign w:val="bottom"/>
            <w:tcBorders>
              <w:bottom w:val="single" w:sz="8" w:color="auto"/>
            </w:tcBorders>
          </w:tcPr>
          <w:p>
            <w:pPr>
              <w:spacing w:after="0"/>
              <w:rPr>
                <w:sz w:val="19"/>
                <w:szCs w:val="19"/>
                <w:color w:val="auto"/>
              </w:rPr>
            </w:pPr>
          </w:p>
        </w:tc>
        <w:tc>
          <w:tcPr>
            <w:tcW w:w="900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10,658,929</w:t>
            </w:r>
          </w:p>
        </w:tc>
        <w:tc>
          <w:tcPr>
            <w:tcW w:w="0" w:type="dxa"/>
            <w:vAlign w:val="bottom"/>
          </w:tcPr>
          <w:p>
            <w:pPr>
              <w:spacing w:after="0"/>
              <w:rPr>
                <w:sz w:val="1"/>
                <w:szCs w:val="1"/>
                <w:color w:val="auto"/>
              </w:rPr>
            </w:pPr>
          </w:p>
        </w:tc>
      </w:tr>
      <w:tr>
        <w:trPr>
          <w:trHeight w:val="181"/>
        </w:trPr>
        <w:tc>
          <w:tcPr>
            <w:tcW w:w="2180" w:type="dxa"/>
            <w:vAlign w:val="bottom"/>
          </w:tcPr>
          <w:p>
            <w:pPr>
              <w:jc w:val="center"/>
              <w:spacing w:after="0" w:line="181" w:lineRule="exact"/>
              <w:rPr>
                <w:sz w:val="20"/>
                <w:szCs w:val="20"/>
                <w:color w:val="auto"/>
              </w:rPr>
            </w:pPr>
            <w:r>
              <w:rPr>
                <w:rFonts w:ascii="Arial" w:cs="Arial" w:eastAsia="Arial" w:hAnsi="Arial"/>
                <w:sz w:val="17"/>
                <w:szCs w:val="17"/>
                <w:color w:val="auto"/>
                <w:w w:val="91"/>
              </w:rPr>
              <w:t>Owned by</w:t>
            </w:r>
          </w:p>
        </w:tc>
        <w:tc>
          <w:tcPr>
            <w:tcW w:w="240" w:type="dxa"/>
            <w:vAlign w:val="bottom"/>
          </w:tcPr>
          <w:p>
            <w:pPr>
              <w:spacing w:after="0"/>
              <w:rPr>
                <w:sz w:val="15"/>
                <w:szCs w:val="15"/>
                <w:color w:val="auto"/>
              </w:rPr>
            </w:pPr>
          </w:p>
        </w:tc>
        <w:tc>
          <w:tcPr>
            <w:tcW w:w="9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180" w:type="dxa"/>
            <w:vAlign w:val="bottom"/>
          </w:tcPr>
          <w:p>
            <w:pPr>
              <w:jc w:val="center"/>
              <w:spacing w:after="0"/>
              <w:rPr>
                <w:sz w:val="20"/>
                <w:szCs w:val="20"/>
                <w:color w:val="auto"/>
              </w:rPr>
            </w:pPr>
            <w:r>
              <w:rPr>
                <w:rFonts w:ascii="Arial" w:cs="Arial" w:eastAsia="Arial" w:hAnsi="Arial"/>
                <w:sz w:val="17"/>
                <w:szCs w:val="17"/>
                <w:color w:val="auto"/>
                <w:w w:val="87"/>
              </w:rPr>
              <w:t>Each</w:t>
            </w:r>
          </w:p>
        </w:tc>
        <w:tc>
          <w:tcPr>
            <w:tcW w:w="240" w:type="dxa"/>
            <w:vAlign w:val="bottom"/>
          </w:tcPr>
          <w:p>
            <w:pPr>
              <w:spacing w:after="0"/>
              <w:rPr>
                <w:sz w:val="20"/>
                <w:szCs w:val="20"/>
                <w:color w:val="auto"/>
              </w:rPr>
            </w:pPr>
            <w:r>
              <w:rPr>
                <w:rFonts w:ascii="Arial" w:cs="Arial" w:eastAsia="Arial" w:hAnsi="Arial"/>
                <w:sz w:val="17"/>
                <w:szCs w:val="17"/>
                <w:color w:val="auto"/>
              </w:rPr>
              <w:t>9</w:t>
            </w:r>
          </w:p>
        </w:tc>
        <w:tc>
          <w:tcPr>
            <w:tcW w:w="9000" w:type="dxa"/>
            <w:vAlign w:val="bottom"/>
          </w:tcPr>
          <w:p>
            <w:pPr>
              <w:ind w:left="360"/>
              <w:spacing w:after="0"/>
              <w:rPr>
                <w:sz w:val="20"/>
                <w:szCs w:val="20"/>
                <w:color w:val="auto"/>
              </w:rPr>
            </w:pPr>
            <w:r>
              <w:rPr>
                <w:rFonts w:ascii="Arial" w:cs="Arial" w:eastAsia="Arial" w:hAnsi="Arial"/>
                <w:sz w:val="17"/>
                <w:szCs w:val="17"/>
                <w:color w:val="auto"/>
              </w:rPr>
              <w:t>Sole Dispositive Power</w:t>
            </w:r>
          </w:p>
        </w:tc>
        <w:tc>
          <w:tcPr>
            <w:tcW w:w="0" w:type="dxa"/>
            <w:vAlign w:val="bottom"/>
          </w:tcPr>
          <w:p>
            <w:pPr>
              <w:spacing w:after="0"/>
              <w:rPr>
                <w:sz w:val="1"/>
                <w:szCs w:val="1"/>
                <w:color w:val="auto"/>
              </w:rPr>
            </w:pPr>
          </w:p>
        </w:tc>
      </w:tr>
      <w:tr>
        <w:trPr>
          <w:trHeight w:val="206"/>
        </w:trPr>
        <w:tc>
          <w:tcPr>
            <w:tcW w:w="2180" w:type="dxa"/>
            <w:vAlign w:val="bottom"/>
          </w:tcPr>
          <w:p>
            <w:pPr>
              <w:jc w:val="center"/>
              <w:spacing w:after="0"/>
              <w:rPr>
                <w:sz w:val="20"/>
                <w:szCs w:val="20"/>
                <w:color w:val="auto"/>
              </w:rPr>
            </w:pPr>
            <w:r>
              <w:rPr>
                <w:rFonts w:ascii="Arial" w:cs="Arial" w:eastAsia="Arial" w:hAnsi="Arial"/>
                <w:sz w:val="17"/>
                <w:szCs w:val="17"/>
                <w:color w:val="auto"/>
                <w:w w:val="94"/>
              </w:rPr>
              <w:t>Reporting</w:t>
            </w:r>
          </w:p>
        </w:tc>
        <w:tc>
          <w:tcPr>
            <w:tcW w:w="240" w:type="dxa"/>
            <w:vAlign w:val="bottom"/>
          </w:tcPr>
          <w:p>
            <w:pPr>
              <w:spacing w:after="0"/>
              <w:rPr>
                <w:sz w:val="17"/>
                <w:szCs w:val="17"/>
                <w:color w:val="auto"/>
              </w:rPr>
            </w:pPr>
          </w:p>
        </w:tc>
        <w:tc>
          <w:tcPr>
            <w:tcW w:w="9000" w:type="dxa"/>
            <w:vAlign w:val="bottom"/>
          </w:tcPr>
          <w:p>
            <w:pPr>
              <w:ind w:left="3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1"/>
        </w:trPr>
        <w:tc>
          <w:tcPr>
            <w:tcW w:w="2180" w:type="dxa"/>
            <w:vAlign w:val="bottom"/>
            <w:vMerge w:val="restart"/>
          </w:tcPr>
          <w:p>
            <w:pPr>
              <w:jc w:val="center"/>
              <w:spacing w:after="0"/>
              <w:rPr>
                <w:sz w:val="20"/>
                <w:szCs w:val="20"/>
                <w:color w:val="auto"/>
              </w:rPr>
            </w:pPr>
            <w:r>
              <w:rPr>
                <w:rFonts w:ascii="Arial" w:cs="Arial" w:eastAsia="Arial" w:hAnsi="Arial"/>
                <w:sz w:val="17"/>
                <w:szCs w:val="17"/>
                <w:color w:val="auto"/>
                <w:w w:val="92"/>
              </w:rPr>
              <w:t>Person With</w:t>
            </w:r>
          </w:p>
        </w:tc>
        <w:tc>
          <w:tcPr>
            <w:tcW w:w="240" w:type="dxa"/>
            <w:vAlign w:val="bottom"/>
            <w:tcBorders>
              <w:bottom w:val="single" w:sz="8" w:color="auto"/>
            </w:tcBorders>
          </w:tcPr>
          <w:p>
            <w:pPr>
              <w:spacing w:after="0"/>
              <w:rPr>
                <w:sz w:val="2"/>
                <w:szCs w:val="2"/>
                <w:color w:val="auto"/>
              </w:rPr>
            </w:pPr>
          </w:p>
        </w:tc>
        <w:tc>
          <w:tcPr>
            <w:tcW w:w="9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180" w:type="dxa"/>
            <w:vAlign w:val="bottom"/>
            <w:vMerge w:val="continue"/>
          </w:tcPr>
          <w:p>
            <w:pPr>
              <w:spacing w:after="0"/>
              <w:rPr>
                <w:sz w:val="14"/>
                <w:szCs w:val="14"/>
                <w:color w:val="auto"/>
              </w:rPr>
            </w:pPr>
          </w:p>
        </w:tc>
        <w:tc>
          <w:tcPr>
            <w:tcW w:w="240" w:type="dxa"/>
            <w:vAlign w:val="bottom"/>
            <w:vMerge w:val="restart"/>
          </w:tcPr>
          <w:p>
            <w:pPr>
              <w:spacing w:after="0"/>
              <w:rPr>
                <w:sz w:val="20"/>
                <w:szCs w:val="20"/>
                <w:color w:val="auto"/>
              </w:rPr>
            </w:pPr>
            <w:r>
              <w:rPr>
                <w:rFonts w:ascii="Arial" w:cs="Arial" w:eastAsia="Arial" w:hAnsi="Arial"/>
                <w:sz w:val="17"/>
                <w:szCs w:val="17"/>
                <w:color w:val="auto"/>
              </w:rPr>
              <w:t>10</w:t>
            </w:r>
          </w:p>
        </w:tc>
        <w:tc>
          <w:tcPr>
            <w:tcW w:w="9000" w:type="dxa"/>
            <w:vAlign w:val="bottom"/>
            <w:vMerge w:val="restart"/>
          </w:tcPr>
          <w:p>
            <w:pPr>
              <w:ind w:left="400"/>
              <w:spacing w:after="0"/>
              <w:rPr>
                <w:sz w:val="20"/>
                <w:szCs w:val="20"/>
                <w:color w:val="auto"/>
              </w:rPr>
            </w:pPr>
            <w:r>
              <w:rPr>
                <w:rFonts w:ascii="Arial" w:cs="Arial" w:eastAsia="Arial" w:hAnsi="Arial"/>
                <w:sz w:val="17"/>
                <w:szCs w:val="17"/>
                <w:color w:val="auto"/>
              </w:rPr>
              <w:t>Shared Dispositive Power</w:t>
            </w: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9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10,658,929</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480" w:right="5940" w:hanging="1477"/>
        <w:spacing w:after="0" w:line="280" w:lineRule="auto"/>
        <w:tabs>
          <w:tab w:leader="none" w:pos="878" w:val="left"/>
        </w:tabs>
        <w:numPr>
          <w:ilvl w:val="0"/>
          <w:numId w:val="40"/>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10,658,929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252970"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169" w:lineRule="exact"/>
        <w:rPr>
          <w:sz w:val="20"/>
          <w:szCs w:val="20"/>
          <w:color w:val="auto"/>
        </w:rPr>
      </w:pPr>
    </w:p>
    <w:p>
      <w:pPr>
        <w:spacing w:after="0"/>
        <w:tabs>
          <w:tab w:leader="none" w:pos="860" w:val="left"/>
          <w:tab w:leader="none" w:pos="714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6"/>
          <w:szCs w:val="16"/>
          <w:color w:val="auto"/>
        </w:rPr>
        <w:t>Check if the Aggregate Amount in Row (11) Excludes Certain Shares (See Instructions)</w:t>
      </w:r>
      <w:r>
        <w:rPr>
          <w:sz w:val="20"/>
          <w:szCs w:val="20"/>
          <w:color w:val="auto"/>
        </w:rPr>
        <w:tab/>
      </w: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25297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223" w:lineRule="exact"/>
        <w:rPr>
          <w:sz w:val="20"/>
          <w:szCs w:val="20"/>
          <w:color w:val="auto"/>
        </w:rPr>
      </w:pPr>
    </w:p>
    <w:p>
      <w:pPr>
        <w:ind w:left="1480" w:right="6840" w:hanging="1477"/>
        <w:spacing w:after="0" w:line="280" w:lineRule="auto"/>
        <w:tabs>
          <w:tab w:leader="none" w:pos="878" w:val="left"/>
        </w:tabs>
        <w:numPr>
          <w:ilvl w:val="0"/>
          <w:numId w:val="41"/>
        </w:numPr>
        <w:rPr>
          <w:rFonts w:ascii="Arial" w:cs="Arial" w:eastAsia="Arial" w:hAnsi="Arial"/>
          <w:sz w:val="17"/>
          <w:szCs w:val="17"/>
          <w:color w:val="auto"/>
        </w:rPr>
      </w:pPr>
      <w:r>
        <w:rPr>
          <w:rFonts w:ascii="Arial" w:cs="Arial" w:eastAsia="Arial" w:hAnsi="Arial"/>
          <w:sz w:val="17"/>
          <w:szCs w:val="17"/>
          <w:color w:val="auto"/>
        </w:rPr>
        <w:t>Percent of Class Represented by Amount in Row (11) 9.99%</w:t>
      </w:r>
    </w:p>
    <w:p>
      <w:pPr>
        <w:spacing w:after="0" w:line="395" w:lineRule="exact"/>
        <w:rPr>
          <w:rFonts w:ascii="Arial" w:cs="Arial" w:eastAsia="Arial" w:hAnsi="Arial"/>
          <w:sz w:val="17"/>
          <w:szCs w:val="17"/>
          <w:color w:val="auto"/>
        </w:rPr>
      </w:pPr>
    </w:p>
    <w:p>
      <w:pPr>
        <w:ind w:left="880" w:hanging="877"/>
        <w:spacing w:after="0"/>
        <w:tabs>
          <w:tab w:leader="none" w:pos="8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-262890</wp:posOffset>
            </wp:positionV>
            <wp:extent cx="7252970"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2"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25297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2970" cy="165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415290</wp:posOffset>
            </wp:positionV>
            <wp:extent cx="725741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95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u w:val="single" w:color="auto"/>
          <w:color w:val="auto"/>
        </w:rPr>
        <w:t>SCHEDULE 13D</w:t>
      </w:r>
    </w:p>
    <w:p>
      <w:pPr>
        <w:spacing w:after="0" w:line="243"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Security and Issuer</w:t>
      </w:r>
    </w:p>
    <w:p>
      <w:pPr>
        <w:spacing w:after="0" w:line="249"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This Schedule 13D relates to Common Stock, par value $0.01 per share (the “Common Stock”), of Civeo Corporation, a Delaware corporation (the “Issuer”). The address of the principal executive offices of the Issuer is Three Allen Center, 333 Clay Street, Suite 4980, Houston, Texas 77002.</w:t>
      </w:r>
    </w:p>
    <w:p>
      <w:pPr>
        <w:spacing w:after="0" w:line="200" w:lineRule="exact"/>
        <w:rPr>
          <w:sz w:val="20"/>
          <w:szCs w:val="20"/>
          <w:color w:val="auto"/>
        </w:rPr>
      </w:pPr>
    </w:p>
    <w:p>
      <w:pPr>
        <w:spacing w:after="0" w:line="215"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Identity and Background</w:t>
      </w:r>
    </w:p>
    <w:p>
      <w:pPr>
        <w:spacing w:after="0" w:line="200" w:lineRule="exact"/>
        <w:rPr>
          <w:sz w:val="20"/>
          <w:szCs w:val="20"/>
          <w:color w:val="auto"/>
        </w:rPr>
      </w:pPr>
    </w:p>
    <w:p>
      <w:pPr>
        <w:spacing w:after="0" w:line="282" w:lineRule="exact"/>
        <w:rPr>
          <w:sz w:val="20"/>
          <w:szCs w:val="20"/>
          <w:color w:val="auto"/>
        </w:rPr>
      </w:pPr>
    </w:p>
    <w:p>
      <w:pPr>
        <w:jc w:val="both"/>
        <w:ind w:firstLine="3"/>
        <w:spacing w:after="0" w:line="262" w:lineRule="auto"/>
        <w:tabs>
          <w:tab w:leader="none" w:pos="2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This Schedule 13D is being filed on behalf of (i) Greenlight Capital, Inc., a Delaware corporation (“Greenlight Inc.”); (ii) DME Advisors GP, LLC, a Delaware limited liability company (“Advisors GP”); (iii) DME Capital Management, LP, a Delaware limited partnership (“DME CM”); (iv) DME Advisors, L.P., a Delaware limited partnership (“DME Advisors”); and (v) David Einhorn (“Mr. Einhorn” and together with Greenlight Inc., Advisors GP, DME CM and DME Advisors, the “Reporting Persons”).</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Greenlight Inc. acts as investment manager for Greenlight Capital, L.P., a Delaware limited partnership, Greenlight Capital Qualified, L.P., a Delaware limited partnership, and Greenlight Capital Offshore Partners, a British Virgin Islands partnership. DME CM acts as the investment manager for Greenlight Capital Offshore Master (Gold), Ltd., a British Virgin Islands company and for Greenlight Capital (Gold), LP, a Delaware limited partnership. Advisors GP is the general partner of DME CM and the general partner of DME Advisors, the investment manager for a managed account. Mr. Einhorn is the principal of each of Greenlight Inc., Advisors GP, DME CM and DME Advisors. The shares of Common Stock reported herein are held for the account of the private investment funds and managed account described above (collectively, the “Funds”). The Reporting Persons may be deemed to beneficially own such shares in light of the Reporting Persons’ voting and investment powers with respect thereto. Each of the Reporting Persons disclaims beneficial ownership of such shares except to the extent of its pecuniary interest in such shares, and the inclusion of such securities in this report shall not be deemed an admission of beneficial ownership for any purpose.</w:t>
      </w:r>
    </w:p>
    <w:p>
      <w:pPr>
        <w:spacing w:after="0" w:line="172" w:lineRule="exact"/>
        <w:rPr>
          <w:sz w:val="20"/>
          <w:szCs w:val="20"/>
          <w:color w:val="auto"/>
        </w:rPr>
      </w:pPr>
    </w:p>
    <w:p>
      <w:pPr>
        <w:ind w:left="240" w:hanging="237"/>
        <w:spacing w:after="0"/>
        <w:tabs>
          <w:tab w:leader="none" w:pos="2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business address of each of the Reporting Persons is 140 East 45 Street, Floor 24, New York, NY 10017.</w:t>
      </w:r>
    </w:p>
    <w:p>
      <w:pPr>
        <w:spacing w:after="0" w:line="243" w:lineRule="exact"/>
        <w:rPr>
          <w:rFonts w:ascii="Arial" w:cs="Arial" w:eastAsia="Arial" w:hAnsi="Arial"/>
          <w:sz w:val="17"/>
          <w:szCs w:val="17"/>
          <w:color w:val="auto"/>
        </w:rPr>
      </w:pPr>
    </w:p>
    <w:p>
      <w:pPr>
        <w:jc w:val="both"/>
        <w:ind w:firstLine="3"/>
        <w:spacing w:after="0" w:line="266" w:lineRule="auto"/>
        <w:tabs>
          <w:tab w:leader="none" w:pos="259"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principal business of each of Greenlight Inc., DME CM and DME Advisors is to provide investment management services to private individuals and institutions. The principal business of Advisors GP is to serve as the general partner of DME CM and DME Advisors. The principal occupation of Mr. Einhorn is investment management.</w:t>
      </w:r>
    </w:p>
    <w:p>
      <w:pPr>
        <w:spacing w:after="0" w:line="176" w:lineRule="exact"/>
        <w:rPr>
          <w:rFonts w:ascii="Arial" w:cs="Arial" w:eastAsia="Arial" w:hAnsi="Arial"/>
          <w:sz w:val="17"/>
          <w:szCs w:val="17"/>
          <w:color w:val="auto"/>
        </w:rPr>
      </w:pPr>
    </w:p>
    <w:p>
      <w:pPr>
        <w:ind w:left="240" w:hanging="237"/>
        <w:spacing w:after="0"/>
        <w:tabs>
          <w:tab w:leader="none" w:pos="2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None of the Reporting Persons has, during the last five years, been convicted in a criminal proceeding (excluding traffic violations or similar misdemeanors).</w:t>
      </w:r>
    </w:p>
    <w:p>
      <w:pPr>
        <w:spacing w:after="0" w:line="228" w:lineRule="exact"/>
        <w:rPr>
          <w:rFonts w:ascii="Arial" w:cs="Arial" w:eastAsia="Arial" w:hAnsi="Arial"/>
          <w:sz w:val="16"/>
          <w:szCs w:val="16"/>
          <w:color w:val="auto"/>
        </w:rPr>
      </w:pPr>
    </w:p>
    <w:p>
      <w:pPr>
        <w:jc w:val="both"/>
        <w:ind w:firstLine="3"/>
        <w:spacing w:after="0" w:line="266" w:lineRule="auto"/>
        <w:tabs>
          <w:tab w:leader="none" w:pos="237" w:val="left"/>
        </w:tabs>
        <w:numPr>
          <w:ilvl w:val="0"/>
          <w:numId w:val="43"/>
        </w:numPr>
        <w:rPr>
          <w:rFonts w:ascii="Arial" w:cs="Arial" w:eastAsia="Arial" w:hAnsi="Arial"/>
          <w:sz w:val="17"/>
          <w:szCs w:val="17"/>
          <w:color w:val="auto"/>
        </w:rPr>
      </w:pPr>
      <w:r>
        <w:rPr>
          <w:rFonts w:ascii="Arial" w:cs="Arial" w:eastAsia="Arial" w:hAnsi="Arial"/>
          <w:sz w:val="17"/>
          <w:szCs w:val="17"/>
          <w:color w:val="auto"/>
        </w:rPr>
        <w:t>None of the Reporting Persons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76" w:lineRule="exact"/>
        <w:rPr>
          <w:rFonts w:ascii="Arial" w:cs="Arial" w:eastAsia="Arial" w:hAnsi="Arial"/>
          <w:sz w:val="17"/>
          <w:szCs w:val="17"/>
          <w:color w:val="auto"/>
        </w:rPr>
      </w:pPr>
    </w:p>
    <w:p>
      <w:pPr>
        <w:ind w:left="220" w:hanging="217"/>
        <w:spacing w:after="0"/>
        <w:tabs>
          <w:tab w:leader="none" w:pos="2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See Item 6 of the respective cover page of each Reporting Person.</w:t>
      </w:r>
    </w:p>
    <w:p>
      <w:pPr>
        <w:spacing w:after="0" w:line="200" w:lineRule="exact"/>
        <w:rPr>
          <w:sz w:val="20"/>
          <w:szCs w:val="20"/>
          <w:color w:val="auto"/>
        </w:rPr>
      </w:pPr>
    </w:p>
    <w:p>
      <w:pPr>
        <w:spacing w:after="0" w:line="270"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Source and Amount of Funds or Other Consideration</w:t>
      </w:r>
    </w:p>
    <w:p>
      <w:pPr>
        <w:spacing w:after="0" w:line="240" w:lineRule="exact"/>
        <w:rPr>
          <w:sz w:val="20"/>
          <w:szCs w:val="20"/>
          <w:color w:val="auto"/>
        </w:rPr>
      </w:pPr>
    </w:p>
    <w:p>
      <w:pPr>
        <w:jc w:val="both"/>
        <w:ind w:right="340"/>
        <w:spacing w:after="0" w:line="228" w:lineRule="auto"/>
        <w:rPr>
          <w:sz w:val="20"/>
          <w:szCs w:val="20"/>
          <w:color w:val="auto"/>
        </w:rPr>
      </w:pPr>
      <w:r>
        <w:rPr>
          <w:rFonts w:ascii="Arial" w:cs="Arial" w:eastAsia="Arial" w:hAnsi="Arial"/>
          <w:sz w:val="21"/>
          <w:szCs w:val="21"/>
          <w:color w:val="auto"/>
        </w:rPr>
        <w:t xml:space="preserve">Of the shares of Common Stock reported herein, 6,154,400 shares were acquired by the Funds in connection with the Issuer’s spin-off from Oil States International, Inc. </w:t>
      </w:r>
      <w:r>
        <w:rPr>
          <w:rFonts w:ascii="Arial" w:cs="Arial" w:eastAsia="Arial" w:hAnsi="Arial"/>
          <w:sz w:val="17"/>
          <w:szCs w:val="17"/>
          <w:color w:val="auto"/>
        </w:rPr>
        <w:t>The Reporting Persons acquired the remaining shares through the transactions reported in Item 5 below using working</w:t>
      </w:r>
      <w:r>
        <w:rPr>
          <w:rFonts w:ascii="Arial" w:cs="Arial" w:eastAsia="Arial" w:hAnsi="Arial"/>
          <w:sz w:val="21"/>
          <w:szCs w:val="21"/>
          <w:color w:val="auto"/>
        </w:rPr>
        <w:t xml:space="preserve"> </w:t>
      </w:r>
      <w:r>
        <w:rPr>
          <w:rFonts w:ascii="Arial" w:cs="Arial" w:eastAsia="Arial" w:hAnsi="Arial"/>
          <w:sz w:val="17"/>
          <w:szCs w:val="17"/>
          <w:color w:val="auto"/>
        </w:rPr>
        <w:t>capital of the Funds.</w:t>
      </w:r>
    </w:p>
    <w:p>
      <w:pPr>
        <w:spacing w:after="0" w:line="200" w:lineRule="exact"/>
        <w:rPr>
          <w:sz w:val="20"/>
          <w:szCs w:val="20"/>
          <w:color w:val="auto"/>
        </w:rPr>
      </w:pPr>
    </w:p>
    <w:p>
      <w:pPr>
        <w:spacing w:after="0" w:line="250"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4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Reporting Persons caused the Funds to acquire the shares reported herein for portfolio investment purposes. On September 29, 2014, the Issuer announced that following an assessment by its board of directors of structural alternatives for the Issuer, the board concluded that the Issuer would continue as a corporation (C-corp) and redomicile to Canada. The Issuer stated that the board considered, among other alternatives, a potential conversion to a real estate investment trust (REIT).</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Since the announcement, the Reporting Persons have had conversations with the board and management of the Issuer, and expect to continue having such conversations. During these constructive conversations with the board, the Reporting Persons made the following suggestions as to what the Issuer should do:</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21"/>
          <w:szCs w:val="21"/>
          <w:color w:val="auto"/>
        </w:rPr>
        <w:t>the Issuer should take on leverage to make its capital structure more appropriate for a real estate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-94615</wp:posOffset>
            </wp:positionV>
            <wp:extent cx="66675" cy="666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ind w:left="520" w:right="400"/>
        <w:spacing w:after="0" w:line="230" w:lineRule="auto"/>
        <w:rPr>
          <w:sz w:val="20"/>
          <w:szCs w:val="20"/>
          <w:color w:val="auto"/>
        </w:rPr>
      </w:pPr>
      <w:r>
        <w:rPr>
          <w:rFonts w:ascii="Arial" w:cs="Arial" w:eastAsia="Arial" w:hAnsi="Arial"/>
          <w:sz w:val="21"/>
          <w:szCs w:val="21"/>
          <w:color w:val="auto"/>
        </w:rPr>
        <w:t>the Issuer should implement an aggressive program of returning capital to shareholders through a well-communicated dividend policy;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-246380</wp:posOffset>
            </wp:positionV>
            <wp:extent cx="66675" cy="666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ind w:left="520" w:right="160"/>
        <w:spacing w:after="0" w:line="237" w:lineRule="auto"/>
        <w:rPr>
          <w:sz w:val="20"/>
          <w:szCs w:val="20"/>
          <w:color w:val="auto"/>
        </w:rPr>
      </w:pPr>
      <w:r>
        <w:rPr>
          <w:rFonts w:ascii="Arial" w:cs="Arial" w:eastAsia="Arial" w:hAnsi="Arial"/>
          <w:sz w:val="21"/>
          <w:szCs w:val="21"/>
          <w:color w:val="auto"/>
        </w:rPr>
        <w:t>the Issuer should replace the CEO, Bradley Dodson, who the Reporting Persons believe has lost the support and confidence of the Issuer’s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-255270</wp:posOffset>
            </wp:positionV>
            <wp:extent cx="66675" cy="666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56"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The Reporting Persons expect to continue to discuss the Issuer’s structural alternatives and other matters related to the Issuer with directors and officers of the Issuer, other shareholders and third parties. These may include discussions regarding the Reporting Persons’ views on issues relating to the strategic direction undertaken by the Issuer and other matters of interest to stockholders generally.</w:t>
      </w:r>
    </w:p>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Reporting Persons intend to review their respective investments in the Issuer on a continuing basis and may from time to time and at any time in the future depending on various factors, including, without limitation, the outcome of any discussions referenced above, the Issuer’s financial position and strategic direction, actions taken by the board, price levels of the Common Stock, other investment opportunities available to the Reporting Persons, conditions in the securities market and general economic and industry conditions, take</w:t>
      </w:r>
    </w:p>
    <w:p>
      <w:pPr>
        <w:sectPr>
          <w:pgSz w:w="11900" w:h="16838" w:orient="portrait"/>
          <w:cols w:equalWidth="0" w:num="1">
            <w:col w:w="11420"/>
          </w:cols>
          <w:pgMar w:left="240" w:top="728" w:right="239" w:bottom="0" w:gutter="0" w:footer="0" w:header="0"/>
        </w:sectPr>
      </w:pPr>
    </w:p>
    <w:bookmarkStart w:id="7" w:name="page8"/>
    <w:bookmarkEnd w:id="7"/>
    <w:p>
      <w:pPr>
        <w:spacing w:after="0" w:line="62" w:lineRule="exact"/>
        <w:rPr>
          <w:sz w:val="20"/>
          <w:szCs w:val="20"/>
          <w:color w:val="auto"/>
        </w:rPr>
      </w:pPr>
    </w:p>
    <w:p>
      <w:pPr>
        <w:jc w:val="both"/>
        <w:spacing w:after="0" w:line="235" w:lineRule="auto"/>
        <w:rPr>
          <w:sz w:val="20"/>
          <w:szCs w:val="20"/>
          <w:color w:val="auto"/>
        </w:rPr>
      </w:pPr>
      <w:r>
        <w:rPr>
          <w:rFonts w:ascii="Arial" w:cs="Arial" w:eastAsia="Arial" w:hAnsi="Arial"/>
          <w:sz w:val="21"/>
          <w:szCs w:val="21"/>
          <w:color w:val="auto"/>
        </w:rPr>
        <w:t>such actions with respect to the investment in the Issuer as they deem appropriate, including: (i) acquiring additional shares of Common Stock and/or other equity, debt, notes, other securities, or derivative or other instruments that are based upon or relate to the value of the Common Stock or the Issuer (collectively, “Securities”) of the Issuer in the open market or otherwise; (ii) disposing of any or all of their Securities in the open market or otherwise; (iii) engaging in any hedging or similar transactions with respect to the Securities; or (iv) proposing or considering one or more of the actions described in subsections (a) through (j) of Item 4 of Schedule 13D, including, without limitation, engaging in proxy contests.</w:t>
      </w:r>
    </w:p>
    <w:p>
      <w:pPr>
        <w:spacing w:after="0" w:line="200" w:lineRule="exact"/>
        <w:rPr>
          <w:sz w:val="20"/>
          <w:szCs w:val="20"/>
          <w:color w:val="auto"/>
        </w:rPr>
      </w:pPr>
    </w:p>
    <w:p>
      <w:pPr>
        <w:spacing w:after="0" w:line="241"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5"/>
          <w:szCs w:val="15"/>
          <w:b w:val="1"/>
          <w:bCs w:val="1"/>
          <w:color w:val="auto"/>
        </w:rPr>
        <w:t>Interest in Securities of the Issuer</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(a) and (b) See Items 7-11 of the cover pages and Item 2 above.</w:t>
      </w:r>
    </w:p>
    <w:p>
      <w:pPr>
        <w:spacing w:after="0" w:line="243"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The percentage calculations herein are based upon the statement in the Issuer’s Quarterly Report on Form 10-Q for the quarter ended June 30, 2014, as filed with the Securities and Exchange Commission on August 13, 2014, that there were 106,695,984 outstanding shares of Common Stock of the Issuer as of August 8, 2014.</w:t>
      </w:r>
    </w:p>
    <w:p>
      <w:pPr>
        <w:spacing w:after="0" w:line="144" w:lineRule="exact"/>
        <w:rPr>
          <w:sz w:val="20"/>
          <w:szCs w:val="20"/>
          <w:color w:val="auto"/>
        </w:rPr>
      </w:pPr>
    </w:p>
    <w:p>
      <w:pPr>
        <w:jc w:val="both"/>
        <w:ind w:firstLine="3"/>
        <w:spacing w:after="0" w:line="266" w:lineRule="auto"/>
        <w:tabs>
          <w:tab w:leader="none" w:pos="278"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following table lists the transactions in the Common Stock that were effected by the Funds, in the aggregate, during the sixty day period prior to the filing of this Schedule 13D. Each transaction listed below reflects the aggregate number of shares purchased or sold through a particular broker on the applicable date, and the corresponding price reflects the average price per share in connection with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4062095</wp:posOffset>
            </wp:positionH>
            <wp:positionV relativeFrom="paragraph">
              <wp:posOffset>123190</wp:posOffset>
            </wp:positionV>
            <wp:extent cx="1385570" cy="4432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85570" cy="443230"/>
                    </a:xfrm>
                    <a:prstGeom prst="rect">
                      <a:avLst/>
                    </a:prstGeom>
                    <a:noFill/>
                  </pic:spPr>
                </pic:pic>
              </a:graphicData>
            </a:graphic>
          </wp:anchor>
        </w:drawing>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424"/>
        </w:trPr>
        <w:tc>
          <w:tcPr>
            <w:tcW w:w="2160" w:type="dxa"/>
            <w:vAlign w:val="bottom"/>
            <w:tcBorders>
              <w:top w:val="single" w:sz="8" w:color="auto"/>
              <w:left w:val="single" w:sz="8" w:color="auto"/>
              <w:right w:val="single" w:sz="8" w:color="auto"/>
            </w:tcBorders>
          </w:tcPr>
          <w:p>
            <w:pPr>
              <w:ind w:left="640"/>
              <w:spacing w:after="0"/>
              <w:rPr>
                <w:sz w:val="20"/>
                <w:szCs w:val="20"/>
                <w:color w:val="auto"/>
              </w:rPr>
            </w:pPr>
            <w:r>
              <w:rPr>
                <w:rFonts w:ascii="Arial" w:cs="Arial" w:eastAsia="Arial" w:hAnsi="Arial"/>
                <w:sz w:val="17"/>
                <w:szCs w:val="17"/>
                <w:b w:val="1"/>
                <w:bCs w:val="1"/>
                <w:color w:val="auto"/>
              </w:rPr>
              <w:t>Transaction</w:t>
            </w:r>
          </w:p>
        </w:tc>
        <w:tc>
          <w:tcPr>
            <w:tcW w:w="820" w:type="dxa"/>
            <w:vAlign w:val="bottom"/>
            <w:tcBorders>
              <w:top w:val="single" w:sz="8" w:color="auto"/>
            </w:tcBorders>
          </w:tcPr>
          <w:p>
            <w:pPr>
              <w:spacing w:after="0"/>
              <w:rPr>
                <w:sz w:val="24"/>
                <w:szCs w:val="24"/>
                <w:color w:val="auto"/>
              </w:rPr>
            </w:pPr>
          </w:p>
        </w:tc>
        <w:tc>
          <w:tcPr>
            <w:tcW w:w="13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7"/>
                <w:szCs w:val="17"/>
                <w:b w:val="1"/>
                <w:bCs w:val="1"/>
                <w:color w:val="auto"/>
              </w:rPr>
              <w:t>Date</w:t>
            </w:r>
          </w:p>
        </w:tc>
        <w:tc>
          <w:tcPr>
            <w:tcW w:w="60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auto"/>
              </w:rPr>
              <w:t>No. Shares</w:t>
            </w:r>
          </w:p>
        </w:tc>
        <w:tc>
          <w:tcPr>
            <w:tcW w:w="2120" w:type="dxa"/>
            <w:vAlign w:val="bottom"/>
          </w:tcPr>
          <w:p>
            <w:pPr>
              <w:jc w:val="right"/>
              <w:ind w:right="794"/>
              <w:spacing w:after="0"/>
              <w:rPr>
                <w:sz w:val="20"/>
                <w:szCs w:val="20"/>
                <w:color w:val="auto"/>
              </w:rPr>
            </w:pPr>
            <w:r>
              <w:rPr>
                <w:rFonts w:ascii="Arial" w:cs="Arial" w:eastAsia="Arial" w:hAnsi="Arial"/>
                <w:sz w:val="17"/>
                <w:szCs w:val="17"/>
                <w:b w:val="1"/>
                <w:bCs w:val="1"/>
                <w:color w:val="auto"/>
              </w:rPr>
              <w:t>Price</w:t>
            </w:r>
          </w:p>
        </w:tc>
      </w:tr>
      <w:tr>
        <w:trPr>
          <w:trHeight w:val="214"/>
        </w:trPr>
        <w:tc>
          <w:tcPr>
            <w:tcW w:w="2160" w:type="dxa"/>
            <w:vAlign w:val="bottom"/>
            <w:tcBorders>
              <w:left w:val="single" w:sz="8" w:color="auto"/>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2"/>
        </w:trPr>
        <w:tc>
          <w:tcPr>
            <w:tcW w:w="21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sale</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6"/>
              </w:rPr>
              <w:t>08/13/2014</w:t>
            </w:r>
          </w:p>
        </w:tc>
        <w:tc>
          <w:tcPr>
            <w:tcW w:w="1320" w:type="dxa"/>
            <w:vAlign w:val="bottom"/>
            <w:tcBorders>
              <w:top w:val="single" w:sz="8" w:color="auto"/>
              <w:bottom w:val="single" w:sz="8" w:color="auto"/>
              <w:right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94"/>
              </w:rPr>
              <w:t>113,798</w:t>
            </w:r>
          </w:p>
        </w:tc>
        <w:tc>
          <w:tcPr>
            <w:tcW w:w="1540" w:type="dxa"/>
            <w:vAlign w:val="bottom"/>
            <w:tcBorders>
              <w:top w:val="single" w:sz="8" w:color="auto"/>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$25.8658</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sale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08/21/2014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9,776</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$25.5466</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sale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08/22/2014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600</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$25.5233</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sale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08/28/2014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25,000</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$25.4000</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sale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08/28/2014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14,991</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$25.4236</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sale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08/29/2014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37,575</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$25.4099</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sale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09/02/2014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94,860</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$25.5075</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sale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09/03/2014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20,000</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$25.5700</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sale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09/03/2014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30,638</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$25.8308</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sale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09/05/2014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4,800</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$24.8021</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sale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09/05/2014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95,200</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$24.9449</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sale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09/08/2014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4"/>
              </w:rPr>
              <w:t>102,100</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$25.1648</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sale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09/08/2014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10,700</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$25.3723</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sale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09/09/2014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74,839</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$24.9737</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sale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09/09/2014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16,200</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$25.1319</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sale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09/10/2014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3,323</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$24.8903</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sale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09/11/2014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4"/>
              </w:rPr>
              <w:t>100,000</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$25.1288</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sale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09/12/2014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10,000</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$24.9000</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sale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09/12/2014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71,999</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$24.9338</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sale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09/12/2014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18,001</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$24.9873</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sale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09/15/2014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20,004</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$24.9383</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sale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09/16/2014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36,578</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$24.9756</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sale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09/17/2014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4"/>
              </w:rPr>
              <w:t>209,400</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$25.0376</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sale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09/17/2014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18,900</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$25.0722</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sale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09/18/2014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4"/>
              </w:rPr>
              <w:t>100,000</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$25.3785</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sale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09/19/2014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70,859</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$25.6553</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sale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09/19/2014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50,800</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$25.8657</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sale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09/19/2014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11,193</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$25.9739</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sale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09/22/2014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11,800</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$24.9014</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sale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09/22/2014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21,072</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$24.9090</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sale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09/23/2014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7,300</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$24.9325</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sale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09/24/2014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20,000</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$24.9243</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sale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09/24/2014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60,000</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$25.0672</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sale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09/24/2014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40,000</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$25.0993</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sale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09/25/2014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10,700</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$24.9000</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sale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09/25/2014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25,000</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$24.9200</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sale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09/25/2014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26,394</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$24.9929</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sale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09/26/2014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60,000</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414"/>
              <w:spacing w:after="0"/>
              <w:rPr>
                <w:sz w:val="20"/>
                <w:szCs w:val="20"/>
                <w:color w:val="auto"/>
              </w:rPr>
            </w:pPr>
            <w:r>
              <w:rPr>
                <w:rFonts w:ascii="Arial" w:cs="Arial" w:eastAsia="Arial" w:hAnsi="Arial"/>
                <w:sz w:val="17"/>
                <w:szCs w:val="17"/>
                <w:color w:val="auto"/>
                <w:w w:val="84"/>
              </w:rPr>
              <w:t>$25.1148</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purchase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09/30/2014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4"/>
              </w:rPr>
              <w:t>862,097</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$12.3787</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purchase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09/30/2014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50,000</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$12.5000</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purchase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09/30/2014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92,303</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$12.6066</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purchase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09/30/2014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4"/>
              </w:rPr>
              <w:t>650,000</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$12.6592</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purchase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10/01/2014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4"/>
              </w:rPr>
              <w:t>284,500</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414"/>
              <w:spacing w:after="0"/>
              <w:rPr>
                <w:sz w:val="20"/>
                <w:szCs w:val="20"/>
                <w:color w:val="auto"/>
              </w:rPr>
            </w:pPr>
            <w:r>
              <w:rPr>
                <w:rFonts w:ascii="Arial" w:cs="Arial" w:eastAsia="Arial" w:hAnsi="Arial"/>
                <w:sz w:val="17"/>
                <w:szCs w:val="17"/>
                <w:color w:val="auto"/>
                <w:w w:val="84"/>
              </w:rPr>
              <w:t>$11.8850</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purchase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10/01/2014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4"/>
              </w:rPr>
              <w:t>120,000</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$12.0250</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purchase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10/01/2014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4"/>
              </w:rPr>
              <w:t>374,952</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$12.1605</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purchase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10/01/2014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4"/>
              </w:rPr>
              <w:t>120,000</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$12.3667</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purchase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10/01/2014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4"/>
              </w:rPr>
              <w:t>125,048</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$12.4049</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purchase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10/02/2014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4"/>
              </w:rPr>
              <w:t>112,778</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$12.3995</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purchase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10/02/2014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4"/>
              </w:rPr>
              <w:t>130,000</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$12.4500</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purchase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10/03/2014</w:t>
            </w:r>
          </w:p>
        </w:tc>
        <w:tc>
          <w:tcPr>
            <w:tcW w:w="13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52,720</w:t>
            </w:r>
          </w:p>
        </w:tc>
        <w:tc>
          <w:tcPr>
            <w:tcW w:w="154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$12.6619</w:t>
            </w:r>
          </w:p>
        </w:tc>
      </w:tr>
      <w:tr>
        <w:trPr>
          <w:trHeight w:val="54"/>
        </w:trPr>
        <w:tc>
          <w:tcPr>
            <w:tcW w:w="2160" w:type="dxa"/>
            <w:vAlign w:val="bottom"/>
            <w:tcBorders>
              <w:left w:val="single" w:sz="8" w:color="auto"/>
              <w:right w:val="single" w:sz="8" w:color="auto"/>
            </w:tcBorders>
          </w:tcPr>
          <w:p>
            <w:pPr>
              <w:spacing w:after="0"/>
              <w:rPr>
                <w:sz w:val="4"/>
                <w:szCs w:val="4"/>
                <w:color w:val="auto"/>
              </w:rPr>
            </w:pPr>
          </w:p>
        </w:tc>
        <w:tc>
          <w:tcPr>
            <w:tcW w:w="820" w:type="dxa"/>
            <w:vAlign w:val="bottom"/>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1540" w:type="dxa"/>
            <w:vAlign w:val="bottom"/>
            <w:tcBorders>
              <w:right w:val="single" w:sz="8" w:color="auto"/>
            </w:tcBorders>
          </w:tcPr>
          <w:p>
            <w:pPr>
              <w:spacing w:after="0"/>
              <w:rPr>
                <w:sz w:val="4"/>
                <w:szCs w:val="4"/>
                <w:color w:val="auto"/>
              </w:rPr>
            </w:pPr>
          </w:p>
        </w:tc>
        <w:tc>
          <w:tcPr>
            <w:tcW w:w="2120" w:type="dxa"/>
            <w:vAlign w:val="bottom"/>
            <w:tcBorders>
              <w:right w:val="single" w:sz="8" w:color="auto"/>
            </w:tcBorders>
          </w:tcPr>
          <w:p>
            <w:pPr>
              <w:spacing w:after="0"/>
              <w:rPr>
                <w:sz w:val="4"/>
                <w:szCs w:val="4"/>
                <w:color w:val="auto"/>
              </w:rPr>
            </w:pPr>
          </w:p>
        </w:tc>
      </w:tr>
    </w:tbl>
    <w:p>
      <w:pPr>
        <w:sectPr>
          <w:pgSz w:w="11900" w:h="16900" w:orient="portrait"/>
          <w:cols w:equalWidth="0" w:num="1">
            <w:col w:w="11420"/>
          </w:cols>
          <w:pgMar w:left="240" w:top="120" w:right="239" w:bottom="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purchase</w:t>
            </w:r>
          </w:p>
        </w:tc>
        <w:tc>
          <w:tcPr>
            <w:tcW w:w="2140" w:type="dxa"/>
            <w:vAlign w:val="bottom"/>
            <w:tcBorders>
              <w:bottom w:val="single" w:sz="8" w:color="auto"/>
              <w:right w:val="single" w:sz="8" w:color="auto"/>
            </w:tcBorders>
          </w:tcPr>
          <w:p>
            <w:pPr>
              <w:jc w:val="right"/>
              <w:ind w:right="1294"/>
              <w:spacing w:after="0"/>
              <w:rPr>
                <w:sz w:val="20"/>
                <w:szCs w:val="20"/>
                <w:color w:val="auto"/>
              </w:rPr>
            </w:pPr>
            <w:r>
              <w:rPr>
                <w:rFonts w:ascii="Arial" w:cs="Arial" w:eastAsia="Arial" w:hAnsi="Arial"/>
                <w:sz w:val="17"/>
                <w:szCs w:val="17"/>
                <w:color w:val="auto"/>
                <w:w w:val="86"/>
              </w:rPr>
              <w:t>10/03/2014</w:t>
            </w:r>
          </w:p>
        </w:tc>
        <w:tc>
          <w:tcPr>
            <w:tcW w:w="2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20,900</w:t>
            </w: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$12.7207</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purchase</w:t>
            </w:r>
          </w:p>
        </w:tc>
        <w:tc>
          <w:tcPr>
            <w:tcW w:w="2140" w:type="dxa"/>
            <w:vAlign w:val="bottom"/>
            <w:tcBorders>
              <w:bottom w:val="single" w:sz="8" w:color="auto"/>
              <w:right w:val="single" w:sz="8" w:color="auto"/>
            </w:tcBorders>
          </w:tcPr>
          <w:p>
            <w:pPr>
              <w:jc w:val="right"/>
              <w:ind w:right="1294"/>
              <w:spacing w:after="0"/>
              <w:rPr>
                <w:sz w:val="20"/>
                <w:szCs w:val="20"/>
                <w:color w:val="auto"/>
              </w:rPr>
            </w:pPr>
            <w:r>
              <w:rPr>
                <w:rFonts w:ascii="Arial" w:cs="Arial" w:eastAsia="Arial" w:hAnsi="Arial"/>
                <w:sz w:val="17"/>
                <w:szCs w:val="17"/>
                <w:color w:val="auto"/>
                <w:w w:val="86"/>
              </w:rPr>
              <w:t>10/03/2014</w:t>
            </w:r>
          </w:p>
        </w:tc>
        <w:tc>
          <w:tcPr>
            <w:tcW w:w="2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48,300</w:t>
            </w: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$12.7500</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purchase</w:t>
            </w:r>
          </w:p>
        </w:tc>
        <w:tc>
          <w:tcPr>
            <w:tcW w:w="2140" w:type="dxa"/>
            <w:vAlign w:val="bottom"/>
            <w:tcBorders>
              <w:bottom w:val="single" w:sz="8" w:color="auto"/>
              <w:right w:val="single" w:sz="8" w:color="auto"/>
            </w:tcBorders>
          </w:tcPr>
          <w:p>
            <w:pPr>
              <w:jc w:val="right"/>
              <w:ind w:right="1294"/>
              <w:spacing w:after="0"/>
              <w:rPr>
                <w:sz w:val="20"/>
                <w:szCs w:val="20"/>
                <w:color w:val="auto"/>
              </w:rPr>
            </w:pPr>
            <w:r>
              <w:rPr>
                <w:rFonts w:ascii="Arial" w:cs="Arial" w:eastAsia="Arial" w:hAnsi="Arial"/>
                <w:sz w:val="17"/>
                <w:szCs w:val="17"/>
                <w:color w:val="auto"/>
                <w:w w:val="86"/>
              </w:rPr>
              <w:t>10/03/2014</w:t>
            </w:r>
          </w:p>
        </w:tc>
        <w:tc>
          <w:tcPr>
            <w:tcW w:w="2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196,900</w:t>
            </w: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$12.8350</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purchase</w:t>
            </w:r>
          </w:p>
        </w:tc>
        <w:tc>
          <w:tcPr>
            <w:tcW w:w="2140" w:type="dxa"/>
            <w:vAlign w:val="bottom"/>
            <w:tcBorders>
              <w:bottom w:val="single" w:sz="8" w:color="auto"/>
              <w:right w:val="single" w:sz="8" w:color="auto"/>
            </w:tcBorders>
          </w:tcPr>
          <w:p>
            <w:pPr>
              <w:jc w:val="right"/>
              <w:ind w:right="1294"/>
              <w:spacing w:after="0"/>
              <w:rPr>
                <w:sz w:val="20"/>
                <w:szCs w:val="20"/>
                <w:color w:val="auto"/>
              </w:rPr>
            </w:pPr>
            <w:r>
              <w:rPr>
                <w:rFonts w:ascii="Arial" w:cs="Arial" w:eastAsia="Arial" w:hAnsi="Arial"/>
                <w:sz w:val="17"/>
                <w:szCs w:val="17"/>
                <w:color w:val="auto"/>
                <w:w w:val="86"/>
              </w:rPr>
              <w:t>10/03/2014</w:t>
            </w:r>
          </w:p>
        </w:tc>
        <w:tc>
          <w:tcPr>
            <w:tcW w:w="2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37,360</w:t>
            </w: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$12.9934</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purchase</w:t>
            </w:r>
          </w:p>
        </w:tc>
        <w:tc>
          <w:tcPr>
            <w:tcW w:w="2140" w:type="dxa"/>
            <w:vAlign w:val="bottom"/>
            <w:tcBorders>
              <w:bottom w:val="single" w:sz="8" w:color="auto"/>
              <w:right w:val="single" w:sz="8" w:color="auto"/>
            </w:tcBorders>
          </w:tcPr>
          <w:p>
            <w:pPr>
              <w:jc w:val="right"/>
              <w:ind w:right="1294"/>
              <w:spacing w:after="0"/>
              <w:rPr>
                <w:sz w:val="20"/>
                <w:szCs w:val="20"/>
                <w:color w:val="auto"/>
              </w:rPr>
            </w:pPr>
            <w:r>
              <w:rPr>
                <w:rFonts w:ascii="Arial" w:cs="Arial" w:eastAsia="Arial" w:hAnsi="Arial"/>
                <w:sz w:val="17"/>
                <w:szCs w:val="17"/>
                <w:color w:val="auto"/>
                <w:w w:val="86"/>
              </w:rPr>
              <w:t>10/06/2014</w:t>
            </w:r>
          </w:p>
        </w:tc>
        <w:tc>
          <w:tcPr>
            <w:tcW w:w="2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122,000</w:t>
            </w: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$12.7500</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purchase</w:t>
            </w:r>
          </w:p>
        </w:tc>
        <w:tc>
          <w:tcPr>
            <w:tcW w:w="2140" w:type="dxa"/>
            <w:vAlign w:val="bottom"/>
            <w:tcBorders>
              <w:bottom w:val="single" w:sz="8" w:color="auto"/>
              <w:right w:val="single" w:sz="8" w:color="auto"/>
            </w:tcBorders>
          </w:tcPr>
          <w:p>
            <w:pPr>
              <w:jc w:val="right"/>
              <w:ind w:right="1294"/>
              <w:spacing w:after="0"/>
              <w:rPr>
                <w:sz w:val="20"/>
                <w:szCs w:val="20"/>
                <w:color w:val="auto"/>
              </w:rPr>
            </w:pPr>
            <w:r>
              <w:rPr>
                <w:rFonts w:ascii="Arial" w:cs="Arial" w:eastAsia="Arial" w:hAnsi="Arial"/>
                <w:sz w:val="17"/>
                <w:szCs w:val="17"/>
                <w:color w:val="auto"/>
                <w:w w:val="86"/>
              </w:rPr>
              <w:t>10/06/2014</w:t>
            </w:r>
          </w:p>
        </w:tc>
        <w:tc>
          <w:tcPr>
            <w:tcW w:w="2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106,716</w:t>
            </w: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$12.9030</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purchase</w:t>
            </w:r>
          </w:p>
        </w:tc>
        <w:tc>
          <w:tcPr>
            <w:tcW w:w="2140" w:type="dxa"/>
            <w:vAlign w:val="bottom"/>
            <w:tcBorders>
              <w:bottom w:val="single" w:sz="8" w:color="auto"/>
              <w:right w:val="single" w:sz="8" w:color="auto"/>
            </w:tcBorders>
          </w:tcPr>
          <w:p>
            <w:pPr>
              <w:jc w:val="right"/>
              <w:ind w:right="1294"/>
              <w:spacing w:after="0"/>
              <w:rPr>
                <w:sz w:val="20"/>
                <w:szCs w:val="20"/>
                <w:color w:val="auto"/>
              </w:rPr>
            </w:pPr>
            <w:r>
              <w:rPr>
                <w:rFonts w:ascii="Arial" w:cs="Arial" w:eastAsia="Arial" w:hAnsi="Arial"/>
                <w:sz w:val="17"/>
                <w:szCs w:val="17"/>
                <w:color w:val="auto"/>
                <w:w w:val="86"/>
              </w:rPr>
              <w:t>10/07/2014</w:t>
            </w:r>
          </w:p>
        </w:tc>
        <w:tc>
          <w:tcPr>
            <w:tcW w:w="2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282,300</w:t>
            </w: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$12.9896</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purchase</w:t>
            </w:r>
          </w:p>
        </w:tc>
        <w:tc>
          <w:tcPr>
            <w:tcW w:w="2140" w:type="dxa"/>
            <w:vAlign w:val="bottom"/>
            <w:tcBorders>
              <w:bottom w:val="single" w:sz="8" w:color="auto"/>
              <w:right w:val="single" w:sz="8" w:color="auto"/>
            </w:tcBorders>
          </w:tcPr>
          <w:p>
            <w:pPr>
              <w:jc w:val="right"/>
              <w:ind w:right="1294"/>
              <w:spacing w:after="0"/>
              <w:rPr>
                <w:sz w:val="20"/>
                <w:szCs w:val="20"/>
                <w:color w:val="auto"/>
              </w:rPr>
            </w:pPr>
            <w:r>
              <w:rPr>
                <w:rFonts w:ascii="Arial" w:cs="Arial" w:eastAsia="Arial" w:hAnsi="Arial"/>
                <w:sz w:val="17"/>
                <w:szCs w:val="17"/>
                <w:color w:val="auto"/>
                <w:w w:val="86"/>
              </w:rPr>
              <w:t>10/07/2014</w:t>
            </w:r>
          </w:p>
        </w:tc>
        <w:tc>
          <w:tcPr>
            <w:tcW w:w="2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80,000</w:t>
            </w: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$12.8125</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purchase</w:t>
            </w:r>
          </w:p>
        </w:tc>
        <w:tc>
          <w:tcPr>
            <w:tcW w:w="2140" w:type="dxa"/>
            <w:vAlign w:val="bottom"/>
            <w:tcBorders>
              <w:bottom w:val="single" w:sz="8" w:color="auto"/>
              <w:right w:val="single" w:sz="8" w:color="auto"/>
            </w:tcBorders>
          </w:tcPr>
          <w:p>
            <w:pPr>
              <w:jc w:val="right"/>
              <w:ind w:right="1294"/>
              <w:spacing w:after="0"/>
              <w:rPr>
                <w:sz w:val="20"/>
                <w:szCs w:val="20"/>
                <w:color w:val="auto"/>
              </w:rPr>
            </w:pPr>
            <w:r>
              <w:rPr>
                <w:rFonts w:ascii="Arial" w:cs="Arial" w:eastAsia="Arial" w:hAnsi="Arial"/>
                <w:sz w:val="17"/>
                <w:szCs w:val="17"/>
                <w:color w:val="auto"/>
                <w:w w:val="86"/>
              </w:rPr>
              <w:t>10/07/2014</w:t>
            </w:r>
          </w:p>
        </w:tc>
        <w:tc>
          <w:tcPr>
            <w:tcW w:w="2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738,000</w:t>
            </w: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$12.7971</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purchase</w:t>
            </w:r>
          </w:p>
        </w:tc>
        <w:tc>
          <w:tcPr>
            <w:tcW w:w="2140" w:type="dxa"/>
            <w:vAlign w:val="bottom"/>
            <w:tcBorders>
              <w:bottom w:val="single" w:sz="8" w:color="auto"/>
              <w:right w:val="single" w:sz="8" w:color="auto"/>
            </w:tcBorders>
          </w:tcPr>
          <w:p>
            <w:pPr>
              <w:jc w:val="right"/>
              <w:ind w:right="1294"/>
              <w:spacing w:after="0"/>
              <w:rPr>
                <w:sz w:val="20"/>
                <w:szCs w:val="20"/>
                <w:color w:val="auto"/>
              </w:rPr>
            </w:pPr>
            <w:r>
              <w:rPr>
                <w:rFonts w:ascii="Arial" w:cs="Arial" w:eastAsia="Arial" w:hAnsi="Arial"/>
                <w:sz w:val="17"/>
                <w:szCs w:val="17"/>
                <w:color w:val="auto"/>
                <w:w w:val="86"/>
              </w:rPr>
              <w:t>10/07/2014</w:t>
            </w:r>
          </w:p>
        </w:tc>
        <w:tc>
          <w:tcPr>
            <w:tcW w:w="2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50,000</w:t>
            </w: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$12.6100</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purchase</w:t>
            </w:r>
          </w:p>
        </w:tc>
        <w:tc>
          <w:tcPr>
            <w:tcW w:w="2140" w:type="dxa"/>
            <w:vAlign w:val="bottom"/>
            <w:tcBorders>
              <w:bottom w:val="single" w:sz="8" w:color="auto"/>
              <w:right w:val="single" w:sz="8" w:color="auto"/>
            </w:tcBorders>
          </w:tcPr>
          <w:p>
            <w:pPr>
              <w:jc w:val="right"/>
              <w:ind w:right="1294"/>
              <w:spacing w:after="0"/>
              <w:rPr>
                <w:sz w:val="20"/>
                <w:szCs w:val="20"/>
                <w:color w:val="auto"/>
              </w:rPr>
            </w:pPr>
            <w:r>
              <w:rPr>
                <w:rFonts w:ascii="Arial" w:cs="Arial" w:eastAsia="Arial" w:hAnsi="Arial"/>
                <w:sz w:val="17"/>
                <w:szCs w:val="17"/>
                <w:color w:val="auto"/>
                <w:w w:val="86"/>
              </w:rPr>
              <w:t>10/07/2014</w:t>
            </w:r>
          </w:p>
        </w:tc>
        <w:tc>
          <w:tcPr>
            <w:tcW w:w="2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269,427</w:t>
            </w: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$12.8427</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purchase</w:t>
            </w:r>
          </w:p>
        </w:tc>
        <w:tc>
          <w:tcPr>
            <w:tcW w:w="2140" w:type="dxa"/>
            <w:vAlign w:val="bottom"/>
            <w:tcBorders>
              <w:bottom w:val="single" w:sz="8" w:color="auto"/>
              <w:right w:val="single" w:sz="8" w:color="auto"/>
            </w:tcBorders>
          </w:tcPr>
          <w:p>
            <w:pPr>
              <w:jc w:val="right"/>
              <w:ind w:right="1294"/>
              <w:spacing w:after="0"/>
              <w:rPr>
                <w:sz w:val="20"/>
                <w:szCs w:val="20"/>
                <w:color w:val="auto"/>
              </w:rPr>
            </w:pPr>
            <w:r>
              <w:rPr>
                <w:rFonts w:ascii="Arial" w:cs="Arial" w:eastAsia="Arial" w:hAnsi="Arial"/>
                <w:sz w:val="17"/>
                <w:szCs w:val="17"/>
                <w:color w:val="auto"/>
                <w:w w:val="86"/>
              </w:rPr>
              <w:t>10/07/2014</w:t>
            </w:r>
          </w:p>
        </w:tc>
        <w:tc>
          <w:tcPr>
            <w:tcW w:w="2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200</w:t>
            </w: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$12.6550</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purchase</w:t>
            </w:r>
          </w:p>
        </w:tc>
        <w:tc>
          <w:tcPr>
            <w:tcW w:w="2140" w:type="dxa"/>
            <w:vAlign w:val="bottom"/>
            <w:tcBorders>
              <w:bottom w:val="single" w:sz="8" w:color="auto"/>
              <w:right w:val="single" w:sz="8" w:color="auto"/>
            </w:tcBorders>
          </w:tcPr>
          <w:p>
            <w:pPr>
              <w:jc w:val="right"/>
              <w:ind w:right="1294"/>
              <w:spacing w:after="0"/>
              <w:rPr>
                <w:sz w:val="20"/>
                <w:szCs w:val="20"/>
                <w:color w:val="auto"/>
              </w:rPr>
            </w:pPr>
            <w:r>
              <w:rPr>
                <w:rFonts w:ascii="Arial" w:cs="Arial" w:eastAsia="Arial" w:hAnsi="Arial"/>
                <w:sz w:val="17"/>
                <w:szCs w:val="17"/>
                <w:color w:val="auto"/>
                <w:w w:val="86"/>
              </w:rPr>
              <w:t>10/08/2014</w:t>
            </w:r>
          </w:p>
        </w:tc>
        <w:tc>
          <w:tcPr>
            <w:tcW w:w="2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364,050</w:t>
            </w: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$12.5659</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purchase</w:t>
            </w:r>
          </w:p>
        </w:tc>
        <w:tc>
          <w:tcPr>
            <w:tcW w:w="2140" w:type="dxa"/>
            <w:vAlign w:val="bottom"/>
            <w:tcBorders>
              <w:bottom w:val="single" w:sz="8" w:color="auto"/>
              <w:right w:val="single" w:sz="8" w:color="auto"/>
            </w:tcBorders>
          </w:tcPr>
          <w:p>
            <w:pPr>
              <w:jc w:val="right"/>
              <w:ind w:right="1294"/>
              <w:spacing w:after="0"/>
              <w:rPr>
                <w:sz w:val="20"/>
                <w:szCs w:val="20"/>
                <w:color w:val="auto"/>
              </w:rPr>
            </w:pPr>
            <w:r>
              <w:rPr>
                <w:rFonts w:ascii="Arial" w:cs="Arial" w:eastAsia="Arial" w:hAnsi="Arial"/>
                <w:sz w:val="17"/>
                <w:szCs w:val="17"/>
                <w:color w:val="auto"/>
                <w:w w:val="86"/>
              </w:rPr>
              <w:t>10/08/2014</w:t>
            </w:r>
          </w:p>
        </w:tc>
        <w:tc>
          <w:tcPr>
            <w:tcW w:w="2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568,000</w:t>
            </w: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$12.6500</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purchase</w:t>
            </w:r>
          </w:p>
        </w:tc>
        <w:tc>
          <w:tcPr>
            <w:tcW w:w="2140" w:type="dxa"/>
            <w:vAlign w:val="bottom"/>
            <w:tcBorders>
              <w:bottom w:val="single" w:sz="8" w:color="auto"/>
              <w:right w:val="single" w:sz="8" w:color="auto"/>
            </w:tcBorders>
          </w:tcPr>
          <w:p>
            <w:pPr>
              <w:jc w:val="right"/>
              <w:ind w:right="1294"/>
              <w:spacing w:after="0"/>
              <w:rPr>
                <w:sz w:val="20"/>
                <w:szCs w:val="20"/>
                <w:color w:val="auto"/>
              </w:rPr>
            </w:pPr>
            <w:r>
              <w:rPr>
                <w:rFonts w:ascii="Arial" w:cs="Arial" w:eastAsia="Arial" w:hAnsi="Arial"/>
                <w:sz w:val="17"/>
                <w:szCs w:val="17"/>
                <w:color w:val="auto"/>
                <w:w w:val="86"/>
              </w:rPr>
              <w:t>10/08/2014</w:t>
            </w:r>
          </w:p>
        </w:tc>
        <w:tc>
          <w:tcPr>
            <w:tcW w:w="2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100</w:t>
            </w: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$12.4750</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purchase</w:t>
            </w:r>
          </w:p>
        </w:tc>
        <w:tc>
          <w:tcPr>
            <w:tcW w:w="2140" w:type="dxa"/>
            <w:vAlign w:val="bottom"/>
            <w:tcBorders>
              <w:bottom w:val="single" w:sz="8" w:color="auto"/>
              <w:right w:val="single" w:sz="8" w:color="auto"/>
            </w:tcBorders>
          </w:tcPr>
          <w:p>
            <w:pPr>
              <w:jc w:val="right"/>
              <w:ind w:right="1294"/>
              <w:spacing w:after="0"/>
              <w:rPr>
                <w:sz w:val="20"/>
                <w:szCs w:val="20"/>
                <w:color w:val="auto"/>
              </w:rPr>
            </w:pPr>
            <w:r>
              <w:rPr>
                <w:rFonts w:ascii="Arial" w:cs="Arial" w:eastAsia="Arial" w:hAnsi="Arial"/>
                <w:sz w:val="17"/>
                <w:szCs w:val="17"/>
                <w:color w:val="auto"/>
                <w:w w:val="86"/>
              </w:rPr>
              <w:t>10/09/2014</w:t>
            </w:r>
          </w:p>
        </w:tc>
        <w:tc>
          <w:tcPr>
            <w:tcW w:w="2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200,000</w:t>
            </w: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$12.3796</w:t>
            </w:r>
          </w:p>
        </w:tc>
      </w:tr>
      <w:tr>
        <w:trPr>
          <w:trHeight w:val="212"/>
        </w:trPr>
        <w:tc>
          <w:tcPr>
            <w:tcW w:w="2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Open market purchase</w:t>
            </w:r>
          </w:p>
        </w:tc>
        <w:tc>
          <w:tcPr>
            <w:tcW w:w="2140" w:type="dxa"/>
            <w:vAlign w:val="bottom"/>
            <w:tcBorders>
              <w:bottom w:val="single" w:sz="8" w:color="auto"/>
              <w:right w:val="single" w:sz="8" w:color="auto"/>
            </w:tcBorders>
          </w:tcPr>
          <w:p>
            <w:pPr>
              <w:jc w:val="right"/>
              <w:ind w:right="1294"/>
              <w:spacing w:after="0"/>
              <w:rPr>
                <w:sz w:val="20"/>
                <w:szCs w:val="20"/>
                <w:color w:val="auto"/>
              </w:rPr>
            </w:pPr>
            <w:r>
              <w:rPr>
                <w:rFonts w:ascii="Arial" w:cs="Arial" w:eastAsia="Arial" w:hAnsi="Arial"/>
                <w:sz w:val="17"/>
                <w:szCs w:val="17"/>
                <w:color w:val="auto"/>
                <w:w w:val="86"/>
              </w:rPr>
              <w:t>10/09/2014</w:t>
            </w:r>
          </w:p>
        </w:tc>
        <w:tc>
          <w:tcPr>
            <w:tcW w:w="2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100,278</w:t>
            </w:r>
          </w:p>
        </w:tc>
        <w:tc>
          <w:tcPr>
            <w:tcW w:w="212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7"/>
                <w:szCs w:val="17"/>
                <w:color w:val="auto"/>
                <w:w w:val="87"/>
              </w:rPr>
              <w:t>$12.3533</w:t>
            </w:r>
          </w:p>
        </w:tc>
      </w:tr>
    </w:tbl>
    <w:p>
      <w:pPr>
        <w:spacing w:after="0" w:line="211" w:lineRule="exact"/>
        <w:rPr>
          <w:sz w:val="20"/>
          <w:szCs w:val="20"/>
          <w:color w:val="auto"/>
        </w:rPr>
      </w:pPr>
    </w:p>
    <w:p>
      <w:pPr>
        <w:ind w:left="340" w:hanging="337"/>
        <w:spacing w:after="0"/>
        <w:tabs>
          <w:tab w:leader="none" w:pos="340" w:val="left"/>
        </w:tabs>
        <w:numPr>
          <w:ilvl w:val="0"/>
          <w:numId w:val="45"/>
        </w:numPr>
        <w:rPr>
          <w:rFonts w:ascii="Arial" w:cs="Arial" w:eastAsia="Arial" w:hAnsi="Arial"/>
          <w:sz w:val="21"/>
          <w:szCs w:val="21"/>
          <w:color w:val="auto"/>
        </w:rPr>
      </w:pPr>
      <w:r>
        <w:rPr>
          <w:rFonts w:ascii="Arial" w:cs="Arial" w:eastAsia="Arial" w:hAnsi="Arial"/>
          <w:sz w:val="21"/>
          <w:szCs w:val="21"/>
          <w:color w:val="auto"/>
        </w:rPr>
        <w:t>Not applicable.</w:t>
      </w:r>
    </w:p>
    <w:p>
      <w:pPr>
        <w:spacing w:after="0" w:line="232" w:lineRule="exact"/>
        <w:rPr>
          <w:rFonts w:ascii="Arial" w:cs="Arial" w:eastAsia="Arial" w:hAnsi="Arial"/>
          <w:sz w:val="21"/>
          <w:szCs w:val="21"/>
          <w:color w:val="auto"/>
        </w:rPr>
      </w:pPr>
    </w:p>
    <w:p>
      <w:pPr>
        <w:ind w:left="280" w:hanging="277"/>
        <w:spacing w:after="0"/>
        <w:tabs>
          <w:tab w:leader="none" w:pos="2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237"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Contracts, Arrangements, Understandings or Relationships with Respect to Securities of the Issuer</w:t>
      </w:r>
    </w:p>
    <w:p>
      <w:pPr>
        <w:spacing w:after="0" w:line="24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Funds have entered into cash settled swaps (the “Swaps”) with respect to an aggregate of 4,404,002 shares of Common Stock. The Swaps provide the Funds with economic results that are comparable to the economic results of ownership but do not provide them (or Reporting Persons acting on their behalf) with the power to vote or direct the voting or dispose of or direct the disposition of any shares of Common Stock. The counterparties to the Swaps are unaffiliated third party financial institutions.</w:t>
      </w:r>
    </w:p>
    <w:p>
      <w:pPr>
        <w:spacing w:after="0" w:line="199"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5"/>
          <w:szCs w:val="15"/>
          <w:b w:val="1"/>
          <w:bCs w:val="1"/>
          <w:color w:val="auto"/>
        </w:rPr>
        <w:t>Material to Be Filed as Exhibits</w:t>
      </w:r>
    </w:p>
    <w:p>
      <w:pPr>
        <w:spacing w:after="0" w:line="249"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color w:val="auto"/>
        </w:rPr>
        <w:t>Exhibit 99.1</w:t>
      </w:r>
      <w:r>
        <w:rPr>
          <w:sz w:val="20"/>
          <w:szCs w:val="20"/>
          <w:color w:val="auto"/>
        </w:rPr>
        <w:tab/>
      </w:r>
      <w:r>
        <w:rPr>
          <w:rFonts w:ascii="Arial" w:cs="Arial" w:eastAsia="Arial" w:hAnsi="Arial"/>
          <w:sz w:val="15"/>
          <w:szCs w:val="15"/>
          <w:color w:val="auto"/>
        </w:rPr>
        <w:t>Joint Filing Agreement, by and among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537210</wp:posOffset>
            </wp:positionV>
            <wp:extent cx="725741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9" w:name="page10"/>
    <w:bookmarkEnd w:id="9"/>
    <w:p>
      <w:pPr>
        <w:ind w:left="5520"/>
        <w:spacing w:after="0"/>
        <w:rPr>
          <w:sz w:val="20"/>
          <w:szCs w:val="20"/>
          <w:color w:val="auto"/>
        </w:rPr>
      </w:pPr>
      <w:r>
        <w:rPr>
          <w:rFonts w:ascii="Arial" w:cs="Arial" w:eastAsia="Arial" w:hAnsi="Arial"/>
          <w:sz w:val="17"/>
          <w:szCs w:val="17"/>
          <w:b w:val="1"/>
          <w:bCs w:val="1"/>
          <w:color w:val="auto"/>
        </w:rPr>
        <w:t>SIGNATURE</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43"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October 9, 2014</w:t>
      </w:r>
    </w:p>
    <w:p>
      <w:pPr>
        <w:spacing w:after="0" w:line="200" w:lineRule="exact"/>
        <w:rPr>
          <w:sz w:val="20"/>
          <w:szCs w:val="20"/>
          <w:color w:val="auto"/>
        </w:rPr>
      </w:pPr>
    </w:p>
    <w:p>
      <w:pPr>
        <w:spacing w:after="0" w:line="276"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Greenlight Capital, Inc.</w:t>
      </w:r>
    </w:p>
    <w:p>
      <w:pPr>
        <w:spacing w:after="0" w:line="243"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/s/DANIEL ROITMAN</w:t>
      </w:r>
    </w:p>
    <w:p>
      <w:pPr>
        <w:spacing w:after="0" w:line="22"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Daniel Roitman</w:t>
      </w:r>
    </w:p>
    <w:p>
      <w:pPr>
        <w:spacing w:after="0" w:line="11"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Chief Operating Officer</w:t>
      </w:r>
    </w:p>
    <w:p>
      <w:pPr>
        <w:spacing w:after="0" w:line="200" w:lineRule="exact"/>
        <w:rPr>
          <w:sz w:val="20"/>
          <w:szCs w:val="20"/>
          <w:color w:val="auto"/>
        </w:rPr>
      </w:pPr>
    </w:p>
    <w:p>
      <w:pPr>
        <w:spacing w:after="0" w:line="265"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DME Advisors GP, L.L.C.</w:t>
      </w:r>
    </w:p>
    <w:p>
      <w:pPr>
        <w:spacing w:after="0" w:line="243"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/s/DANIEL ROITMAN</w:t>
      </w:r>
    </w:p>
    <w:p>
      <w:pPr>
        <w:spacing w:after="0" w:line="22"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Daniel Roitman</w:t>
      </w:r>
    </w:p>
    <w:p>
      <w:pPr>
        <w:spacing w:after="0" w:line="11"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Chief Operating Officer</w:t>
      </w:r>
    </w:p>
    <w:p>
      <w:pPr>
        <w:spacing w:after="0" w:line="200" w:lineRule="exact"/>
        <w:rPr>
          <w:sz w:val="20"/>
          <w:szCs w:val="20"/>
          <w:color w:val="auto"/>
        </w:rPr>
      </w:pPr>
    </w:p>
    <w:p>
      <w:pPr>
        <w:spacing w:after="0" w:line="265"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DME Capital Management, LP</w:t>
      </w:r>
    </w:p>
    <w:p>
      <w:pPr>
        <w:spacing w:after="0" w:line="243"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/s/DANIEL ROITMAN</w:t>
      </w:r>
    </w:p>
    <w:p>
      <w:pPr>
        <w:spacing w:after="0" w:line="22"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Daniel Roitman</w:t>
      </w:r>
    </w:p>
    <w:p>
      <w:pPr>
        <w:spacing w:after="0" w:line="11"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Chief Operating Officer</w:t>
      </w:r>
    </w:p>
    <w:p>
      <w:pPr>
        <w:spacing w:after="0" w:line="200" w:lineRule="exact"/>
        <w:rPr>
          <w:sz w:val="20"/>
          <w:szCs w:val="20"/>
          <w:color w:val="auto"/>
        </w:rPr>
      </w:pPr>
    </w:p>
    <w:p>
      <w:pPr>
        <w:spacing w:after="0" w:line="265"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DME Advisors, L.P.</w:t>
      </w:r>
    </w:p>
    <w:p>
      <w:pPr>
        <w:spacing w:after="0" w:line="243"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/s/DANIEL ROITMAN</w:t>
      </w:r>
    </w:p>
    <w:p>
      <w:pPr>
        <w:spacing w:after="0" w:line="22"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Daniel Roitman</w:t>
      </w:r>
    </w:p>
    <w:p>
      <w:pPr>
        <w:spacing w:after="0" w:line="11"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Chief Operating Officer</w:t>
      </w:r>
    </w:p>
    <w:p>
      <w:pPr>
        <w:spacing w:after="0" w:line="233" w:lineRule="exact"/>
        <w:rPr>
          <w:sz w:val="20"/>
          <w:szCs w:val="20"/>
          <w:color w:val="auto"/>
        </w:rPr>
      </w:pPr>
    </w:p>
    <w:p>
      <w:pPr>
        <w:ind w:left="4020"/>
        <w:spacing w:after="0"/>
        <w:rPr>
          <w:sz w:val="20"/>
          <w:szCs w:val="20"/>
          <w:color w:val="auto"/>
        </w:rPr>
      </w:pPr>
      <w:r>
        <w:rPr>
          <w:rFonts w:ascii="Arial" w:cs="Arial" w:eastAsia="Arial" w:hAnsi="Arial"/>
          <w:sz w:val="17"/>
          <w:szCs w:val="17"/>
          <w:u w:val="single" w:color="auto"/>
          <w:color w:val="auto"/>
        </w:rPr>
        <w:t>/s/DANIEL ROITMAN**</w:t>
      </w:r>
    </w:p>
    <w:p>
      <w:pPr>
        <w:spacing w:after="0" w:line="22"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Daniel Roitman, on behalf of David Einhorn</w:t>
      </w:r>
    </w:p>
    <w:p>
      <w:pPr>
        <w:spacing w:after="0" w:line="200" w:lineRule="exact"/>
        <w:rPr>
          <w:sz w:val="20"/>
          <w:szCs w:val="20"/>
          <w:color w:val="auto"/>
        </w:rPr>
      </w:pPr>
    </w:p>
    <w:p>
      <w:pPr>
        <w:spacing w:after="0" w:line="265" w:lineRule="exact"/>
        <w:rPr>
          <w:sz w:val="20"/>
          <w:szCs w:val="20"/>
          <w:color w:val="auto"/>
        </w:rPr>
      </w:pPr>
    </w:p>
    <w:p>
      <w:pPr>
        <w:jc w:val="both"/>
        <w:ind w:firstLine="3"/>
        <w:spacing w:after="0" w:line="266" w:lineRule="auto"/>
        <w:tabs>
          <w:tab w:leader="none" w:pos="216"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Power of Attorney, executed by David Einhorn authorizing Harry Brandler and Daniel Roitman to sign and file this Schedule 13D on David Einhorn’s behalf, which was filed with a Schedule 13G filed with the Securities and Exchange Commission on July 18, 2005 by the Reporting Persons with respect to the Ordinary Shares of Flamel Technologies S.A., is hereby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527050</wp:posOffset>
            </wp:positionV>
            <wp:extent cx="725741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10" w:name="page11"/>
    <w:bookmarkEnd w:id="1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jc w:val="right"/>
        <w:spacing w:after="0"/>
        <w:rPr>
          <w:sz w:val="20"/>
          <w:szCs w:val="20"/>
          <w:color w:val="auto"/>
        </w:rPr>
      </w:pPr>
      <w:r>
        <w:rPr>
          <w:rFonts w:ascii="Arial" w:cs="Arial" w:eastAsia="Arial" w:hAnsi="Arial"/>
          <w:sz w:val="17"/>
          <w:szCs w:val="17"/>
          <w:b w:val="1"/>
          <w:bCs w:val="1"/>
          <w:u w:val="single" w:color="auto"/>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JOINT FILING AGREEMENT</w:t>
      </w:r>
    </w:p>
    <w:p>
      <w:pPr>
        <w:spacing w:after="0" w:line="24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This Joint Filing Agreement, dated as of October 9, 2014, is by and among Greenlight Capital, Inc., DME Advisors GP, LLC, DME Capital Management, LP, DME Advisors, L.P. and David Einhorn (collectively, the "Filers").</w:t>
      </w:r>
    </w:p>
    <w:p>
      <w:pPr>
        <w:spacing w:after="0" w:line="163" w:lineRule="exact"/>
        <w:rPr>
          <w:sz w:val="20"/>
          <w:szCs w:val="20"/>
          <w:color w:val="auto"/>
        </w:rPr>
      </w:pPr>
    </w:p>
    <w:p>
      <w:pPr>
        <w:jc w:val="both"/>
        <w:ind w:firstLine="620"/>
        <w:spacing w:after="0" w:line="312" w:lineRule="auto"/>
        <w:rPr>
          <w:sz w:val="20"/>
          <w:szCs w:val="20"/>
          <w:color w:val="auto"/>
        </w:rPr>
      </w:pPr>
      <w:r>
        <w:rPr>
          <w:rFonts w:ascii="Arial" w:cs="Arial" w:eastAsia="Arial" w:hAnsi="Arial"/>
          <w:sz w:val="16"/>
          <w:szCs w:val="16"/>
          <w:color w:val="auto"/>
        </w:rPr>
        <w:t>Each of the Filers may be required to file with the United States Securities and Exchange Commission a statement on Schedule 13G and/or 13D with respect to shares of Common Stock, $0.01 par value per share, of Civeo Corporation that may be beneficially owned by them from time to time.</w:t>
      </w:r>
    </w:p>
    <w:p>
      <w:pPr>
        <w:spacing w:after="0" w:line="141"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76"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This Joint Filing Agreement may be terminated by any of the Filers upon one week's prior written notice (or such lesser period of notice as the Filers may mutually agree) to the other party.</w:t>
      </w:r>
    </w:p>
    <w:p>
      <w:pPr>
        <w:spacing w:after="0" w:line="16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Executed and delivered as of the date first above written.</w:t>
      </w:r>
    </w:p>
    <w:p>
      <w:pPr>
        <w:spacing w:after="0" w:line="212" w:lineRule="exact"/>
        <w:rPr>
          <w:sz w:val="20"/>
          <w:szCs w:val="20"/>
          <w:color w:val="auto"/>
        </w:rPr>
      </w:pPr>
    </w:p>
    <w:p>
      <w:pPr>
        <w:ind w:left="4620"/>
        <w:spacing w:after="0"/>
        <w:rPr>
          <w:sz w:val="20"/>
          <w:szCs w:val="20"/>
          <w:color w:val="auto"/>
        </w:rPr>
      </w:pPr>
      <w:r>
        <w:rPr>
          <w:rFonts w:ascii="Arial" w:cs="Arial" w:eastAsia="Arial" w:hAnsi="Arial"/>
          <w:sz w:val="17"/>
          <w:szCs w:val="17"/>
          <w:b w:val="1"/>
          <w:bCs w:val="1"/>
          <w:color w:val="auto"/>
        </w:rPr>
        <w:t>GREENLIGHT CAPITAL, INC.</w:t>
      </w:r>
    </w:p>
    <w:p>
      <w:pPr>
        <w:spacing w:after="0" w:line="224"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By: /s/ Daniel Roitman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2935605</wp:posOffset>
            </wp:positionH>
            <wp:positionV relativeFrom="paragraph">
              <wp:posOffset>14605</wp:posOffset>
            </wp:positionV>
            <wp:extent cx="4318635"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318635" cy="16510"/>
                    </a:xfrm>
                    <a:prstGeom prst="rect">
                      <a:avLst/>
                    </a:prstGeom>
                    <a:noFill/>
                  </pic:spPr>
                </pic:pic>
              </a:graphicData>
            </a:graphic>
          </wp:anchor>
        </w:drawing>
      </w:r>
    </w:p>
    <w:p>
      <w:pPr>
        <w:spacing w:after="0" w:line="17"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Name: Daniel Roitman</w:t>
      </w:r>
    </w:p>
    <w:p>
      <w:pPr>
        <w:spacing w:after="0" w:line="22"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Title: Chief Operating Officer</w:t>
      </w:r>
    </w:p>
    <w:p>
      <w:pPr>
        <w:spacing w:after="0" w:line="200" w:lineRule="exact"/>
        <w:rPr>
          <w:sz w:val="20"/>
          <w:szCs w:val="20"/>
          <w:color w:val="auto"/>
        </w:rPr>
      </w:pPr>
    </w:p>
    <w:p>
      <w:pPr>
        <w:spacing w:after="0" w:line="207" w:lineRule="exact"/>
        <w:rPr>
          <w:sz w:val="20"/>
          <w:szCs w:val="20"/>
          <w:color w:val="auto"/>
        </w:rPr>
      </w:pPr>
    </w:p>
    <w:p>
      <w:pPr>
        <w:ind w:left="4620"/>
        <w:spacing w:after="0"/>
        <w:rPr>
          <w:sz w:val="20"/>
          <w:szCs w:val="20"/>
          <w:color w:val="auto"/>
        </w:rPr>
      </w:pPr>
      <w:r>
        <w:rPr>
          <w:rFonts w:ascii="Arial" w:cs="Arial" w:eastAsia="Arial" w:hAnsi="Arial"/>
          <w:sz w:val="17"/>
          <w:szCs w:val="17"/>
          <w:b w:val="1"/>
          <w:bCs w:val="1"/>
          <w:color w:val="auto"/>
        </w:rPr>
        <w:t>DME ADVISORS GP, L.L.C.</w:t>
      </w:r>
    </w:p>
    <w:p>
      <w:pPr>
        <w:spacing w:after="0" w:line="224"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By: /s/ Daniel Roitman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2935605</wp:posOffset>
            </wp:positionH>
            <wp:positionV relativeFrom="paragraph">
              <wp:posOffset>14605</wp:posOffset>
            </wp:positionV>
            <wp:extent cx="4318635"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18635" cy="16510"/>
                    </a:xfrm>
                    <a:prstGeom prst="rect">
                      <a:avLst/>
                    </a:prstGeom>
                    <a:noFill/>
                  </pic:spPr>
                </pic:pic>
              </a:graphicData>
            </a:graphic>
          </wp:anchor>
        </w:drawing>
      </w:r>
    </w:p>
    <w:p>
      <w:pPr>
        <w:spacing w:after="0" w:line="17"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Name: Daniel Roitman</w:t>
      </w:r>
    </w:p>
    <w:p>
      <w:pPr>
        <w:spacing w:after="0" w:line="22"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Title: Chief Operating Officer</w:t>
      </w:r>
    </w:p>
    <w:p>
      <w:pPr>
        <w:spacing w:after="0" w:line="200" w:lineRule="exact"/>
        <w:rPr>
          <w:sz w:val="20"/>
          <w:szCs w:val="20"/>
          <w:color w:val="auto"/>
        </w:rPr>
      </w:pPr>
    </w:p>
    <w:p>
      <w:pPr>
        <w:spacing w:after="0" w:line="207" w:lineRule="exact"/>
        <w:rPr>
          <w:sz w:val="20"/>
          <w:szCs w:val="20"/>
          <w:color w:val="auto"/>
        </w:rPr>
      </w:pPr>
    </w:p>
    <w:p>
      <w:pPr>
        <w:ind w:left="4620"/>
        <w:spacing w:after="0"/>
        <w:rPr>
          <w:sz w:val="20"/>
          <w:szCs w:val="20"/>
          <w:color w:val="auto"/>
        </w:rPr>
      </w:pPr>
      <w:r>
        <w:rPr>
          <w:rFonts w:ascii="Arial" w:cs="Arial" w:eastAsia="Arial" w:hAnsi="Arial"/>
          <w:sz w:val="17"/>
          <w:szCs w:val="17"/>
          <w:b w:val="1"/>
          <w:bCs w:val="1"/>
          <w:color w:val="auto"/>
        </w:rPr>
        <w:t>DME CAPITAL MANAGEMENT, LP</w:t>
      </w:r>
    </w:p>
    <w:p>
      <w:pPr>
        <w:spacing w:after="0" w:line="224"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By: /s/ Daniel Roitman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2935605</wp:posOffset>
            </wp:positionH>
            <wp:positionV relativeFrom="paragraph">
              <wp:posOffset>14605</wp:posOffset>
            </wp:positionV>
            <wp:extent cx="4318635"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18635" cy="16510"/>
                    </a:xfrm>
                    <a:prstGeom prst="rect">
                      <a:avLst/>
                    </a:prstGeom>
                    <a:noFill/>
                  </pic:spPr>
                </pic:pic>
              </a:graphicData>
            </a:graphic>
          </wp:anchor>
        </w:drawing>
      </w:r>
    </w:p>
    <w:p>
      <w:pPr>
        <w:spacing w:after="0" w:line="17"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Name: Daniel Roitman</w:t>
      </w:r>
    </w:p>
    <w:p>
      <w:pPr>
        <w:spacing w:after="0" w:line="22"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Title: Chief Operating Officer</w:t>
      </w:r>
    </w:p>
    <w:p>
      <w:pPr>
        <w:spacing w:after="0" w:line="200" w:lineRule="exact"/>
        <w:rPr>
          <w:sz w:val="20"/>
          <w:szCs w:val="20"/>
          <w:color w:val="auto"/>
        </w:rPr>
      </w:pPr>
    </w:p>
    <w:p>
      <w:pPr>
        <w:spacing w:after="0" w:line="207" w:lineRule="exact"/>
        <w:rPr>
          <w:sz w:val="20"/>
          <w:szCs w:val="20"/>
          <w:color w:val="auto"/>
        </w:rPr>
      </w:pPr>
    </w:p>
    <w:p>
      <w:pPr>
        <w:ind w:left="4620"/>
        <w:spacing w:after="0"/>
        <w:rPr>
          <w:sz w:val="20"/>
          <w:szCs w:val="20"/>
          <w:color w:val="auto"/>
        </w:rPr>
      </w:pPr>
      <w:r>
        <w:rPr>
          <w:rFonts w:ascii="Arial" w:cs="Arial" w:eastAsia="Arial" w:hAnsi="Arial"/>
          <w:sz w:val="17"/>
          <w:szCs w:val="17"/>
          <w:b w:val="1"/>
          <w:bCs w:val="1"/>
          <w:color w:val="auto"/>
        </w:rPr>
        <w:t>DME ADVISORS, L.P.</w:t>
      </w:r>
    </w:p>
    <w:p>
      <w:pPr>
        <w:spacing w:after="0" w:line="224"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By: /s/ Daniel Roitman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2935605</wp:posOffset>
            </wp:positionH>
            <wp:positionV relativeFrom="paragraph">
              <wp:posOffset>14605</wp:posOffset>
            </wp:positionV>
            <wp:extent cx="4318635"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18635" cy="16510"/>
                    </a:xfrm>
                    <a:prstGeom prst="rect">
                      <a:avLst/>
                    </a:prstGeom>
                    <a:noFill/>
                  </pic:spPr>
                </pic:pic>
              </a:graphicData>
            </a:graphic>
          </wp:anchor>
        </w:drawing>
      </w:r>
    </w:p>
    <w:p>
      <w:pPr>
        <w:spacing w:after="0" w:line="17"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Name: Daniel Roitman</w:t>
      </w:r>
    </w:p>
    <w:p>
      <w:pPr>
        <w:spacing w:after="0" w:line="22"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Title: Chief Operating Officer</w:t>
      </w:r>
    </w:p>
    <w:p>
      <w:pPr>
        <w:spacing w:after="0" w:line="200" w:lineRule="exact"/>
        <w:rPr>
          <w:sz w:val="20"/>
          <w:szCs w:val="20"/>
          <w:color w:val="auto"/>
        </w:rPr>
      </w:pPr>
    </w:p>
    <w:p>
      <w:pPr>
        <w:spacing w:after="0" w:line="207" w:lineRule="exact"/>
        <w:rPr>
          <w:sz w:val="20"/>
          <w:szCs w:val="20"/>
          <w:color w:val="auto"/>
        </w:rPr>
      </w:pPr>
    </w:p>
    <w:p>
      <w:pPr>
        <w:ind w:left="4620"/>
        <w:spacing w:after="0"/>
        <w:rPr>
          <w:sz w:val="20"/>
          <w:szCs w:val="20"/>
          <w:color w:val="auto"/>
        </w:rPr>
      </w:pPr>
      <w:r>
        <w:rPr>
          <w:rFonts w:ascii="Arial" w:cs="Arial" w:eastAsia="Arial" w:hAnsi="Arial"/>
          <w:sz w:val="17"/>
          <w:szCs w:val="17"/>
          <w:b w:val="1"/>
          <w:bCs w:val="1"/>
          <w:color w:val="auto"/>
        </w:rPr>
        <w:t>DAVID EINHORN</w:t>
      </w:r>
    </w:p>
    <w:p>
      <w:pPr>
        <w:spacing w:after="0" w:line="224"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/s/ Daniel Roitman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2935605</wp:posOffset>
            </wp:positionH>
            <wp:positionV relativeFrom="paragraph">
              <wp:posOffset>14605</wp:posOffset>
            </wp:positionV>
            <wp:extent cx="4318635"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18635" cy="16510"/>
                    </a:xfrm>
                    <a:prstGeom prst="rect">
                      <a:avLst/>
                    </a:prstGeom>
                    <a:noFill/>
                  </pic:spPr>
                </pic:pic>
              </a:graphicData>
            </a:graphic>
          </wp:anchor>
        </w:drawing>
      </w:r>
    </w:p>
    <w:p>
      <w:pPr>
        <w:spacing w:after="0" w:line="17"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Daniel Roitman, on behalf of David Einhorn</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bullet"/>
      <w:start w:val="1"/>
    </w:lvl>
  </w:abstractNum>
  <w:abstractNum w:abstractNumId="2">
    <w:nsid w:val="8EDBDAB"/>
    <w:multiLevelType w:val="hybridMultilevel"/>
    <w:lvl w:ilvl="0">
      <w:lvlJc w:val="left"/>
      <w:lvlText w:val="2"/>
      <w:numFmt w:val="bullet"/>
      <w:start w:val="1"/>
    </w:lvl>
    <w:lvl w:ilvl="1">
      <w:lvlJc w:val="left"/>
      <w:lvlText w:val="(%2)"/>
      <w:numFmt w:val="lowerLetter"/>
      <w:start w:val="1"/>
    </w:lvl>
  </w:abstractNum>
  <w:abstractNum w:abstractNumId="3">
    <w:nsid w:val="79838CB2"/>
    <w:multiLevelType w:val="hybridMultilevel"/>
    <w:lvl w:ilvl="0">
      <w:lvlJc w:val="left"/>
      <w:lvlText w:val="3"/>
      <w:numFmt w:val="bullet"/>
      <w:start w:val="1"/>
    </w:lvl>
  </w:abstractNum>
  <w:abstractNum w:abstractNumId="4">
    <w:nsid w:val="4353D0CD"/>
    <w:multiLevelType w:val="hybridMultilevel"/>
    <w:lvl w:ilvl="0">
      <w:lvlJc w:val="left"/>
      <w:lvlText w:val="4"/>
      <w:numFmt w:val="bullet"/>
      <w:start w:val="1"/>
    </w:lvl>
  </w:abstractNum>
  <w:abstractNum w:abstractNumId="5">
    <w:nsid w:val="B03E0C6"/>
    <w:multiLevelType w:val="hybridMultilevel"/>
    <w:lvl w:ilvl="0">
      <w:lvlJc w:val="left"/>
      <w:lvlText w:val="5"/>
      <w:numFmt w:val="bullet"/>
      <w:start w:val="1"/>
    </w:lvl>
  </w:abstractNum>
  <w:abstractNum w:abstractNumId="6">
    <w:nsid w:val="189A769B"/>
    <w:multiLevelType w:val="hybridMultilevel"/>
    <w:lvl w:ilvl="0">
      <w:lvlJc w:val="left"/>
      <w:lvlText w:val="6"/>
      <w:numFmt w:val="bullet"/>
      <w:start w:val="1"/>
    </w:lvl>
  </w:abstractNum>
  <w:abstractNum w:abstractNumId="7">
    <w:nsid w:val="54E49EB4"/>
    <w:multiLevelType w:val="hybridMultilevel"/>
    <w:lvl w:ilvl="0">
      <w:lvlJc w:val="left"/>
      <w:lvlText w:val="%1"/>
      <w:numFmt w:val="decimal"/>
      <w:start w:val="11"/>
    </w:lvl>
  </w:abstractNum>
  <w:abstractNum w:abstractNumId="8">
    <w:nsid w:val="71F32454"/>
    <w:multiLevelType w:val="hybridMultilevel"/>
    <w:lvl w:ilvl="0">
      <w:lvlJc w:val="left"/>
      <w:lvlText w:val="%1"/>
      <w:numFmt w:val="decimal"/>
      <w:start w:val="13"/>
    </w:lvl>
  </w:abstractNum>
  <w:abstractNum w:abstractNumId="9">
    <w:nsid w:val="2CA88611"/>
    <w:multiLevelType w:val="hybridMultilevel"/>
    <w:lvl w:ilvl="0">
      <w:lvlJc w:val="left"/>
      <w:lvlText w:val="1"/>
      <w:numFmt w:val="bullet"/>
      <w:start w:val="1"/>
    </w:lvl>
  </w:abstractNum>
  <w:abstractNum w:abstractNumId="10">
    <w:nsid w:val="836C40E"/>
    <w:multiLevelType w:val="hybridMultilevel"/>
    <w:lvl w:ilvl="0">
      <w:lvlJc w:val="left"/>
      <w:lvlText w:val="2"/>
      <w:numFmt w:val="bullet"/>
      <w:start w:val="1"/>
    </w:lvl>
    <w:lvl w:ilvl="1">
      <w:lvlJc w:val="left"/>
      <w:lvlText w:val="(%2)"/>
      <w:numFmt w:val="lowerLetter"/>
      <w:start w:val="1"/>
    </w:lvl>
  </w:abstractNum>
  <w:abstractNum w:abstractNumId="11">
    <w:nsid w:val="2901D82"/>
    <w:multiLevelType w:val="hybridMultilevel"/>
    <w:lvl w:ilvl="0">
      <w:lvlJc w:val="left"/>
      <w:lvlText w:val="3"/>
      <w:numFmt w:val="bullet"/>
      <w:start w:val="1"/>
    </w:lvl>
  </w:abstractNum>
  <w:abstractNum w:abstractNumId="12">
    <w:nsid w:val="3A95F874"/>
    <w:multiLevelType w:val="hybridMultilevel"/>
    <w:lvl w:ilvl="0">
      <w:lvlJc w:val="left"/>
      <w:lvlText w:val="4"/>
      <w:numFmt w:val="bullet"/>
      <w:start w:val="1"/>
    </w:lvl>
  </w:abstractNum>
  <w:abstractNum w:abstractNumId="13">
    <w:nsid w:val="8138641"/>
    <w:multiLevelType w:val="hybridMultilevel"/>
    <w:lvl w:ilvl="0">
      <w:lvlJc w:val="left"/>
      <w:lvlText w:val="5"/>
      <w:numFmt w:val="bullet"/>
      <w:start w:val="1"/>
    </w:lvl>
  </w:abstractNum>
  <w:abstractNum w:abstractNumId="14">
    <w:nsid w:val="1E7FF521"/>
    <w:multiLevelType w:val="hybridMultilevel"/>
    <w:lvl w:ilvl="0">
      <w:lvlJc w:val="left"/>
      <w:lvlText w:val="6"/>
      <w:numFmt w:val="bullet"/>
      <w:start w:val="1"/>
    </w:lvl>
  </w:abstractNum>
  <w:abstractNum w:abstractNumId="15">
    <w:nsid w:val="7C3DBD3D"/>
    <w:multiLevelType w:val="hybridMultilevel"/>
    <w:lvl w:ilvl="0">
      <w:lvlJc w:val="left"/>
      <w:lvlText w:val="%1"/>
      <w:numFmt w:val="decimal"/>
      <w:start w:val="11"/>
    </w:lvl>
  </w:abstractNum>
  <w:abstractNum w:abstractNumId="16">
    <w:nsid w:val="737B8DDC"/>
    <w:multiLevelType w:val="hybridMultilevel"/>
    <w:lvl w:ilvl="0">
      <w:lvlJc w:val="left"/>
      <w:lvlText w:val="%1"/>
      <w:numFmt w:val="decimal"/>
      <w:start w:val="13"/>
    </w:lvl>
  </w:abstractNum>
  <w:abstractNum w:abstractNumId="17">
    <w:nsid w:val="6CEAF087"/>
    <w:multiLevelType w:val="hybridMultilevel"/>
    <w:lvl w:ilvl="0">
      <w:lvlJc w:val="left"/>
      <w:lvlText w:val="1"/>
      <w:numFmt w:val="bullet"/>
      <w:start w:val="1"/>
    </w:lvl>
  </w:abstractNum>
  <w:abstractNum w:abstractNumId="18">
    <w:nsid w:val="22221A70"/>
    <w:multiLevelType w:val="hybridMultilevel"/>
    <w:lvl w:ilvl="0">
      <w:lvlJc w:val="left"/>
      <w:lvlText w:val="2"/>
      <w:numFmt w:val="bullet"/>
      <w:start w:val="1"/>
    </w:lvl>
    <w:lvl w:ilvl="1">
      <w:lvlJc w:val="left"/>
      <w:lvlText w:val="(%2)"/>
      <w:numFmt w:val="lowerLetter"/>
      <w:start w:val="1"/>
    </w:lvl>
  </w:abstractNum>
  <w:abstractNum w:abstractNumId="19">
    <w:nsid w:val="4516DDE9"/>
    <w:multiLevelType w:val="hybridMultilevel"/>
    <w:lvl w:ilvl="0">
      <w:lvlJc w:val="left"/>
      <w:lvlText w:val="3"/>
      <w:numFmt w:val="bullet"/>
      <w:start w:val="1"/>
    </w:lvl>
  </w:abstractNum>
  <w:abstractNum w:abstractNumId="20">
    <w:nsid w:val="3006C83E"/>
    <w:multiLevelType w:val="hybridMultilevel"/>
    <w:lvl w:ilvl="0">
      <w:lvlJc w:val="left"/>
      <w:lvlText w:val="4"/>
      <w:numFmt w:val="bullet"/>
      <w:start w:val="1"/>
    </w:lvl>
  </w:abstractNum>
  <w:abstractNum w:abstractNumId="21">
    <w:nsid w:val="614FD4A1"/>
    <w:multiLevelType w:val="hybridMultilevel"/>
    <w:lvl w:ilvl="0">
      <w:lvlJc w:val="left"/>
      <w:lvlText w:val="5"/>
      <w:numFmt w:val="bullet"/>
      <w:start w:val="1"/>
    </w:lvl>
  </w:abstractNum>
  <w:abstractNum w:abstractNumId="22">
    <w:nsid w:val="419AC241"/>
    <w:multiLevelType w:val="hybridMultilevel"/>
    <w:lvl w:ilvl="0">
      <w:lvlJc w:val="left"/>
      <w:lvlText w:val="6"/>
      <w:numFmt w:val="bullet"/>
      <w:start w:val="1"/>
    </w:lvl>
  </w:abstractNum>
  <w:abstractNum w:abstractNumId="23">
    <w:nsid w:val="5577F8E1"/>
    <w:multiLevelType w:val="hybridMultilevel"/>
    <w:lvl w:ilvl="0">
      <w:lvlJc w:val="left"/>
      <w:lvlText w:val="%1"/>
      <w:numFmt w:val="decimal"/>
      <w:start w:val="11"/>
    </w:lvl>
  </w:abstractNum>
  <w:abstractNum w:abstractNumId="24">
    <w:nsid w:val="440BADFC"/>
    <w:multiLevelType w:val="hybridMultilevel"/>
    <w:lvl w:ilvl="0">
      <w:lvlJc w:val="left"/>
      <w:lvlText w:val="%1"/>
      <w:numFmt w:val="decimal"/>
      <w:start w:val="13"/>
    </w:lvl>
  </w:abstractNum>
  <w:abstractNum w:abstractNumId="25">
    <w:nsid w:val="5072367"/>
    <w:multiLevelType w:val="hybridMultilevel"/>
    <w:lvl w:ilvl="0">
      <w:lvlJc w:val="left"/>
      <w:lvlText w:val="1"/>
      <w:numFmt w:val="bullet"/>
      <w:start w:val="1"/>
    </w:lvl>
  </w:abstractNum>
  <w:abstractNum w:abstractNumId="26">
    <w:nsid w:val="3804823E"/>
    <w:multiLevelType w:val="hybridMultilevel"/>
    <w:lvl w:ilvl="0">
      <w:lvlJc w:val="left"/>
      <w:lvlText w:val="2"/>
      <w:numFmt w:val="bullet"/>
      <w:start w:val="1"/>
    </w:lvl>
    <w:lvl w:ilvl="1">
      <w:lvlJc w:val="left"/>
      <w:lvlText w:val="(%2)"/>
      <w:numFmt w:val="lowerLetter"/>
      <w:start w:val="1"/>
    </w:lvl>
  </w:abstractNum>
  <w:abstractNum w:abstractNumId="27">
    <w:nsid w:val="77465F01"/>
    <w:multiLevelType w:val="hybridMultilevel"/>
    <w:lvl w:ilvl="0">
      <w:lvlJc w:val="left"/>
      <w:lvlText w:val="3"/>
      <w:numFmt w:val="bullet"/>
      <w:start w:val="1"/>
    </w:lvl>
  </w:abstractNum>
  <w:abstractNum w:abstractNumId="28">
    <w:nsid w:val="7724C67E"/>
    <w:multiLevelType w:val="hybridMultilevel"/>
    <w:lvl w:ilvl="0">
      <w:lvlJc w:val="left"/>
      <w:lvlText w:val="4"/>
      <w:numFmt w:val="bullet"/>
      <w:start w:val="1"/>
    </w:lvl>
  </w:abstractNum>
  <w:abstractNum w:abstractNumId="29">
    <w:nsid w:val="5C482A97"/>
    <w:multiLevelType w:val="hybridMultilevel"/>
    <w:lvl w:ilvl="0">
      <w:lvlJc w:val="left"/>
      <w:lvlText w:val="5"/>
      <w:numFmt w:val="bullet"/>
      <w:start w:val="1"/>
    </w:lvl>
  </w:abstractNum>
  <w:abstractNum w:abstractNumId="30">
    <w:nsid w:val="2463B9EA"/>
    <w:multiLevelType w:val="hybridMultilevel"/>
    <w:lvl w:ilvl="0">
      <w:lvlJc w:val="left"/>
      <w:lvlText w:val="6"/>
      <w:numFmt w:val="bullet"/>
      <w:start w:val="1"/>
    </w:lvl>
  </w:abstractNum>
  <w:abstractNum w:abstractNumId="31">
    <w:nsid w:val="5E884ADC"/>
    <w:multiLevelType w:val="hybridMultilevel"/>
    <w:lvl w:ilvl="0">
      <w:lvlJc w:val="left"/>
      <w:lvlText w:val="%1"/>
      <w:numFmt w:val="decimal"/>
      <w:start w:val="11"/>
    </w:lvl>
  </w:abstractNum>
  <w:abstractNum w:abstractNumId="32">
    <w:nsid w:val="51EAD36B"/>
    <w:multiLevelType w:val="hybridMultilevel"/>
    <w:lvl w:ilvl="0">
      <w:lvlJc w:val="left"/>
      <w:lvlText w:val="%1"/>
      <w:numFmt w:val="decimal"/>
      <w:start w:val="13"/>
    </w:lvl>
  </w:abstractNum>
  <w:abstractNum w:abstractNumId="33">
    <w:nsid w:val="2D517796"/>
    <w:multiLevelType w:val="hybridMultilevel"/>
    <w:lvl w:ilvl="0">
      <w:lvlJc w:val="left"/>
      <w:lvlText w:val="1"/>
      <w:numFmt w:val="bullet"/>
      <w:start w:val="1"/>
    </w:lvl>
  </w:abstractNum>
  <w:abstractNum w:abstractNumId="34">
    <w:nsid w:val="580BD78F"/>
    <w:multiLevelType w:val="hybridMultilevel"/>
    <w:lvl w:ilvl="0">
      <w:lvlJc w:val="left"/>
      <w:lvlText w:val="2"/>
      <w:numFmt w:val="bullet"/>
      <w:start w:val="1"/>
    </w:lvl>
    <w:lvl w:ilvl="1">
      <w:lvlJc w:val="left"/>
      <w:lvlText w:val="(%2)"/>
      <w:numFmt w:val="lowerLetter"/>
      <w:start w:val="1"/>
    </w:lvl>
  </w:abstractNum>
  <w:abstractNum w:abstractNumId="35">
    <w:nsid w:val="153EA438"/>
    <w:multiLevelType w:val="hybridMultilevel"/>
    <w:lvl w:ilvl="0">
      <w:lvlJc w:val="left"/>
      <w:lvlText w:val="3"/>
      <w:numFmt w:val="bullet"/>
      <w:start w:val="1"/>
    </w:lvl>
  </w:abstractNum>
  <w:abstractNum w:abstractNumId="36">
    <w:nsid w:val="3855585C"/>
    <w:multiLevelType w:val="hybridMultilevel"/>
    <w:lvl w:ilvl="0">
      <w:lvlJc w:val="left"/>
      <w:lvlText w:val="4"/>
      <w:numFmt w:val="bullet"/>
      <w:start w:val="1"/>
    </w:lvl>
  </w:abstractNum>
  <w:abstractNum w:abstractNumId="37">
    <w:nsid w:val="70A64E2A"/>
    <w:multiLevelType w:val="hybridMultilevel"/>
    <w:lvl w:ilvl="0">
      <w:lvlJc w:val="left"/>
      <w:lvlText w:val="5"/>
      <w:numFmt w:val="bullet"/>
      <w:start w:val="1"/>
    </w:lvl>
  </w:abstractNum>
  <w:abstractNum w:abstractNumId="38">
    <w:nsid w:val="6A2342EC"/>
    <w:multiLevelType w:val="hybridMultilevel"/>
    <w:lvl w:ilvl="0">
      <w:lvlJc w:val="left"/>
      <w:lvlText w:val="6"/>
      <w:numFmt w:val="bullet"/>
      <w:start w:val="1"/>
    </w:lvl>
  </w:abstractNum>
  <w:abstractNum w:abstractNumId="39">
    <w:nsid w:val="2A487CB0"/>
    <w:multiLevelType w:val="hybridMultilevel"/>
    <w:lvl w:ilvl="0">
      <w:lvlJc w:val="left"/>
      <w:lvlText w:val="%1"/>
      <w:numFmt w:val="decimal"/>
      <w:start w:val="11"/>
    </w:lvl>
  </w:abstractNum>
  <w:abstractNum w:abstractNumId="40">
    <w:nsid w:val="1D4ED43B"/>
    <w:multiLevelType w:val="hybridMultilevel"/>
    <w:lvl w:ilvl="0">
      <w:lvlJc w:val="left"/>
      <w:lvlText w:val="%1"/>
      <w:numFmt w:val="decimal"/>
      <w:start w:val="13"/>
    </w:lvl>
  </w:abstractNum>
  <w:abstractNum w:abstractNumId="41">
    <w:nsid w:val="725A06FB"/>
    <w:multiLevelType w:val="hybridMultilevel"/>
    <w:lvl w:ilvl="0">
      <w:lvlJc w:val="left"/>
      <w:lvlText w:val="(%1)"/>
      <w:numFmt w:val="lowerLetter"/>
      <w:start w:val="1"/>
    </w:lvl>
  </w:abstractNum>
  <w:abstractNum w:abstractNumId="42">
    <w:nsid w:val="2CD89A32"/>
    <w:multiLevelType w:val="hybridMultilevel"/>
    <w:lvl w:ilvl="0">
      <w:lvlJc w:val="left"/>
      <w:lvlText w:val="(%1)"/>
      <w:numFmt w:val="lowerLetter"/>
      <w:start w:val="2"/>
    </w:lvl>
  </w:abstractNum>
  <w:abstractNum w:abstractNumId="43">
    <w:nsid w:val="57E4CCAF"/>
    <w:multiLevelType w:val="hybridMultilevel"/>
    <w:lvl w:ilvl="0">
      <w:lvlJc w:val="left"/>
      <w:lvlText w:val="(%1)"/>
      <w:numFmt w:val="lowerLetter"/>
      <w:start w:val="3"/>
    </w:lvl>
  </w:abstractNum>
  <w:abstractNum w:abstractNumId="44">
    <w:nsid w:val="7A6D8D3C"/>
    <w:multiLevelType w:val="hybridMultilevel"/>
    <w:lvl w:ilvl="0">
      <w:lvlJc w:val="left"/>
      <w:lvlText w:val="(%1)"/>
      <w:numFmt w:val="lowerLetter"/>
      <w:start w:val="4"/>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2019-12-08T08:57:29Z</dcterms:created>
  <dcterms:modified xsi:type="dcterms:W3CDTF">2019-12-08T08:57:29Z</dcterms:modified>
</cp:coreProperties>
</file>