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July 29, 2022</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firstLine="365"/>
        <w:spacing w:after="0" w:line="263" w:lineRule="auto"/>
        <w:rPr>
          <w:sz w:val="20"/>
          <w:szCs w:val="20"/>
          <w:color w:val="auto"/>
        </w:rPr>
      </w:pPr>
      <w:r>
        <w:rPr>
          <w:rFonts w:ascii="Times New Roman" w:cs="Times New Roman" w:eastAsia="Times New Roman" w:hAnsi="Times New Roman"/>
          <w:sz w:val="22"/>
          <w:szCs w:val="22"/>
          <w:color w:val="auto"/>
        </w:rPr>
        <w:t>On July 29, 2022, Civeo Corporation (“Civeo”) issued a press release announcing its financial condition and results of operations as of and for the quarter ended June 30, 2022. A copy of the press release is furnished as Exhibit 99.1 to this report on Form 8-K, and is incorporated herein by reference.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700" w:hanging="47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654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020" w:type="dxa"/>
            <w:vAlign w:val="bottom"/>
          </w:tcPr>
          <w:p>
            <w:pPr>
              <w:spacing w:after="0"/>
              <w:rPr>
                <w:sz w:val="24"/>
                <w:szCs w:val="24"/>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Press Release dated July 29, 2022</w:t>
            </w:r>
          </w:p>
        </w:tc>
        <w:tc>
          <w:tcPr>
            <w:tcW w:w="6540" w:type="dxa"/>
            <w:vAlign w:val="bottom"/>
          </w:tcPr>
          <w:p>
            <w:pPr>
              <w:spacing w:after="0"/>
              <w:rPr>
                <w:sz w:val="24"/>
                <w:szCs w:val="24"/>
                <w:color w:val="auto"/>
              </w:rPr>
            </w:pPr>
          </w:p>
        </w:tc>
      </w:tr>
      <w:tr>
        <w:trPr>
          <w:trHeight w:val="4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(formatted as Inline XBRL and contained in Exhibit 101)</w:t>
            </w:r>
          </w:p>
        </w:tc>
      </w:tr>
      <w:tr>
        <w:trPr>
          <w:trHeight w:val="1385"/>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b w:val="1"/>
          <w:bCs w:val="1"/>
          <w:color w:val="auto"/>
        </w:rPr>
        <w:t>July 29, 2022</w:t>
      </w:r>
    </w:p>
    <w:p>
      <w:pPr>
        <w:spacing w:after="0" w:line="26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Carolyn J. Stone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143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Carolyn J. Stone</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p>
      <w:pPr>
        <w:sectPr>
          <w:pgSz w:w="11900" w:h="16838" w:orient="portrait"/>
          <w:cols w:equalWidth="0" w:num="1">
            <w:col w:w="11220"/>
          </w:cols>
          <w:pgMar w:left="320" w:top="1296" w:right="35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Civeo Reports Second Quarter 2022 Results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Highlights include:</w:t>
      </w:r>
    </w:p>
    <w:p>
      <w:pPr>
        <w:spacing w:after="0" w:line="1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second quarter revenues of $185.0 million and net income of $9.1 million;</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net leverage ratio to 1.18x as of June 30, 2022 from 1.40x as of March 31, 2022;</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second quarter Adjusted EBITDA of $37.1 million;</w:t>
      </w:r>
    </w:p>
    <w:p>
      <w:pPr>
        <w:ind w:left="660" w:right="84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Awarded a 12-year contract renewal at Wapasu Lodge in the Canadian oil sands including approximately C$500 million of guaranteed take-or-pay revenues; and</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Today announced a 5-year integrated services contract with a new customer in South Australia with expected revenues of A$120 million.</w:t>
      </w:r>
    </w:p>
    <w:p>
      <w:pPr>
        <w:spacing w:after="0" w:line="21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HOUSTON and CALGARY, July 29, 2022 (BUSINESS WIRE) -- Civeo Corporation (NYSE:CVEO) today reported financial and operating results for the second quarter ended June 30,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2022, Civeo’s focus remained on operating safely, generating free cash flow and reducing our debt balance. Our</w:t>
      </w:r>
    </w:p>
    <w:p>
      <w:pPr>
        <w:spacing w:after="0" w:line="36"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Canadian business experienced increasing customer activity in the Canadian oil sands and robust pipeline work. In Australia, metallurgical coal and iron ore prices remained high, which is reflected in improved billed rooms both sequentially and year over year," stated Bradley J. Dodson, Civeo's President and Chief Executive Officer.</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Dodson continued, "We continue to prioritize operational execution with our customers and guests, and we were pleased to announce earlier this month a twelve-year contract renewal at our Wapasu Lodge. This contract is an example of our strategy of collaborating with our long-term partners to maximize value in the current operating environment in a mutually beneficial way."</w:t>
      </w:r>
    </w:p>
    <w:p>
      <w:pPr>
        <w:spacing w:after="0" w:line="196" w:lineRule="exact"/>
        <w:rPr>
          <w:sz w:val="20"/>
          <w:szCs w:val="20"/>
          <w:color w:val="auto"/>
        </w:rPr>
      </w:pPr>
    </w:p>
    <w:p>
      <w:pPr>
        <w:jc w:val="both"/>
        <w:ind w:right="640"/>
        <w:spacing w:after="0" w:line="253" w:lineRule="auto"/>
        <w:rPr>
          <w:sz w:val="20"/>
          <w:szCs w:val="20"/>
          <w:color w:val="auto"/>
        </w:rPr>
      </w:pPr>
      <w:r>
        <w:rPr>
          <w:rFonts w:ascii="Arial" w:cs="Arial" w:eastAsia="Arial" w:hAnsi="Arial"/>
          <w:sz w:val="18"/>
          <w:szCs w:val="18"/>
          <w:color w:val="auto"/>
        </w:rPr>
        <w:t>Mr. Dodson concluded, "We are excited about our recent integrated services contract award from a copper mining company in South Australia. This contract award is a testament to our integrated services growth and diversification potential as it encompasses a new customer, a new state in Australia and a new commodity."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2022 Results</w:t>
      </w:r>
    </w:p>
    <w:p>
      <w:pPr>
        <w:spacing w:after="0" w:line="15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the second quarter of 2022, Civeo generated revenues of $185.0 million and reported net income of $9.1 million, or $0.54 per diluted share. During the second quarter of 2022, Civeo produced operating cash flow of $21.7 million, Adjusted EBITDA of $37.1 million and free cash flow of $17.6 million.</w:t>
      </w:r>
    </w:p>
    <w:p>
      <w:pPr>
        <w:spacing w:after="0" w:line="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By comparison, in the second quarter of 2021, Civeo generated revenues of $154.2 million and reported a net loss of $0.5 million, or $0.03 per diluted share. The loss resulted in part from $7.9 million in costs associated with asset impairments on properties in Australia. During the second quarter of 2021, Civeo produced operating cash flow of $16.5 million, Adjusted EBITDA of $32.2 million and free cash flow of $13.7 million.</w:t>
      </w:r>
    </w:p>
    <w:p>
      <w:pPr>
        <w:spacing w:after="0" w:line="10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Overall, the increase in revenues and Adjusted EBITDA in the second quarter of 2022 compared to the second quarter of 2021 was primarily driven by improved occupancy in the Canadian lodges and increased Canadian mobile camp activity, as well as an increase in Australian village billed rooms.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2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(Unless otherwise noted, the following discussion compares the quarterly results for the second quarter of 2022 to the results for the second quarter of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3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During the second quarter of 2022, the Canadian segment generated revenues of $109.0 million, operating income of $11.2 million and Adjusted EBITDA of $28.7 million, compared to revenues of $83.3 million, operating income of $ 7.5 million and Adjusted EBITDA of $22.6 million in the second quarter of 2021. Results from the second quarter of 2022 reflect the impact of a weakened Canadian dollar relative to the U.S. dollar, which decreased revenues and Adjusted EBITDA by $4.4 million and $1.2 million, respectively.</w:t>
      </w:r>
    </w:p>
    <w:p>
      <w:pPr>
        <w:spacing w:after="0" w:line="21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On a constant currency basis, the Canadian segment experienced a 36% period-over-period increase in revenues largely due to increased mobile camp activity, as well as a 7% year-over-year increase in billed rooms, driven by</w:t>
      </w:r>
    </w:p>
    <w:p>
      <w:pPr>
        <w:sectPr>
          <w:pgSz w:w="11900" w:h="16838" w:orient="portrait"/>
          <w:cols w:equalWidth="0" w:num="1">
            <w:col w:w="11180"/>
          </w:cols>
          <w:pgMar w:left="320" w:top="889" w:right="399" w:bottom="1440" w:gutter="0" w:footer="0" w:header="0"/>
        </w:sectPr>
      </w:pPr>
    </w:p>
    <w:bookmarkStart w:id="5" w:name="page6"/>
    <w:bookmarkEnd w:id="5"/>
    <w:p>
      <w:pPr>
        <w:spacing w:after="0" w:line="287" w:lineRule="auto"/>
        <w:rPr>
          <w:sz w:val="20"/>
          <w:szCs w:val="20"/>
          <w:color w:val="auto"/>
        </w:rPr>
      </w:pPr>
      <w:r>
        <w:rPr>
          <w:rFonts w:ascii="Arial" w:cs="Arial" w:eastAsia="Arial" w:hAnsi="Arial"/>
          <w:sz w:val="18"/>
          <w:szCs w:val="18"/>
          <w:color w:val="auto"/>
        </w:rPr>
        <w:t>increased customer activity as a result of the recovery of oil prices and a reduced impact from COVID-19. Adjusted EBITDA for the Canadian segment increased 32% year-over-year primarily due to the aforementioned dynamics.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58"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During the second quarter of 2022, the Australian segment generated revenues of $ 67.8 million, operating income of $5.5 million and Adjusted EBITDA of $15.5 million, compared to revenues of $64.0 million, operating loss of $ 2.7 million and Adjusted EBITDA of $15.4 million in the second quarter of 2021. Operating loss for the second quarter of 2021 included asset impairment charges of $ 7.9 million. Results from the second quarter of 2022 reflect the impact of a weakened Australian dollar relative to the U.S. dollar, which decreased revenues and Adjusted EBITDA by $5.3 million and $1.2 million, respectively.</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a constant currency basis, the Australian segment experienced a 14% period-over-period increase in revenues, driven by an 8% year-over-year increase in billed rooms due to increased customer maintenance activity in the Bowen Basin. Adjusted EBITDA from the Australian</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segment increased 8% year-over-year due to higher village occupancy in the Bowen Basin, partially offset by increased costs of temporary labor due to ongoing labor shortages.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w:t>
      </w:r>
    </w:p>
    <w:p>
      <w:pPr>
        <w:spacing w:after="0" w:line="14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U.S. segment generated revenues of $8.1 million, an operating loss of $1.3 million and Adjusted EBITDA of $0.2 million in the second quarter of 2022, compared to revenues of $6.9 million, an operating loss of $1.1 million and Adjusted EBITDA of $0.3 million in the second quarter of 2021. Revenues increased year-over-year primarily due to the increased drilling activity positively impacting our wellsite services business, partially offset by the sale of the West Permian lodge in the fourth quarter of 2021. Adjusted EBITDA decreased slightly year-over-year primarily due to the sale of the West Permian lodge, largely offset by increased drilling activity positively impacting our wellsite services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4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As of June 30, 2022, Civeo had total liquidity of approximately $95.3 million, consisting of $90.5 million available under its revolving credit facilities and $4.8 million of cash on hand.</w:t>
      </w:r>
    </w:p>
    <w:p>
      <w:pPr>
        <w:spacing w:after="0" w:line="85" w:lineRule="exact"/>
        <w:rPr>
          <w:sz w:val="20"/>
          <w:szCs w:val="20"/>
          <w:color w:val="auto"/>
        </w:rPr>
      </w:pPr>
    </w:p>
    <w:p>
      <w:pPr>
        <w:ind w:right="40"/>
        <w:spacing w:after="0" w:line="318" w:lineRule="auto"/>
        <w:rPr>
          <w:sz w:val="20"/>
          <w:szCs w:val="20"/>
          <w:color w:val="auto"/>
        </w:rPr>
      </w:pPr>
      <w:r>
        <w:rPr>
          <w:rFonts w:ascii="Arial" w:cs="Arial" w:eastAsia="Arial" w:hAnsi="Arial"/>
          <w:sz w:val="17"/>
          <w:szCs w:val="17"/>
          <w:color w:val="auto"/>
        </w:rPr>
        <w:t>Civeo’s total debt outstanding on June 30, 2022 was $154.6 million, a $23.3 million decrease since March 31, 2022. The decrease consisted of $18.0 million in debt payments from cash flow generated by the business and favorable foreign currency translation of $5.3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Civeo reduced its net leverage ratio to 1.18x as of June 30, 2022 from 1.40x as of March 31, 2022.</w:t>
      </w:r>
    </w:p>
    <w:p>
      <w:pPr>
        <w:spacing w:after="0" w:line="13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During the second quarter of 2022, Civeo invested $5.1 million in capital expenditures compared to $3.2 million invested during the second quarter of 2021. Capital expenditures in both periods were predominantly related to maintenance spending on the Company’s lodges and villages.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2022 Guidance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2022, Civeo is increasing its previously provided revenue and Adjusted EBITDA guidance range to $660 million to $675</w:t>
      </w:r>
    </w:p>
    <w:p>
      <w:pPr>
        <w:spacing w:after="0" w:line="14" w:lineRule="exact"/>
        <w:rPr>
          <w:sz w:val="20"/>
          <w:szCs w:val="20"/>
          <w:color w:val="auto"/>
        </w:rPr>
      </w:pPr>
    </w:p>
    <w:p>
      <w:pPr>
        <w:ind w:right="500"/>
        <w:spacing w:after="0" w:line="263" w:lineRule="auto"/>
        <w:rPr>
          <w:sz w:val="20"/>
          <w:szCs w:val="20"/>
          <w:color w:val="auto"/>
        </w:rPr>
      </w:pPr>
      <w:r>
        <w:rPr>
          <w:rFonts w:ascii="Arial" w:cs="Arial" w:eastAsia="Arial" w:hAnsi="Arial"/>
          <w:sz w:val="17"/>
          <w:szCs w:val="17"/>
          <w:color w:val="auto"/>
        </w:rPr>
        <w:t>million and $95 million to $ 105 million, respectively. As previously disclosed when the Company announced the contract renewal for its Wapasu Lodge earlier this month, the Company is raising its full year 2022 capital expenditure guidance to $24 million to $29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Civeo will host a conference call to discuss its second quarter 2022 financial results today at 11:00 a.m. Eastern time. This call is being webcast and can be accessed at Civeo's website at www.civeo.com. Participants may also join the conference call by dialing (877) 423-9813 in the United States or (201) 689-8573 internationally and using the conference ID 13731837#. A replay will be available after the call by dialing (844) 512-2921 in the United States or (412) 317-6671 internationally and using the conference ID 13731837#.</w:t>
      </w:r>
    </w:p>
    <w:p>
      <w:pPr>
        <w:sectPr>
          <w:pgSz w:w="11900" w:h="16838" w:orient="portrait"/>
          <w:cols w:equalWidth="0" w:num="1">
            <w:col w:w="11200"/>
          </w:cols>
          <w:pgMar w:left="320" w:top="890"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About Civeo</w:t>
      </w:r>
    </w:p>
    <w:p>
      <w:pPr>
        <w:spacing w:after="0" w:line="15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27 lodges and villages in Canada, Australia and the U.S., with an aggregate of over 28,000 rooms. Civeo is publicly traded under the symbol CVEO on the New York Stock Exchange. For more information, please visit Civeo's website at www.civeo.com.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future plans and outlook, including guidance, current trends and liquidity needs, and ability to pay down debt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global health concerns and pandemics, including the COVID-19 pandemic, any increases in or severity of COVID-19 cases (including due to existing or new variants) and the risk that room occupancy may decline if our customers are limited or restricted in the availability of personnel who may become ill or be subjected to quarantine,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inflation, global weather conditions, natural disasters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EBITDA is a non-GAAP financial measure that is defined as net income (loss) plus interest, taxes, depreciation and amortization, and Adjusted EBITDA is defined as EBITDA adjusted to exclude certain other unusual or non-operating items. Free cash flow is a non-GAAP financial measure that is defined as net cash flows provided by operating activities less capital expenditures plus proceeds from asset sales.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See “Non-GAAP Reconciliation” below for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240"/>
          </w:cols>
          <w:pgMar w:left="320" w:top="890"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7"/>
                <w:szCs w:val="17"/>
                <w:color w:val="auto"/>
              </w:rPr>
            </w:pPr>
          </w:p>
        </w:tc>
      </w:tr>
      <w:tr>
        <w:trPr>
          <w:trHeight w:val="262"/>
        </w:trPr>
        <w:tc>
          <w:tcPr>
            <w:tcW w:w="4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r>
      <w:tr>
        <w:trPr>
          <w:trHeight w:val="500"/>
        </w:trPr>
        <w:tc>
          <w:tcPr>
            <w:tcW w:w="4260" w:type="dxa"/>
            <w:vAlign w:val="bottom"/>
          </w:tcPr>
          <w:p>
            <w:pPr>
              <w:spacing w:after="0"/>
              <w:rPr>
                <w:sz w:val="20"/>
                <w:szCs w:val="20"/>
                <w:color w:val="auto"/>
              </w:rPr>
            </w:pPr>
            <w:r>
              <w:rPr>
                <w:rFonts w:ascii="Arial" w:cs="Arial" w:eastAsia="Arial" w:hAnsi="Arial"/>
                <w:sz w:val="14"/>
                <w:szCs w:val="14"/>
                <w:color w:val="auto"/>
              </w:rPr>
              <w:t>Revenues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184,954</w:t>
            </w:r>
          </w:p>
        </w:tc>
        <w:tc>
          <w:tcPr>
            <w:tcW w:w="2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154,176</w:t>
            </w:r>
          </w:p>
        </w:tc>
        <w:tc>
          <w:tcPr>
            <w:tcW w:w="2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350,632</w:t>
            </w:r>
          </w:p>
        </w:tc>
        <w:tc>
          <w:tcPr>
            <w:tcW w:w="2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279,606</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Costs and expenses: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130,053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108,002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255,896</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207,812</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17,682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14,703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32,895</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28,884</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23,083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21,377</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43,210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42,646</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30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7,935</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7,935</w:t>
            </w:r>
          </w:p>
        </w:tc>
      </w:tr>
      <w:tr>
        <w:trPr>
          <w:trHeight w:val="260"/>
        </w:trPr>
        <w:tc>
          <w:tcPr>
            <w:tcW w:w="4260" w:type="dxa"/>
            <w:vAlign w:val="bottom"/>
          </w:tcPr>
          <w:p>
            <w:pPr>
              <w:ind w:left="120"/>
              <w:spacing w:after="0"/>
              <w:rPr>
                <w:sz w:val="20"/>
                <w:szCs w:val="20"/>
                <w:color w:val="auto"/>
              </w:rPr>
            </w:pPr>
            <w:r>
              <w:rPr>
                <w:rFonts w:ascii="Arial" w:cs="Arial" w:eastAsia="Arial" w:hAnsi="Arial"/>
                <w:sz w:val="14"/>
                <w:szCs w:val="14"/>
                <w:color w:val="auto"/>
              </w:rPr>
              <w:t>Other operating (income) expense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w:t>
            </w:r>
          </w:p>
        </w:tc>
      </w:tr>
      <w:tr>
        <w:trPr>
          <w:trHeight w:val="237"/>
        </w:trPr>
        <w:tc>
          <w:tcPr>
            <w:tcW w:w="4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170,712</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152,047</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332,153</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287,378</w:t>
            </w:r>
          </w:p>
        </w:tc>
      </w:tr>
      <w:tr>
        <w:trPr>
          <w:trHeight w:val="233"/>
        </w:trPr>
        <w:tc>
          <w:tcPr>
            <w:tcW w:w="4260" w:type="dxa"/>
            <w:vAlign w:val="bottom"/>
          </w:tcPr>
          <w:p>
            <w:pPr>
              <w:spacing w:after="0"/>
              <w:rPr>
                <w:sz w:val="20"/>
                <w:szCs w:val="20"/>
                <w:color w:val="auto"/>
              </w:rPr>
            </w:pPr>
            <w:r>
              <w:rPr>
                <w:rFonts w:ascii="Arial" w:cs="Arial" w:eastAsia="Arial" w:hAnsi="Arial"/>
                <w:sz w:val="14"/>
                <w:szCs w:val="14"/>
                <w:color w:val="auto"/>
              </w:rPr>
              <w:t>Operating income (loss)</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14,242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2,129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18,479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(7,772)</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(2,608)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(3,401)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(5,076)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(6,763)</w:t>
            </w:r>
          </w:p>
        </w:tc>
      </w:tr>
      <w:tr>
        <w:trPr>
          <w:trHeight w:val="256"/>
        </w:trPr>
        <w:tc>
          <w:tcPr>
            <w:tcW w:w="4260" w:type="dxa"/>
            <w:vAlign w:val="bottom"/>
          </w:tcPr>
          <w:p>
            <w:pPr>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261"/>
        </w:trPr>
        <w:tc>
          <w:tcPr>
            <w:tcW w:w="4260" w:type="dxa"/>
            <w:vAlign w:val="bottom"/>
          </w:tcPr>
          <w:p>
            <w:pPr>
              <w:spacing w:after="0"/>
              <w:rPr>
                <w:sz w:val="20"/>
                <w:szCs w:val="20"/>
                <w:color w:val="auto"/>
              </w:rPr>
            </w:pPr>
            <w:r>
              <w:rPr>
                <w:rFonts w:ascii="Arial" w:cs="Arial" w:eastAsia="Arial" w:hAnsi="Arial"/>
                <w:sz w:val="14"/>
                <w:szCs w:val="14"/>
                <w:color w:val="auto"/>
              </w:rPr>
              <w:t>Other income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415</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788</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2,111</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5,702</w:t>
            </w:r>
          </w:p>
        </w:tc>
      </w:tr>
      <w:tr>
        <w:trPr>
          <w:trHeight w:val="233"/>
        </w:trPr>
        <w:tc>
          <w:tcPr>
            <w:tcW w:w="426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12,051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15,516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(8,831)</w:t>
            </w:r>
          </w:p>
        </w:tc>
      </w:tr>
      <w:tr>
        <w:trPr>
          <w:trHeight w:val="260"/>
        </w:trPr>
        <w:tc>
          <w:tcPr>
            <w:tcW w:w="426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(1,821)</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492</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(3,378)</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r>
      <w:tr>
        <w:trPr>
          <w:trHeight w:val="233"/>
        </w:trPr>
        <w:tc>
          <w:tcPr>
            <w:tcW w:w="4260" w:type="dxa"/>
            <w:vAlign w:val="bottom"/>
          </w:tcPr>
          <w:p>
            <w:pPr>
              <w:spacing w:after="0"/>
              <w:rPr>
                <w:sz w:val="20"/>
                <w:szCs w:val="20"/>
                <w:color w:val="auto"/>
              </w:rPr>
            </w:pPr>
            <w:r>
              <w:rPr>
                <w:rFonts w:ascii="Arial" w:cs="Arial" w:eastAsia="Arial" w:hAnsi="Arial"/>
                <w:sz w:val="14"/>
                <w:szCs w:val="14"/>
                <w:color w:val="auto"/>
              </w:rPr>
              <w:t>Net income (loss)</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10,230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12,138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(9,415)</w:t>
            </w:r>
          </w:p>
        </w:tc>
      </w:tr>
      <w:tr>
        <w:trPr>
          <w:trHeight w:val="260"/>
        </w:trPr>
        <w:tc>
          <w:tcPr>
            <w:tcW w:w="4260" w:type="dxa"/>
            <w:vAlign w:val="bottom"/>
          </w:tcPr>
          <w:p>
            <w:pPr>
              <w:ind w:left="120"/>
              <w:spacing w:after="0"/>
              <w:rPr>
                <w:sz w:val="20"/>
                <w:szCs w:val="20"/>
                <w:color w:val="auto"/>
              </w:rPr>
            </w:pPr>
            <w:r>
              <w:rPr>
                <w:rFonts w:ascii="Arial" w:cs="Arial" w:eastAsia="Arial" w:hAnsi="Arial"/>
                <w:sz w:val="14"/>
                <w:szCs w:val="14"/>
                <w:color w:val="auto"/>
              </w:rPr>
              <w:t>Less: Net income attributable to noncontrolling interest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662</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1,160</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w:t>
            </w:r>
          </w:p>
        </w:tc>
      </w:tr>
      <w:tr>
        <w:trPr>
          <w:trHeight w:val="233"/>
        </w:trPr>
        <w:tc>
          <w:tcPr>
            <w:tcW w:w="426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9,568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10,978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(9,471)</w:t>
            </w:r>
          </w:p>
        </w:tc>
      </w:tr>
      <w:tr>
        <w:trPr>
          <w:trHeight w:val="261"/>
        </w:trPr>
        <w:tc>
          <w:tcPr>
            <w:tcW w:w="4260" w:type="dxa"/>
            <w:vAlign w:val="bottom"/>
          </w:tcPr>
          <w:p>
            <w:pPr>
              <w:ind w:left="120"/>
              <w:spacing w:after="0"/>
              <w:rPr>
                <w:sz w:val="20"/>
                <w:szCs w:val="20"/>
                <w:color w:val="auto"/>
              </w:rPr>
            </w:pPr>
            <w:r>
              <w:rPr>
                <w:rFonts w:ascii="Arial" w:cs="Arial" w:eastAsia="Arial" w:hAnsi="Arial"/>
                <w:sz w:val="14"/>
                <w:szCs w:val="14"/>
                <w:color w:val="auto"/>
              </w:rPr>
              <w:t>Less: Dividends attributable to Class A preferred shares</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490</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480</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977</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958</w:t>
            </w:r>
          </w:p>
        </w:tc>
      </w:tr>
      <w:tr>
        <w:trPr>
          <w:trHeight w:val="213"/>
        </w:trPr>
        <w:tc>
          <w:tcPr>
            <w:tcW w:w="4260" w:type="dxa"/>
            <w:vAlign w:val="bottom"/>
          </w:tcPr>
          <w:p>
            <w:pPr>
              <w:spacing w:after="0"/>
              <w:rPr>
                <w:sz w:val="20"/>
                <w:szCs w:val="20"/>
                <w:color w:val="auto"/>
              </w:rPr>
            </w:pPr>
            <w:r>
              <w:rPr>
                <w:rFonts w:ascii="Arial" w:cs="Arial" w:eastAsia="Arial" w:hAnsi="Arial"/>
                <w:sz w:val="14"/>
                <w:szCs w:val="14"/>
                <w:color w:val="auto"/>
              </w:rPr>
              <w:t>Net income (loss) attributable to Civeo common shareholders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9,078</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10,001</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(10,429)</w:t>
            </w:r>
          </w:p>
        </w:tc>
      </w:tr>
      <w:tr>
        <w:trPr>
          <w:trHeight w:val="20"/>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72"/>
        </w:trPr>
        <w:tc>
          <w:tcPr>
            <w:tcW w:w="4560" w:type="dxa"/>
            <w:vAlign w:val="bottom"/>
            <w:gridSpan w:val="2"/>
          </w:tcPr>
          <w:p>
            <w:pPr>
              <w:spacing w:after="0"/>
              <w:rPr>
                <w:sz w:val="20"/>
                <w:szCs w:val="20"/>
                <w:color w:val="auto"/>
              </w:rPr>
            </w:pPr>
            <w:r>
              <w:rPr>
                <w:rFonts w:ascii="Arial" w:cs="Arial" w:eastAsia="Arial" w:hAnsi="Arial"/>
                <w:sz w:val="14"/>
                <w:szCs w:val="14"/>
                <w:color w:val="auto"/>
              </w:rPr>
              <w:t>Net income (loss) per share attributable to Civeo Corporation common</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4260" w:type="dxa"/>
            <w:vAlign w:val="bottom"/>
          </w:tcPr>
          <w:p>
            <w:pPr>
              <w:spacing w:after="0"/>
              <w:rPr>
                <w:sz w:val="20"/>
                <w:szCs w:val="20"/>
                <w:color w:val="auto"/>
              </w:rPr>
            </w:pPr>
            <w:r>
              <w:rPr>
                <w:rFonts w:ascii="Arial" w:cs="Arial" w:eastAsia="Arial" w:hAnsi="Arial"/>
                <w:sz w:val="14"/>
                <w:szCs w:val="14"/>
                <w:color w:val="auto"/>
              </w:rPr>
              <w:t>shareholders: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7"/>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0.55</w:t>
            </w:r>
          </w:p>
        </w:tc>
        <w:tc>
          <w:tcPr>
            <w:tcW w:w="2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(0.03)</w:t>
            </w:r>
          </w:p>
        </w:tc>
        <w:tc>
          <w:tcPr>
            <w:tcW w:w="24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0.60</w:t>
            </w:r>
          </w:p>
        </w:tc>
        <w:tc>
          <w:tcPr>
            <w:tcW w:w="2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(0.73)</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0.54</w:t>
            </w:r>
          </w:p>
        </w:tc>
        <w:tc>
          <w:tcPr>
            <w:tcW w:w="2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(0.03)</w:t>
            </w:r>
          </w:p>
        </w:tc>
        <w:tc>
          <w:tcPr>
            <w:tcW w:w="24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0.60</w:t>
            </w:r>
          </w:p>
        </w:tc>
        <w:tc>
          <w:tcPr>
            <w:tcW w:w="2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(0.73)</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14,148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14,278</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14,122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14,244</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14,275</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14,278</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14,271</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14,244</w:t>
            </w:r>
          </w:p>
        </w:tc>
      </w:tr>
    </w:tbl>
    <w:p>
      <w:pPr>
        <w:sectPr>
          <w:pgSz w:w="11900" w:h="16838" w:orient="portrait"/>
          <w:cols w:equalWidth="0" w:num="1">
            <w:col w:w="9180"/>
          </w:cols>
          <w:pgMar w:left="1360" w:top="1133" w:right="1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92" w:lineRule="exact"/>
        <w:rPr>
          <w:sz w:val="20"/>
          <w:szCs w:val="20"/>
          <w:color w:val="auto"/>
        </w:rPr>
      </w:pPr>
    </w:p>
    <w:tbl>
      <w:tblPr>
        <w:tblLayout w:type="fixed"/>
        <w:tblInd w:w="102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4,782</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6,282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134,845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114,859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7,382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6,468</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11,430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11,762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17,822</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169,724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157,193</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349,094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389,996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7,798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8,204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88,936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93,642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16,295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18,327</w:t>
            </w:r>
          </w:p>
        </w:tc>
        <w:tc>
          <w:tcPr>
            <w:tcW w:w="0" w:type="dxa"/>
            <w:vAlign w:val="bottom"/>
          </w:tcPr>
          <w:p>
            <w:pPr>
              <w:spacing w:after="0"/>
              <w:rPr>
                <w:sz w:val="1"/>
                <w:szCs w:val="1"/>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5,550</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5,372</w:t>
            </w:r>
          </w:p>
        </w:tc>
        <w:tc>
          <w:tcPr>
            <w:tcW w:w="0" w:type="dxa"/>
            <w:vAlign w:val="bottom"/>
          </w:tcPr>
          <w:p>
            <w:pPr>
              <w:spacing w:after="0"/>
              <w:rPr>
                <w:sz w:val="1"/>
                <w:szCs w:val="1"/>
                <w:color w:val="auto"/>
              </w:rPr>
            </w:pPr>
          </w:p>
        </w:tc>
      </w:tr>
      <w:tr>
        <w:trPr>
          <w:trHeight w:val="211"/>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637,397</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672,734</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3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45,360</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49,321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28,289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33,564</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29,880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30,576</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7,256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18,479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8,494</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4,807</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119,353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136,918</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123,018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142,602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3,999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13,438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15,429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13,778</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273,877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309,623</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Preferred shares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62,918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61,941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1,584,416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1,582,442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(903,492)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(912,951)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(9,063)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(8,050)</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(373,841)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(361,883)</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360,938</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361,499</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2,582</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10"/>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363,520</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363,111</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637,397</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672,734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Six Months Ended</w:t>
      </w:r>
    </w:p>
    <w:p>
      <w:pPr>
        <w:jc w:val="center"/>
        <w:ind w:left="5800"/>
        <w:spacing w:after="0"/>
        <w:rPr>
          <w:sz w:val="20"/>
          <w:szCs w:val="20"/>
          <w:color w:val="auto"/>
        </w:rPr>
      </w:pPr>
      <w:r>
        <w:rPr>
          <w:rFonts w:ascii="Arial" w:cs="Arial" w:eastAsia="Arial" w:hAnsi="Arial"/>
          <w:sz w:val="16"/>
          <w:szCs w:val="16"/>
          <w:b w:val="1"/>
          <w:bCs w:val="1"/>
          <w:color w:val="auto"/>
        </w:rPr>
        <w:t>June 30,</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491"/>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12,138</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(9,415)</w:t>
            </w:r>
          </w:p>
        </w:tc>
      </w:tr>
      <w:tr>
        <w:trPr>
          <w:trHeight w:val="205"/>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6"/>
                <w:szCs w:val="16"/>
                <w:color w:val="auto"/>
              </w:rPr>
              <w:t>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43,210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42,646</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7,935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expense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3,256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1,974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1,898</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Gains on disposals of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(1,941)</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Provision (benefit) for credit losses, net of recoveries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1,544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1,483</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(23,119)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(24,617)</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(830)</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(6,713)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(563)</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58"/>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assets and liabilities, net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(5,461)</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12,170</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operating activities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23,631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29,350</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(8,647)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(6,530)</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3,302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7,012</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(used in) investing activities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(5,155)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482</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(15,763)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(17,874)</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(12,104)</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financing activities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(19,894)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(31,098)</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r>
      <w:tr>
        <w:trPr>
          <w:trHeight w:val="235"/>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(1,741)</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6,282</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6,155</w:t>
            </w:r>
          </w:p>
        </w:tc>
      </w:tr>
      <w:tr>
        <w:trPr>
          <w:trHeight w:val="22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4,782</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4,414</w:t>
            </w:r>
          </w:p>
        </w:tc>
      </w:tr>
      <w:tr>
        <w:trPr>
          <w:trHeight w:val="20"/>
        </w:trPr>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5"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109,023</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83,281</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204,975</w:t>
            </w:r>
          </w:p>
        </w:tc>
        <w:tc>
          <w:tcPr>
            <w:tcW w:w="1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145,166</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67,820</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64,019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131,349</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123,656</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8,111</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6,876</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14,308</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10,784</w:t>
            </w:r>
          </w:p>
        </w:tc>
        <w:tc>
          <w:tcPr>
            <w:tcW w:w="0" w:type="dxa"/>
            <w:vAlign w:val="bottom"/>
          </w:tcPr>
          <w:p>
            <w:pPr>
              <w:spacing w:after="0"/>
              <w:rPr>
                <w:sz w:val="1"/>
                <w:szCs w:val="1"/>
                <w:color w:val="auto"/>
              </w:rPr>
            </w:pPr>
          </w:p>
        </w:tc>
      </w:tr>
      <w:tr>
        <w:trPr>
          <w:trHeight w:val="210"/>
        </w:trPr>
        <w:tc>
          <w:tcPr>
            <w:tcW w:w="336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184,954</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154,176</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350,632</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279,606</w:t>
            </w:r>
          </w:p>
        </w:tc>
        <w:tc>
          <w:tcPr>
            <w:tcW w:w="0" w:type="dxa"/>
            <w:vAlign w:val="bottom"/>
          </w:tcPr>
          <w:p>
            <w:pPr>
              <w:spacing w:after="0"/>
              <w:rPr>
                <w:sz w:val="1"/>
                <w:szCs w:val="1"/>
                <w:color w:val="auto"/>
              </w:rPr>
            </w:pPr>
          </w:p>
        </w:tc>
      </w:tr>
      <w:tr>
        <w:trPr>
          <w:trHeight w:val="21"/>
        </w:trPr>
        <w:tc>
          <w:tcPr>
            <w:tcW w:w="33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28,659</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22,604</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45,878</w:t>
            </w:r>
          </w:p>
        </w:tc>
        <w:tc>
          <w:tcPr>
            <w:tcW w:w="1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33,400</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15,537</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7,513</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30,974</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20,322</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221</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(7,339)</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(6,117)</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(14,442)</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(12,278)</w:t>
            </w:r>
          </w:p>
        </w:tc>
        <w:tc>
          <w:tcPr>
            <w:tcW w:w="0" w:type="dxa"/>
            <w:vAlign w:val="bottom"/>
          </w:tcPr>
          <w:p>
            <w:pPr>
              <w:spacing w:after="0"/>
              <w:rPr>
                <w:sz w:val="1"/>
                <w:szCs w:val="1"/>
                <w:color w:val="auto"/>
              </w:rPr>
            </w:pPr>
          </w:p>
        </w:tc>
      </w:tr>
      <w:tr>
        <w:trPr>
          <w:trHeight w:val="211"/>
        </w:trPr>
        <w:tc>
          <w:tcPr>
            <w:tcW w:w="336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37,078</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24,297</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62,640</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40,520</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28,659</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22,604</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45,878</w:t>
            </w:r>
          </w:p>
        </w:tc>
        <w:tc>
          <w:tcPr>
            <w:tcW w:w="1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33,400</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15,537</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15,448</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30,974</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28,257</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221</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(7,339)</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(6,117)</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(14,442)</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(12,278)</w:t>
            </w:r>
          </w:p>
        </w:tc>
        <w:tc>
          <w:tcPr>
            <w:tcW w:w="0" w:type="dxa"/>
            <w:vAlign w:val="bottom"/>
          </w:tcPr>
          <w:p>
            <w:pPr>
              <w:spacing w:after="0"/>
              <w:rPr>
                <w:sz w:val="1"/>
                <w:szCs w:val="1"/>
                <w:color w:val="auto"/>
              </w:rPr>
            </w:pPr>
          </w:p>
        </w:tc>
      </w:tr>
      <w:tr>
        <w:trPr>
          <w:trHeight w:val="210"/>
        </w:trPr>
        <w:tc>
          <w:tcPr>
            <w:tcW w:w="336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37,078</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32,232</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62,640</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48,455</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11,197</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7,452</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15,235</w:t>
            </w:r>
          </w:p>
        </w:tc>
        <w:tc>
          <w:tcPr>
            <w:tcW w:w="1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5,452</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(2,656)</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11,587</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(1,295)</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(2,904)</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(3,707)</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(5,439)</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(4,509)</w:t>
            </w:r>
          </w:p>
        </w:tc>
        <w:tc>
          <w:tcPr>
            <w:tcW w:w="0" w:type="dxa"/>
            <w:vAlign w:val="bottom"/>
          </w:tcPr>
          <w:p>
            <w:pPr>
              <w:spacing w:after="0"/>
              <w:rPr>
                <w:sz w:val="1"/>
                <w:szCs w:val="1"/>
                <w:color w:val="auto"/>
              </w:rPr>
            </w:pPr>
          </w:p>
        </w:tc>
      </w:tr>
      <w:tr>
        <w:trPr>
          <w:trHeight w:val="210"/>
        </w:trPr>
        <w:tc>
          <w:tcPr>
            <w:tcW w:w="3360" w:type="dxa"/>
            <w:vAlign w:val="bottom"/>
          </w:tcPr>
          <w:p>
            <w:pPr>
              <w:ind w:left="44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14,242</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18,479</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160"/>
          </w:cols>
          <w:pgMar w:left="1380" w:top="895" w:right="1359" w:bottom="1440" w:gutter="0" w:footer="0" w:header="0"/>
        </w:sectPr>
      </w:pPr>
    </w:p>
    <w:bookmarkStart w:id="11" w:name="page12"/>
    <w:bookmarkEnd w:id="11"/>
    <w:p>
      <w:pPr>
        <w:jc w:val="center"/>
        <w:ind w:right="-3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(unaudited)</w:t>
      </w:r>
    </w:p>
    <w:p>
      <w:pPr>
        <w:spacing w:after="0" w:line="265" w:lineRule="exact"/>
        <w:rPr>
          <w:sz w:val="20"/>
          <w:szCs w:val="20"/>
          <w:color w:val="auto"/>
        </w:rPr>
      </w:pPr>
    </w:p>
    <w:tbl>
      <w:tblPr>
        <w:tblLayout w:type="fixed"/>
        <w:tblInd w:w="2392"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0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Six Months Ended</w:t>
            </w:r>
          </w:p>
        </w:tc>
      </w:tr>
      <w:tr>
        <w:trPr>
          <w:trHeight w:val="223"/>
        </w:trPr>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r>
      <w:tr>
        <w:trPr>
          <w:trHeight w:val="263"/>
        </w:trPr>
        <w:tc>
          <w:tcPr>
            <w:tcW w:w="16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518"/>
        </w:trPr>
        <w:tc>
          <w:tcPr>
            <w:tcW w:w="168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37,078</w:t>
            </w:r>
          </w:p>
        </w:tc>
        <w:tc>
          <w:tcPr>
            <w:tcW w:w="1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24,297</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62,640</w:t>
            </w:r>
          </w:p>
        </w:tc>
        <w:tc>
          <w:tcPr>
            <w:tcW w:w="1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40,520</w:t>
            </w:r>
          </w:p>
        </w:tc>
      </w:tr>
      <w:tr>
        <w:trPr>
          <w:trHeight w:val="270"/>
        </w:trPr>
        <w:tc>
          <w:tcPr>
            <w:tcW w:w="168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37,078</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32,232</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62,640</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48,455</w:t>
            </w:r>
          </w:p>
        </w:tc>
      </w:tr>
      <w:tr>
        <w:trPr>
          <w:trHeight w:val="270"/>
        </w:trPr>
        <w:tc>
          <w:tcPr>
            <w:tcW w:w="168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17,561</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13,736</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18,286</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29,832</w:t>
            </w:r>
          </w:p>
        </w:tc>
      </w:tr>
    </w:tbl>
    <w:p>
      <w:pPr>
        <w:spacing w:after="0" w:line="312" w:lineRule="exact"/>
        <w:rPr>
          <w:sz w:val="20"/>
          <w:szCs w:val="20"/>
          <w:color w:val="auto"/>
        </w:rPr>
      </w:pPr>
    </w:p>
    <w:p>
      <w:pPr>
        <w:ind w:left="332" w:right="20" w:hanging="332"/>
        <w:spacing w:after="0" w:line="258" w:lineRule="auto"/>
        <w:tabs>
          <w:tab w:leader="none" w:pos="32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defined as net income (loss) attributable to Civeo Corporation plus interest, taxes, depreciation and amortization. The term Adjusted EBITDA is defined as EBITDA adjusted to exclude certain other unusual or non-operating ite</w:t>
      </w:r>
      <w:r>
        <w:rPr>
          <w:rFonts w:ascii="Arial" w:cs="Arial" w:eastAsia="Arial" w:hAnsi="Arial"/>
          <w:sz w:val="17"/>
          <w:szCs w:val="17"/>
          <w:color w:val="auto"/>
        </w:rPr>
        <w:t>ms</w:t>
      </w:r>
      <w:r>
        <w:rPr>
          <w:rFonts w:ascii="Arial" w:cs="Arial" w:eastAsia="Arial" w:hAnsi="Arial"/>
          <w:sz w:val="16"/>
          <w:szCs w:val="16"/>
          <w:color w:val="auto"/>
        </w:rPr>
        <w:t>.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23" w:lineRule="exact"/>
        <w:rPr>
          <w:rFonts w:ascii="Arial" w:cs="Arial" w:eastAsia="Arial" w:hAnsi="Arial"/>
          <w:sz w:val="16"/>
          <w:szCs w:val="16"/>
          <w:color w:val="auto"/>
        </w:rPr>
      </w:pPr>
    </w:p>
    <w:p>
      <w:pPr>
        <w:ind w:left="332" w:right="10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256" w:lineRule="exact"/>
        <w:rPr>
          <w:sz w:val="20"/>
          <w:szCs w:val="20"/>
          <w:color w:val="auto"/>
        </w:rPr>
      </w:pPr>
    </w:p>
    <w:tbl>
      <w:tblPr>
        <w:tblLayout w:type="fixed"/>
        <w:tblInd w:w="1432"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4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ind w:left="620"/>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12"/>
        </w:trPr>
        <w:tc>
          <w:tcPr>
            <w:tcW w:w="344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9,568</w:t>
            </w:r>
          </w:p>
        </w:tc>
        <w:tc>
          <w:tcPr>
            <w:tcW w:w="180" w:type="dxa"/>
            <w:vAlign w:val="bottom"/>
          </w:tcPr>
          <w:p>
            <w:pPr>
              <w:spacing w:after="0"/>
              <w:rPr>
                <w:sz w:val="24"/>
                <w:szCs w:val="2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24"/>
                <w:szCs w:val="2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10,978</w:t>
            </w:r>
          </w:p>
        </w:tc>
        <w:tc>
          <w:tcPr>
            <w:tcW w:w="180" w:type="dxa"/>
            <w:vAlign w:val="bottom"/>
          </w:tcPr>
          <w:p>
            <w:pPr>
              <w:spacing w:after="0"/>
              <w:rPr>
                <w:sz w:val="24"/>
                <w:szCs w:val="2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(9,471)</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6"/>
                <w:szCs w:val="16"/>
                <w:color w:val="auto"/>
              </w:rPr>
              <w:t>Corporation</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4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1,821</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(492)</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3,378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23,083</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21,377</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43,210</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42,646</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1"/>
        </w:trPr>
        <w:tc>
          <w:tcPr>
            <w:tcW w:w="344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2,608</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3,401</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5,076</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6,763</w:t>
            </w:r>
          </w:p>
        </w:tc>
        <w:tc>
          <w:tcPr>
            <w:tcW w:w="0" w:type="dxa"/>
            <w:vAlign w:val="bottom"/>
          </w:tcPr>
          <w:p>
            <w:pPr>
              <w:spacing w:after="0"/>
              <w:rPr>
                <w:sz w:val="1"/>
                <w:szCs w:val="1"/>
                <w:color w:val="auto"/>
              </w:rPr>
            </w:pPr>
          </w:p>
        </w:tc>
      </w:tr>
      <w:tr>
        <w:trPr>
          <w:trHeight w:val="249"/>
        </w:trPr>
        <w:tc>
          <w:tcPr>
            <w:tcW w:w="3440" w:type="dxa"/>
            <w:vAlign w:val="bottom"/>
          </w:tcPr>
          <w:p>
            <w:pPr>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37,078</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24,297</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62,640</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40,520</w:t>
            </w: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440" w:type="dxa"/>
            <w:vAlign w:val="bottom"/>
          </w:tcPr>
          <w:p>
            <w:pPr>
              <w:ind w:left="140"/>
              <w:spacing w:after="0"/>
              <w:rPr>
                <w:sz w:val="20"/>
                <w:szCs w:val="20"/>
                <w:color w:val="auto"/>
              </w:rPr>
            </w:pPr>
            <w:r>
              <w:rPr>
                <w:rFonts w:ascii="Arial" w:cs="Arial" w:eastAsia="Arial" w:hAnsi="Arial"/>
                <w:sz w:val="16"/>
                <w:szCs w:val="16"/>
                <w:color w:val="auto"/>
              </w:rPr>
              <w:t>Impairment of long-lived assets (a)</w:t>
            </w:r>
          </w:p>
        </w:tc>
        <w:tc>
          <w:tcPr>
            <w:tcW w:w="240" w:type="dxa"/>
            <w:vAlign w:val="bottom"/>
          </w:tcPr>
          <w:p>
            <w:pPr>
              <w:spacing w:after="0"/>
              <w:rPr>
                <w:sz w:val="23"/>
                <w:szCs w:val="23"/>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7,935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7,935</w:t>
            </w:r>
          </w:p>
        </w:tc>
        <w:tc>
          <w:tcPr>
            <w:tcW w:w="0" w:type="dxa"/>
            <w:vAlign w:val="bottom"/>
          </w:tcPr>
          <w:p>
            <w:pPr>
              <w:spacing w:after="0"/>
              <w:rPr>
                <w:sz w:val="1"/>
                <w:szCs w:val="1"/>
                <w:color w:val="auto"/>
              </w:rPr>
            </w:pPr>
          </w:p>
        </w:tc>
      </w:tr>
      <w:tr>
        <w:trPr>
          <w:trHeight w:val="224"/>
        </w:trPr>
        <w:tc>
          <w:tcPr>
            <w:tcW w:w="3440" w:type="dxa"/>
            <w:vAlign w:val="bottom"/>
          </w:tcPr>
          <w:p>
            <w:pPr>
              <w:spacing w:after="0"/>
              <w:rPr>
                <w:sz w:val="20"/>
                <w:szCs w:val="20"/>
                <w:color w:val="auto"/>
              </w:rPr>
            </w:pPr>
            <w:r>
              <w:rPr>
                <w:rFonts w:ascii="Arial" w:cs="Arial" w:eastAsia="Arial" w:hAnsi="Arial"/>
                <w:sz w:val="16"/>
                <w:szCs w:val="16"/>
                <w:color w:val="auto"/>
              </w:rPr>
              <w:t>EBITDA and Adjusted EBITDA</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37,078</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32,232</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62,640</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48,455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52" w:right="220" w:hanging="328"/>
        <w:spacing w:after="0" w:line="304" w:lineRule="auto"/>
        <w:tabs>
          <w:tab w:leader="none" w:pos="571" w:val="left"/>
        </w:tabs>
        <w:numPr>
          <w:ilvl w:val="1"/>
          <w:numId w:val="5"/>
        </w:numPr>
        <w:rPr>
          <w:rFonts w:ascii="Arial" w:cs="Arial" w:eastAsia="Arial" w:hAnsi="Arial"/>
          <w:sz w:val="16"/>
          <w:szCs w:val="16"/>
          <w:color w:val="auto"/>
        </w:rPr>
      </w:pPr>
      <w:r>
        <w:rPr>
          <w:rFonts w:ascii="Arial" w:cs="Arial" w:eastAsia="Arial" w:hAnsi="Arial"/>
          <w:sz w:val="16"/>
          <w:szCs w:val="16"/>
          <w:color w:val="auto"/>
        </w:rPr>
        <w:t>Relates to asset impairments in the second quarter of 2021.In the second quarter of 2021, we recorded a pre-tax loss related to the impairment of long-lived assets in our Australian segment of $7.9 million, which is included in Impairment expense on the unaudited statements of operations.</w:t>
      </w:r>
    </w:p>
    <w:p>
      <w:pPr>
        <w:spacing w:after="0" w:line="168" w:lineRule="exact"/>
        <w:rPr>
          <w:rFonts w:ascii="Arial" w:cs="Arial" w:eastAsia="Arial" w:hAnsi="Arial"/>
          <w:sz w:val="16"/>
          <w:szCs w:val="16"/>
          <w:color w:val="auto"/>
        </w:rPr>
      </w:pPr>
    </w:p>
    <w:p>
      <w:pPr>
        <w:ind w:left="332" w:hanging="332"/>
        <w:spacing w:after="0" w:line="259" w:lineRule="auto"/>
        <w:tabs>
          <w:tab w:leader="none" w:pos="32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annual incentive compensation plan.</w:t>
      </w:r>
    </w:p>
    <w:p>
      <w:pPr>
        <w:sectPr>
          <w:pgSz w:w="11900" w:h="16838" w:orient="portrait"/>
          <w:cols w:equalWidth="0" w:num="1">
            <w:col w:w="11212"/>
          </w:cols>
          <w:pgMar w:left="328" w:top="895" w:right="359" w:bottom="1440" w:gutter="0" w:footer="0" w:header="0"/>
        </w:sectPr>
      </w:pPr>
    </w:p>
    <w:bookmarkStart w:id="12" w:name="page13"/>
    <w:bookmarkEnd w:id="12"/>
    <w:p>
      <w:pPr>
        <w:spacing w:after="0" w:line="286" w:lineRule="auto"/>
        <w:rPr>
          <w:sz w:val="20"/>
          <w:szCs w:val="20"/>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56"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518"/>
        </w:trPr>
        <w:tc>
          <w:tcPr>
            <w:tcW w:w="434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21,678</w:t>
            </w:r>
          </w:p>
        </w:tc>
        <w:tc>
          <w:tcPr>
            <w:tcW w:w="2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16,533</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23,631</w:t>
            </w:r>
          </w:p>
        </w:tc>
        <w:tc>
          <w:tcPr>
            <w:tcW w:w="18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29,350</w:t>
            </w:r>
          </w:p>
        </w:tc>
        <w:tc>
          <w:tcPr>
            <w:tcW w:w="0" w:type="dxa"/>
            <w:vAlign w:val="bottom"/>
          </w:tcPr>
          <w:p>
            <w:pPr>
              <w:spacing w:after="0"/>
              <w:rPr>
                <w:sz w:val="1"/>
                <w:szCs w:val="1"/>
                <w:color w:val="auto"/>
              </w:rPr>
            </w:pPr>
          </w:p>
        </w:tc>
      </w:tr>
      <w:tr>
        <w:trPr>
          <w:trHeight w:val="270"/>
        </w:trPr>
        <w:tc>
          <w:tcPr>
            <w:tcW w:w="43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(5,055)</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(8,647)</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(6,530)</w:t>
            </w:r>
          </w:p>
        </w:tc>
        <w:tc>
          <w:tcPr>
            <w:tcW w:w="0" w:type="dxa"/>
            <w:vAlign w:val="bottom"/>
          </w:tcPr>
          <w:p>
            <w:pPr>
              <w:spacing w:after="0"/>
              <w:rPr>
                <w:sz w:val="1"/>
                <w:szCs w:val="1"/>
                <w:color w:val="auto"/>
              </w:rPr>
            </w:pPr>
          </w:p>
        </w:tc>
      </w:tr>
      <w:tr>
        <w:trPr>
          <w:trHeight w:val="164"/>
        </w:trPr>
        <w:tc>
          <w:tcPr>
            <w:tcW w:w="4340" w:type="dxa"/>
            <w:vAlign w:val="bottom"/>
          </w:tcPr>
          <w:p>
            <w:pPr>
              <w:ind w:left="120"/>
              <w:spacing w:after="0" w:line="164" w:lineRule="exact"/>
              <w:rPr>
                <w:sz w:val="20"/>
                <w:szCs w:val="20"/>
                <w:color w:val="auto"/>
              </w:rPr>
            </w:pPr>
            <w:r>
              <w:rPr>
                <w:rFonts w:ascii="Arial" w:cs="Arial" w:eastAsia="Arial" w:hAnsi="Arial"/>
                <w:sz w:val="16"/>
                <w:szCs w:val="16"/>
                <w:color w:val="auto"/>
              </w:rPr>
              <w:t>Proceeds from disposition of property, plant and</w:t>
            </w: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938</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361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auto"/>
              </w:rPr>
              <w:t>3,302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7,012</w:t>
            </w:r>
          </w:p>
        </w:tc>
        <w:tc>
          <w:tcPr>
            <w:tcW w:w="0" w:type="dxa"/>
            <w:vAlign w:val="bottom"/>
          </w:tcPr>
          <w:p>
            <w:pPr>
              <w:spacing w:after="0"/>
              <w:rPr>
                <w:sz w:val="1"/>
                <w:szCs w:val="1"/>
                <w:color w:val="auto"/>
              </w:rPr>
            </w:pPr>
          </w:p>
        </w:tc>
      </w:tr>
      <w:tr>
        <w:trPr>
          <w:trHeight w:val="215"/>
        </w:trPr>
        <w:tc>
          <w:tcPr>
            <w:tcW w:w="4340" w:type="dxa"/>
            <w:vAlign w:val="bottom"/>
          </w:tcPr>
          <w:p>
            <w:pPr>
              <w:ind w:left="120"/>
              <w:spacing w:after="0"/>
              <w:rPr>
                <w:sz w:val="20"/>
                <w:szCs w:val="20"/>
                <w:color w:val="auto"/>
              </w:rPr>
            </w:pPr>
            <w:r>
              <w:rPr>
                <w:rFonts w:ascii="Arial" w:cs="Arial" w:eastAsia="Arial" w:hAnsi="Arial"/>
                <w:sz w:val="16"/>
                <w:szCs w:val="16"/>
                <w:color w:val="auto"/>
              </w:rPr>
              <w:t>equipment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4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17,561</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18,286</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29,832</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140"/>
          </w:cols>
          <w:pgMar w:left="660" w:top="1138" w:right="1099" w:bottom="1440" w:gutter="0" w:footer="0" w:header="0"/>
        </w:sectPr>
      </w:pPr>
    </w:p>
    <w:bookmarkStart w:id="13" w:name="page14"/>
    <w:bookmarkEnd w:id="13"/>
    <w:p>
      <w:pPr>
        <w:jc w:val="center"/>
        <w:ind w:right="-35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351"/>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86" w:lineRule="exact"/>
        <w:rPr>
          <w:sz w:val="20"/>
          <w:szCs w:val="20"/>
          <w:color w:val="auto"/>
        </w:rPr>
      </w:pPr>
    </w:p>
    <w:p>
      <w:pPr>
        <w:ind w:left="6652"/>
        <w:spacing w:after="0"/>
        <w:rPr>
          <w:sz w:val="20"/>
          <w:szCs w:val="20"/>
          <w:color w:val="auto"/>
        </w:rPr>
      </w:pPr>
      <w:r>
        <w:rPr>
          <w:rFonts w:ascii="Arial" w:cs="Arial" w:eastAsia="Arial" w:hAnsi="Arial"/>
          <w:sz w:val="16"/>
          <w:szCs w:val="16"/>
          <w:b w:val="1"/>
          <w:bCs w:val="1"/>
          <w:color w:val="auto"/>
        </w:rPr>
        <w:t>Year Ending December 31, 2022</w:t>
      </w:r>
    </w:p>
    <w:p>
      <w:pPr>
        <w:spacing w:after="0" w:line="127" w:lineRule="exact"/>
        <w:rPr>
          <w:sz w:val="20"/>
          <w:szCs w:val="20"/>
          <w:color w:val="auto"/>
        </w:rPr>
      </w:pPr>
    </w:p>
    <w:p>
      <w:pPr>
        <w:ind w:left="2072"/>
        <w:spacing w:after="0"/>
        <w:tabs>
          <w:tab w:leader="none" w:pos="6532" w:val="left"/>
          <w:tab w:leader="none" w:pos="7372" w:val="left"/>
          <w:tab w:leader="none" w:pos="7952" w:val="left"/>
          <w:tab w:leader="none" w:pos="8692" w:val="left"/>
        </w:tabs>
        <w:rPr>
          <w:sz w:val="20"/>
          <w:szCs w:val="20"/>
          <w:color w:val="auto"/>
        </w:rPr>
      </w:pPr>
      <w:r>
        <w:rPr>
          <w:rFonts w:ascii="Arial" w:cs="Arial" w:eastAsia="Arial" w:hAnsi="Arial"/>
          <w:sz w:val="16"/>
          <w:szCs w:val="16"/>
          <w:color w:val="auto"/>
        </w:rPr>
        <w:t>EBITDA Range (1)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95.0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105.0</w:t>
      </w:r>
    </w:p>
    <w:p>
      <w:pPr>
        <w:spacing w:after="0" w:line="329" w:lineRule="exact"/>
        <w:rPr>
          <w:sz w:val="20"/>
          <w:szCs w:val="20"/>
          <w:color w:val="auto"/>
        </w:rPr>
      </w:pPr>
    </w:p>
    <w:p>
      <w:pPr>
        <w:ind w:left="332" w:hanging="332"/>
        <w:spacing w:after="0" w:line="286"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to estimated net loss, which is the most directly comparable measure of financial performance calculated under generally accepted accounting principles (in millions) (unaudited):</w:t>
      </w:r>
    </w:p>
    <w:p>
      <w:pPr>
        <w:spacing w:after="0" w:line="237" w:lineRule="exact"/>
        <w:rPr>
          <w:sz w:val="20"/>
          <w:szCs w:val="20"/>
          <w:color w:val="auto"/>
        </w:rPr>
      </w:pPr>
    </w:p>
    <w:tbl>
      <w:tblPr>
        <w:tblLayout w:type="fixed"/>
        <w:tblInd w:w="1872"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2022</w:t>
            </w:r>
          </w:p>
        </w:tc>
      </w:tr>
      <w:tr>
        <w:trPr>
          <w:trHeight w:val="223"/>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(estimated)</w:t>
            </w:r>
          </w:p>
        </w:tc>
        <w:tc>
          <w:tcPr>
            <w:tcW w:w="720" w:type="dxa"/>
            <w:vAlign w:val="bottom"/>
          </w:tcPr>
          <w:p>
            <w:pPr>
              <w:spacing w:after="0"/>
              <w:rPr>
                <w:sz w:val="19"/>
                <w:szCs w:val="19"/>
                <w:color w:val="auto"/>
              </w:rPr>
            </w:pPr>
          </w:p>
        </w:tc>
      </w:tr>
      <w:tr>
        <w:trPr>
          <w:trHeight w:val="316"/>
        </w:trPr>
        <w:tc>
          <w:tcPr>
            <w:tcW w:w="48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(13.0)</w:t>
            </w:r>
          </w:p>
        </w:tc>
        <w:tc>
          <w:tcPr>
            <w:tcW w:w="200" w:type="dxa"/>
            <w:vAlign w:val="bottom"/>
          </w:tcPr>
          <w:p>
            <w:pPr>
              <w:spacing w:after="0"/>
              <w:rPr>
                <w:sz w:val="24"/>
                <w:szCs w:val="24"/>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11"/>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w:t>
            </w:r>
          </w:p>
        </w:tc>
      </w:tr>
    </w:tbl>
    <w:p>
      <w:pPr>
        <w:sectPr>
          <w:pgSz w:w="11900" w:h="16838" w:orient="portrait"/>
          <w:cols w:equalWidth="0" w:num="1">
            <w:col w:w="10872"/>
          </w:cols>
          <w:pgMar w:left="328" w:top="895" w:right="699" w:bottom="1440" w:gutter="0" w:footer="0" w:header="0"/>
        </w:sectPr>
      </w:pPr>
    </w:p>
    <w:bookmarkStart w:id="14" w:name="page15"/>
    <w:bookmarkEnd w:id="14"/>
    <w:p>
      <w:pPr>
        <w:jc w:val="center"/>
        <w:ind w:right="-17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w:t>
      </w:r>
    </w:p>
    <w:p>
      <w:pPr>
        <w:spacing w:after="0" w:line="76" w:lineRule="exact"/>
        <w:rPr>
          <w:sz w:val="20"/>
          <w:szCs w:val="20"/>
          <w:color w:val="auto"/>
        </w:rPr>
      </w:pPr>
    </w:p>
    <w:tbl>
      <w:tblPr>
        <w:tblLayout w:type="fixed"/>
        <w:tblInd w:w="1352"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22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79,431</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69,759</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146,625</w:t>
            </w:r>
          </w:p>
        </w:tc>
        <w:tc>
          <w:tcPr>
            <w:tcW w:w="2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116,289</w:t>
            </w:r>
          </w:p>
        </w:tc>
        <w:tc>
          <w:tcPr>
            <w:tcW w:w="0" w:type="dxa"/>
            <w:vAlign w:val="bottom"/>
          </w:tcPr>
          <w:p>
            <w:pPr>
              <w:spacing w:after="0"/>
              <w:rPr>
                <w:sz w:val="1"/>
                <w:szCs w:val="1"/>
                <w:color w:val="auto"/>
              </w:rPr>
            </w:pPr>
          </w:p>
        </w:tc>
      </w:tr>
      <w:tr>
        <w:trPr>
          <w:trHeight w:val="270"/>
        </w:trPr>
        <w:tc>
          <w:tcPr>
            <w:tcW w:w="358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24,058</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8,666</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48,076</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19,165</w:t>
            </w:r>
          </w:p>
        </w:tc>
        <w:tc>
          <w:tcPr>
            <w:tcW w:w="0" w:type="dxa"/>
            <w:vAlign w:val="bottom"/>
          </w:tcPr>
          <w:p>
            <w:pPr>
              <w:spacing w:after="0"/>
              <w:rPr>
                <w:sz w:val="1"/>
                <w:szCs w:val="1"/>
                <w:color w:val="auto"/>
              </w:rPr>
            </w:pPr>
          </w:p>
        </w:tc>
      </w:tr>
      <w:tr>
        <w:trPr>
          <w:trHeight w:val="271"/>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5,534</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4,856</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10,274</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9,712</w:t>
            </w:r>
          </w:p>
        </w:tc>
        <w:tc>
          <w:tcPr>
            <w:tcW w:w="0" w:type="dxa"/>
            <w:vAlign w:val="bottom"/>
          </w:tcPr>
          <w:p>
            <w:pPr>
              <w:spacing w:after="0"/>
              <w:rPr>
                <w:sz w:val="1"/>
                <w:szCs w:val="1"/>
                <w:color w:val="auto"/>
              </w:rPr>
            </w:pPr>
          </w:p>
        </w:tc>
      </w:tr>
      <w:tr>
        <w:trPr>
          <w:trHeight w:val="249"/>
        </w:trPr>
        <w:tc>
          <w:tcPr>
            <w:tcW w:w="358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109,023</w:t>
            </w:r>
          </w:p>
        </w:tc>
        <w:tc>
          <w:tcPr>
            <w:tcW w:w="18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83,281</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204,975</w:t>
            </w:r>
          </w:p>
        </w:tc>
        <w:tc>
          <w:tcPr>
            <w:tcW w:w="2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145,166</w:t>
            </w:r>
          </w:p>
        </w:tc>
        <w:tc>
          <w:tcPr>
            <w:tcW w:w="0" w:type="dxa"/>
            <w:vAlign w:val="bottom"/>
          </w:tcPr>
          <w:p>
            <w:pPr>
              <w:spacing w:after="0"/>
              <w:rPr>
                <w:sz w:val="1"/>
                <w:szCs w:val="1"/>
                <w:color w:val="auto"/>
              </w:rPr>
            </w:pPr>
          </w:p>
        </w:tc>
      </w:tr>
      <w:tr>
        <w:trPr>
          <w:trHeight w:val="378"/>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53,108</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44,992</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106,235</w:t>
            </w:r>
          </w:p>
        </w:tc>
        <w:tc>
          <w:tcPr>
            <w:tcW w:w="2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83,328</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14,458</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5,644</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29,342</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12,418</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4,976</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4,455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9,335</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8,576</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2,251</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5,303</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4,905</w:t>
            </w:r>
          </w:p>
        </w:tc>
        <w:tc>
          <w:tcPr>
            <w:tcW w:w="0" w:type="dxa"/>
            <w:vAlign w:val="bottom"/>
          </w:tcPr>
          <w:p>
            <w:pPr>
              <w:spacing w:after="0"/>
              <w:rPr>
                <w:sz w:val="1"/>
                <w:szCs w:val="1"/>
                <w:color w:val="auto"/>
              </w:rPr>
            </w:pPr>
          </w:p>
        </w:tc>
      </w:tr>
      <w:tr>
        <w:trPr>
          <w:trHeight w:val="144"/>
        </w:trPr>
        <w:tc>
          <w:tcPr>
            <w:tcW w:w="3580" w:type="dxa"/>
            <w:vAlign w:val="bottom"/>
          </w:tcPr>
          <w:p>
            <w:pPr>
              <w:ind w:left="660"/>
              <w:spacing w:after="0" w:line="144" w:lineRule="exact"/>
              <w:rPr>
                <w:sz w:val="20"/>
                <w:szCs w:val="20"/>
                <w:color w:val="auto"/>
              </w:rPr>
            </w:pPr>
            <w:r>
              <w:rPr>
                <w:rFonts w:ascii="Arial" w:cs="Arial" w:eastAsia="Arial" w:hAnsi="Arial"/>
                <w:sz w:val="16"/>
                <w:szCs w:val="16"/>
                <w:color w:val="auto"/>
              </w:rPr>
              <w:t>Total Canadian cost of sales and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75,009</w:t>
            </w:r>
          </w:p>
        </w:tc>
        <w:tc>
          <w:tcPr>
            <w:tcW w:w="180" w:type="dxa"/>
            <w:vAlign w:val="bottom"/>
          </w:tcPr>
          <w:p>
            <w:pPr>
              <w:spacing w:after="0"/>
              <w:rPr>
                <w:sz w:val="12"/>
                <w:szCs w:val="12"/>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57,342</w:t>
            </w:r>
          </w:p>
        </w:tc>
        <w:tc>
          <w:tcPr>
            <w:tcW w:w="1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150,215</w:t>
            </w:r>
          </w:p>
        </w:tc>
        <w:tc>
          <w:tcPr>
            <w:tcW w:w="200" w:type="dxa"/>
            <w:vAlign w:val="bottom"/>
          </w:tcPr>
          <w:p>
            <w:pPr>
              <w:spacing w:after="0"/>
              <w:rPr>
                <w:sz w:val="12"/>
                <w:szCs w:val="12"/>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109,227</w:t>
            </w:r>
          </w:p>
        </w:tc>
        <w:tc>
          <w:tcPr>
            <w:tcW w:w="0" w:type="dxa"/>
            <w:vAlign w:val="bottom"/>
          </w:tcPr>
          <w:p>
            <w:pPr>
              <w:spacing w:after="0"/>
              <w:rPr>
                <w:sz w:val="1"/>
                <w:szCs w:val="1"/>
                <w:color w:val="auto"/>
              </w:rPr>
            </w:pPr>
          </w:p>
        </w:tc>
      </w:tr>
      <w:tr>
        <w:trPr>
          <w:trHeight w:val="21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103</w:t>
            </w:r>
          </w:p>
        </w:tc>
        <w:tc>
          <w:tcPr>
            <w:tcW w:w="1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104</w:t>
            </w:r>
          </w:p>
        </w:tc>
        <w:tc>
          <w:tcPr>
            <w:tcW w:w="2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771,267</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723,324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1,406,822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1,203,390</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0.784</w:t>
            </w:r>
          </w:p>
        </w:tc>
        <w:tc>
          <w:tcPr>
            <w:tcW w:w="1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0.815</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0.787</w:t>
            </w:r>
          </w:p>
        </w:tc>
        <w:tc>
          <w:tcPr>
            <w:tcW w:w="2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0.802</w:t>
            </w:r>
          </w:p>
        </w:tc>
        <w:tc>
          <w:tcPr>
            <w:tcW w:w="0" w:type="dxa"/>
            <w:vAlign w:val="bottom"/>
          </w:tcPr>
          <w:p>
            <w:pPr>
              <w:spacing w:after="0"/>
              <w:rPr>
                <w:sz w:val="1"/>
                <w:szCs w:val="1"/>
                <w:color w:val="auto"/>
              </w:rPr>
            </w:pPr>
          </w:p>
        </w:tc>
      </w:tr>
      <w:tr>
        <w:trPr>
          <w:trHeight w:val="434"/>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39,052</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37,780</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76,651</w:t>
            </w:r>
          </w:p>
        </w:tc>
        <w:tc>
          <w:tcPr>
            <w:tcW w:w="2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71,455</w:t>
            </w:r>
          </w:p>
        </w:tc>
        <w:tc>
          <w:tcPr>
            <w:tcW w:w="0" w:type="dxa"/>
            <w:vAlign w:val="bottom"/>
          </w:tcPr>
          <w:p>
            <w:pPr>
              <w:spacing w:after="0"/>
              <w:rPr>
                <w:sz w:val="1"/>
                <w:szCs w:val="1"/>
                <w:color w:val="auto"/>
              </w:rPr>
            </w:pPr>
          </w:p>
        </w:tc>
      </w:tr>
      <w:tr>
        <w:trPr>
          <w:trHeight w:val="271"/>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28,768</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26,239</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54,698</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52,201</w:t>
            </w:r>
          </w:p>
        </w:tc>
        <w:tc>
          <w:tcPr>
            <w:tcW w:w="0" w:type="dxa"/>
            <w:vAlign w:val="bottom"/>
          </w:tcPr>
          <w:p>
            <w:pPr>
              <w:spacing w:after="0"/>
              <w:rPr>
                <w:sz w:val="1"/>
                <w:szCs w:val="1"/>
                <w:color w:val="auto"/>
              </w:rPr>
            </w:pPr>
          </w:p>
        </w:tc>
      </w:tr>
      <w:tr>
        <w:trPr>
          <w:trHeight w:val="249"/>
        </w:trPr>
        <w:tc>
          <w:tcPr>
            <w:tcW w:w="358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67,820</w:t>
            </w:r>
          </w:p>
        </w:tc>
        <w:tc>
          <w:tcPr>
            <w:tcW w:w="18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64,019</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131,349</w:t>
            </w:r>
          </w:p>
        </w:tc>
        <w:tc>
          <w:tcPr>
            <w:tcW w:w="2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123,656</w:t>
            </w:r>
          </w:p>
        </w:tc>
        <w:tc>
          <w:tcPr>
            <w:tcW w:w="0" w:type="dxa"/>
            <w:vAlign w:val="bottom"/>
          </w:tcPr>
          <w:p>
            <w:pPr>
              <w:spacing w:after="0"/>
              <w:rPr>
                <w:sz w:val="1"/>
                <w:szCs w:val="1"/>
                <w:color w:val="auto"/>
              </w:rPr>
            </w:pPr>
          </w:p>
        </w:tc>
      </w:tr>
      <w:tr>
        <w:trPr>
          <w:trHeight w:val="378"/>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18,840</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18,082</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37,247</w:t>
            </w:r>
          </w:p>
        </w:tc>
        <w:tc>
          <w:tcPr>
            <w:tcW w:w="2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35,187</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27,008</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25,154</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51,371</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49,451</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3,160</w:t>
            </w:r>
          </w:p>
        </w:tc>
        <w:tc>
          <w:tcPr>
            <w:tcW w:w="0" w:type="dxa"/>
            <w:vAlign w:val="bottom"/>
          </w:tcPr>
          <w:p>
            <w:pPr>
              <w:spacing w:after="0"/>
              <w:rPr>
                <w:sz w:val="1"/>
                <w:szCs w:val="1"/>
                <w:color w:val="auto"/>
              </w:rPr>
            </w:pPr>
          </w:p>
        </w:tc>
      </w:tr>
      <w:tr>
        <w:trPr>
          <w:trHeight w:val="144"/>
        </w:trPr>
        <w:tc>
          <w:tcPr>
            <w:tcW w:w="3580" w:type="dxa"/>
            <w:vAlign w:val="bottom"/>
          </w:tcPr>
          <w:p>
            <w:pPr>
              <w:ind w:left="660"/>
              <w:spacing w:after="0" w:line="144" w:lineRule="exact"/>
              <w:rPr>
                <w:sz w:val="20"/>
                <w:szCs w:val="20"/>
                <w:color w:val="auto"/>
              </w:rPr>
            </w:pPr>
            <w:r>
              <w:rPr>
                <w:rFonts w:ascii="Arial" w:cs="Arial" w:eastAsia="Arial" w:hAnsi="Arial"/>
                <w:sz w:val="16"/>
                <w:szCs w:val="16"/>
                <w:color w:val="auto"/>
              </w:rPr>
              <w:t>Total Australian cost of sales and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47,692</w:t>
            </w:r>
          </w:p>
        </w:tc>
        <w:tc>
          <w:tcPr>
            <w:tcW w:w="180" w:type="dxa"/>
            <w:vAlign w:val="bottom"/>
          </w:tcPr>
          <w:p>
            <w:pPr>
              <w:spacing w:after="0"/>
              <w:rPr>
                <w:sz w:val="12"/>
                <w:szCs w:val="12"/>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44,895</w:t>
            </w:r>
          </w:p>
        </w:tc>
        <w:tc>
          <w:tcPr>
            <w:tcW w:w="1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92,206</w:t>
            </w:r>
          </w:p>
        </w:tc>
        <w:tc>
          <w:tcPr>
            <w:tcW w:w="200" w:type="dxa"/>
            <w:vAlign w:val="bottom"/>
          </w:tcPr>
          <w:p>
            <w:pPr>
              <w:spacing w:after="0"/>
              <w:rPr>
                <w:sz w:val="12"/>
                <w:szCs w:val="12"/>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87,798</w:t>
            </w:r>
          </w:p>
        </w:tc>
        <w:tc>
          <w:tcPr>
            <w:tcW w:w="0" w:type="dxa"/>
            <w:vAlign w:val="bottom"/>
          </w:tcPr>
          <w:p>
            <w:pPr>
              <w:spacing w:after="0"/>
              <w:rPr>
                <w:sz w:val="1"/>
                <w:szCs w:val="1"/>
                <w:color w:val="auto"/>
              </w:rPr>
            </w:pPr>
          </w:p>
        </w:tc>
      </w:tr>
      <w:tr>
        <w:trPr>
          <w:trHeight w:val="21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81</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505,310</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466,298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979,784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890,964</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0.715</w:t>
            </w:r>
          </w:p>
        </w:tc>
        <w:tc>
          <w:tcPr>
            <w:tcW w:w="1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0.770</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0.719</w:t>
            </w:r>
          </w:p>
        </w:tc>
        <w:tc>
          <w:tcPr>
            <w:tcW w:w="2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ind w:left="312" w:hanging="312"/>
        <w:spacing w:after="0"/>
        <w:tabs>
          <w:tab w:leader="none" w:pos="31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30" w:lineRule="exact"/>
        <w:rPr>
          <w:rFonts w:ascii="Arial" w:cs="Arial" w:eastAsia="Arial" w:hAnsi="Arial"/>
          <w:sz w:val="16"/>
          <w:szCs w:val="16"/>
          <w:color w:val="auto"/>
        </w:rPr>
      </w:pPr>
    </w:p>
    <w:p>
      <w:pPr>
        <w:ind w:left="312" w:hanging="312"/>
        <w:spacing w:after="0"/>
        <w:tabs>
          <w:tab w:leader="none" w:pos="31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revenues related to mobile assets for the periods presented.</w:t>
      </w:r>
    </w:p>
    <w:p>
      <w:pPr>
        <w:spacing w:after="0" w:line="8" w:lineRule="exact"/>
        <w:rPr>
          <w:rFonts w:ascii="Arial" w:cs="Arial" w:eastAsia="Arial" w:hAnsi="Arial"/>
          <w:sz w:val="16"/>
          <w:szCs w:val="16"/>
          <w:color w:val="auto"/>
        </w:rPr>
      </w:pPr>
    </w:p>
    <w:p>
      <w:pPr>
        <w:ind w:left="312" w:hanging="312"/>
        <w:spacing w:after="0"/>
        <w:tabs>
          <w:tab w:leader="none" w:pos="31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14" w:lineRule="exact"/>
        <w:rPr>
          <w:rFonts w:ascii="Arial" w:cs="Arial" w:eastAsia="Arial" w:hAnsi="Arial"/>
          <w:sz w:val="16"/>
          <w:szCs w:val="16"/>
          <w:color w:val="auto"/>
        </w:rPr>
      </w:pPr>
    </w:p>
    <w:p>
      <w:pPr>
        <w:ind w:left="312" w:hanging="312"/>
        <w:spacing w:after="0"/>
        <w:tabs>
          <w:tab w:leader="none" w:pos="312" w:val="left"/>
        </w:tabs>
        <w:numPr>
          <w:ilvl w:val="0"/>
          <w:numId w:val="8"/>
        </w:numPr>
        <w:rPr>
          <w:rFonts w:ascii="Arial" w:cs="Arial" w:eastAsia="Arial" w:hAnsi="Arial"/>
          <w:sz w:val="16"/>
          <w:szCs w:val="16"/>
          <w:color w:val="auto"/>
        </w:rPr>
      </w:pPr>
      <w:r>
        <w:rPr>
          <w:rFonts w:ascii="Arial" w:cs="Arial" w:eastAsia="Arial" w:hAnsi="Arial"/>
          <w:sz w:val="16"/>
          <w:szCs w:val="16"/>
          <w:color w:val="auto"/>
        </w:rPr>
        <w:t>Billed rooms represents total billed days for owned assets for the periods presented.</w:t>
      </w:r>
    </w:p>
    <w:p>
      <w:pPr>
        <w:sectPr>
          <w:pgSz w:w="11900" w:h="16838" w:orient="portrait"/>
          <w:cols w:equalWidth="0" w:num="1">
            <w:col w:w="11052"/>
          </w:cols>
          <w:pgMar w:left="328" w:top="1138" w:right="5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8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2"/>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2022-07-29T08:10:54Z</dcterms:created>
  <dcterms:modified xsi:type="dcterms:W3CDTF">2022-07-29T08:10:54Z</dcterms:modified>
</cp:coreProperties>
</file>