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47"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7, 2020</w:t>
      </w:r>
    </w:p>
    <w:p>
      <w:pPr>
        <w:spacing w:after="0" w:line="27" w:lineRule="exact"/>
        <w:rPr>
          <w:sz w:val="24"/>
          <w:szCs w:val="24"/>
          <w:color w:val="auto"/>
        </w:rPr>
      </w:pPr>
    </w:p>
    <w:p>
      <w:pPr>
        <w:ind w:left="4540"/>
        <w:spacing w:after="0"/>
        <w:rPr>
          <w:sz w:val="20"/>
          <w:szCs w:val="20"/>
          <w:color w:val="auto"/>
        </w:rPr>
      </w:pPr>
      <w:r>
        <w:rPr>
          <w:rFonts w:ascii="Arial" w:cs="Arial" w:eastAsia="Arial" w:hAnsi="Arial"/>
          <w:sz w:val="22"/>
          <w:szCs w:val="22"/>
          <w:u w:val="single" w:color="auto"/>
          <w:color w:val="auto"/>
        </w:rPr>
        <w:t>____________________</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Civeo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4" w:lineRule="exact"/>
        <w:rPr>
          <w:sz w:val="24"/>
          <w:szCs w:val="24"/>
          <w:color w:val="auto"/>
        </w:rPr>
      </w:pPr>
    </w:p>
    <w:tbl>
      <w:tblPr>
        <w:tblLayout w:type="fixed"/>
        <w:tblInd w:w="900" w:type="dxa"/>
        <w:tblCellMar>
          <w:top w:w="0" w:type="dxa"/>
          <w:left w:w="0" w:type="dxa"/>
          <w:bottom w:w="0" w:type="dxa"/>
          <w:right w:w="0" w:type="dxa"/>
        </w:tblCellMar>
      </w:tblPr>
      <w:tr>
        <w:trPr>
          <w:trHeight w:val="256"/>
        </w:trPr>
        <w:tc>
          <w:tcPr>
            <w:tcW w:w="3340" w:type="dxa"/>
            <w:vAlign w:val="bottom"/>
          </w:tcPr>
          <w:p>
            <w:pPr>
              <w:jc w:val="center"/>
              <w:ind w:right="804"/>
              <w:spacing w:after="0"/>
              <w:rPr>
                <w:sz w:val="20"/>
                <w:szCs w:val="20"/>
                <w:color w:val="auto"/>
              </w:rPr>
            </w:pPr>
            <w:r>
              <w:rPr>
                <w:rFonts w:ascii="Arial" w:cs="Arial" w:eastAsia="Arial" w:hAnsi="Arial"/>
                <w:sz w:val="22"/>
                <w:szCs w:val="22"/>
                <w:b w:val="1"/>
                <w:bCs w:val="1"/>
                <w:color w:val="auto"/>
                <w:w w:val="91"/>
              </w:rPr>
              <w:t>British Columbia, Canada</w:t>
            </w:r>
          </w:p>
        </w:tc>
        <w:tc>
          <w:tcPr>
            <w:tcW w:w="3320" w:type="dxa"/>
            <w:vAlign w:val="bottom"/>
          </w:tcPr>
          <w:p>
            <w:pPr>
              <w:jc w:val="center"/>
              <w:ind w:right="104"/>
              <w:spacing w:after="0"/>
              <w:rPr>
                <w:sz w:val="20"/>
                <w:szCs w:val="20"/>
                <w:color w:val="auto"/>
              </w:rPr>
            </w:pPr>
            <w:r>
              <w:rPr>
                <w:rFonts w:ascii="Arial" w:cs="Arial" w:eastAsia="Arial" w:hAnsi="Arial"/>
                <w:sz w:val="22"/>
                <w:szCs w:val="22"/>
                <w:b w:val="1"/>
                <w:bCs w:val="1"/>
                <w:color w:val="auto"/>
                <w:w w:val="89"/>
              </w:rPr>
              <w:t>1-36246</w:t>
            </w:r>
          </w:p>
        </w:tc>
        <w:tc>
          <w:tcPr>
            <w:tcW w:w="2460" w:type="dxa"/>
            <w:vAlign w:val="bottom"/>
          </w:tcPr>
          <w:p>
            <w:pPr>
              <w:jc w:val="center"/>
              <w:ind w:left="1044"/>
              <w:spacing w:after="0"/>
              <w:rPr>
                <w:sz w:val="20"/>
                <w:szCs w:val="20"/>
                <w:color w:val="auto"/>
              </w:rPr>
            </w:pPr>
            <w:r>
              <w:rPr>
                <w:rFonts w:ascii="Arial" w:cs="Arial" w:eastAsia="Arial" w:hAnsi="Arial"/>
                <w:sz w:val="22"/>
                <w:szCs w:val="22"/>
                <w:b w:val="1"/>
                <w:bCs w:val="1"/>
                <w:color w:val="auto"/>
                <w:w w:val="88"/>
              </w:rPr>
              <w:t>98-1253716</w:t>
            </w:r>
          </w:p>
        </w:tc>
      </w:tr>
      <w:tr>
        <w:trPr>
          <w:trHeight w:val="216"/>
        </w:trPr>
        <w:tc>
          <w:tcPr>
            <w:tcW w:w="3340" w:type="dxa"/>
            <w:vAlign w:val="bottom"/>
          </w:tcPr>
          <w:p>
            <w:pPr>
              <w:jc w:val="center"/>
              <w:ind w:right="804"/>
              <w:spacing w:after="0"/>
              <w:rPr>
                <w:sz w:val="20"/>
                <w:szCs w:val="20"/>
                <w:color w:val="auto"/>
              </w:rPr>
            </w:pPr>
            <w:r>
              <w:rPr>
                <w:rFonts w:ascii="Arial" w:cs="Arial" w:eastAsia="Arial" w:hAnsi="Arial"/>
                <w:sz w:val="18"/>
                <w:szCs w:val="18"/>
                <w:color w:val="auto"/>
                <w:w w:val="91"/>
              </w:rPr>
              <w:t>(State or other jurisdiction</w:t>
            </w:r>
          </w:p>
        </w:tc>
        <w:tc>
          <w:tcPr>
            <w:tcW w:w="3320" w:type="dxa"/>
            <w:vAlign w:val="bottom"/>
          </w:tcPr>
          <w:p>
            <w:pPr>
              <w:jc w:val="center"/>
              <w:ind w:right="104"/>
              <w:spacing w:after="0"/>
              <w:rPr>
                <w:sz w:val="20"/>
                <w:szCs w:val="20"/>
                <w:color w:val="auto"/>
              </w:rPr>
            </w:pPr>
            <w:r>
              <w:rPr>
                <w:rFonts w:ascii="Arial" w:cs="Arial" w:eastAsia="Arial" w:hAnsi="Arial"/>
                <w:sz w:val="18"/>
                <w:szCs w:val="18"/>
                <w:color w:val="auto"/>
                <w:w w:val="92"/>
              </w:rPr>
              <w:t>(Commission File</w:t>
            </w:r>
          </w:p>
        </w:tc>
        <w:tc>
          <w:tcPr>
            <w:tcW w:w="2460" w:type="dxa"/>
            <w:vAlign w:val="bottom"/>
          </w:tcPr>
          <w:p>
            <w:pPr>
              <w:jc w:val="center"/>
              <w:ind w:left="1044"/>
              <w:spacing w:after="0"/>
              <w:rPr>
                <w:sz w:val="20"/>
                <w:szCs w:val="20"/>
                <w:color w:val="auto"/>
              </w:rPr>
            </w:pPr>
            <w:r>
              <w:rPr>
                <w:rFonts w:ascii="Arial" w:cs="Arial" w:eastAsia="Arial" w:hAnsi="Arial"/>
                <w:sz w:val="18"/>
                <w:szCs w:val="18"/>
                <w:color w:val="auto"/>
                <w:w w:val="93"/>
              </w:rPr>
              <w:t>(I.R.S. Employer</w:t>
            </w:r>
          </w:p>
        </w:tc>
      </w:tr>
      <w:tr>
        <w:trPr>
          <w:trHeight w:val="230"/>
        </w:trPr>
        <w:tc>
          <w:tcPr>
            <w:tcW w:w="3340" w:type="dxa"/>
            <w:vAlign w:val="bottom"/>
          </w:tcPr>
          <w:p>
            <w:pPr>
              <w:jc w:val="center"/>
              <w:ind w:right="804"/>
              <w:spacing w:after="0"/>
              <w:rPr>
                <w:sz w:val="20"/>
                <w:szCs w:val="20"/>
                <w:color w:val="auto"/>
              </w:rPr>
            </w:pPr>
            <w:r>
              <w:rPr>
                <w:rFonts w:ascii="Arial" w:cs="Arial" w:eastAsia="Arial" w:hAnsi="Arial"/>
                <w:sz w:val="18"/>
                <w:szCs w:val="18"/>
                <w:color w:val="auto"/>
                <w:w w:val="92"/>
              </w:rPr>
              <w:t>of incorporation or organization)</w:t>
            </w:r>
          </w:p>
        </w:tc>
        <w:tc>
          <w:tcPr>
            <w:tcW w:w="3320" w:type="dxa"/>
            <w:vAlign w:val="bottom"/>
          </w:tcPr>
          <w:p>
            <w:pPr>
              <w:jc w:val="center"/>
              <w:ind w:right="104"/>
              <w:spacing w:after="0"/>
              <w:rPr>
                <w:sz w:val="20"/>
                <w:szCs w:val="20"/>
                <w:color w:val="auto"/>
              </w:rPr>
            </w:pPr>
            <w:r>
              <w:rPr>
                <w:rFonts w:ascii="Arial" w:cs="Arial" w:eastAsia="Arial" w:hAnsi="Arial"/>
                <w:sz w:val="18"/>
                <w:szCs w:val="18"/>
                <w:color w:val="auto"/>
                <w:w w:val="91"/>
              </w:rPr>
              <w:t>Number)</w:t>
            </w:r>
          </w:p>
        </w:tc>
        <w:tc>
          <w:tcPr>
            <w:tcW w:w="2460" w:type="dxa"/>
            <w:vAlign w:val="bottom"/>
          </w:tcPr>
          <w:p>
            <w:pPr>
              <w:jc w:val="center"/>
              <w:ind w:left="1024"/>
              <w:spacing w:after="0"/>
              <w:rPr>
                <w:sz w:val="20"/>
                <w:szCs w:val="20"/>
                <w:color w:val="auto"/>
              </w:rPr>
            </w:pPr>
            <w:r>
              <w:rPr>
                <w:rFonts w:ascii="Arial" w:cs="Arial" w:eastAsia="Arial" w:hAnsi="Arial"/>
                <w:sz w:val="18"/>
                <w:szCs w:val="18"/>
                <w:color w:val="auto"/>
                <w:w w:val="95"/>
              </w:rPr>
              <w:t>Identification No.)</w:t>
            </w:r>
          </w:p>
        </w:tc>
      </w:tr>
    </w:tbl>
    <w:p>
      <w:pPr>
        <w:spacing w:after="0" w:line="216"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Three Allen Center</w:t>
      </w:r>
    </w:p>
    <w:p>
      <w:pPr>
        <w:spacing w:after="0" w:line="4"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333 Clay Street, Suite 4980</w:t>
      </w:r>
    </w:p>
    <w:p>
      <w:pPr>
        <w:jc w:val="center"/>
        <w:ind w:right="-359"/>
        <w:spacing w:after="0" w:line="235" w:lineRule="auto"/>
        <w:rPr>
          <w:sz w:val="20"/>
          <w:szCs w:val="20"/>
          <w:color w:val="auto"/>
        </w:rPr>
      </w:pPr>
      <w:r>
        <w:rPr>
          <w:rFonts w:ascii="Arial" w:cs="Arial" w:eastAsia="Arial" w:hAnsi="Arial"/>
          <w:sz w:val="22"/>
          <w:szCs w:val="22"/>
          <w:b w:val="1"/>
          <w:bCs w:val="1"/>
          <w:color w:val="auto"/>
        </w:rPr>
        <w:t>Houston, Texas 77002</w:t>
      </w:r>
    </w:p>
    <w:p>
      <w:pPr>
        <w:ind w:left="3880"/>
        <w:spacing w:after="0"/>
        <w:rPr>
          <w:sz w:val="20"/>
          <w:szCs w:val="20"/>
          <w:color w:val="auto"/>
        </w:rPr>
      </w:pPr>
      <w:r>
        <w:rPr>
          <w:rFonts w:ascii="Arial" w:cs="Arial" w:eastAsia="Arial" w:hAnsi="Arial"/>
          <w:sz w:val="18"/>
          <w:szCs w:val="18"/>
          <w:color w:val="auto"/>
        </w:rPr>
        <w:t>(Address and zip code of principal executive offices)</w:t>
      </w:r>
    </w:p>
    <w:p>
      <w:pPr>
        <w:spacing w:after="0" w:line="23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337"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4"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5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135"/>
        </w:trPr>
        <w:tc>
          <w:tcPr>
            <w:tcW w:w="3840" w:type="dxa"/>
            <w:vAlign w:val="bottom"/>
            <w:tcBorders>
              <w:left w:val="single" w:sz="8" w:color="00000A"/>
              <w:bottom w:val="single" w:sz="8" w:color="00000A"/>
              <w:right w:val="single" w:sz="8" w:color="00000A"/>
            </w:tcBorders>
          </w:tcPr>
          <w:p>
            <w:pPr>
              <w:spacing w:after="0"/>
              <w:rPr>
                <w:sz w:val="11"/>
                <w:szCs w:val="11"/>
                <w:color w:val="auto"/>
              </w:rPr>
            </w:pPr>
          </w:p>
        </w:tc>
        <w:tc>
          <w:tcPr>
            <w:tcW w:w="2580" w:type="dxa"/>
            <w:vAlign w:val="bottom"/>
            <w:tcBorders>
              <w:bottom w:val="single" w:sz="8" w:color="00000A"/>
              <w:right w:val="single" w:sz="8" w:color="00000A"/>
            </w:tcBorders>
          </w:tcPr>
          <w:p>
            <w:pPr>
              <w:spacing w:after="0"/>
              <w:rPr>
                <w:sz w:val="11"/>
                <w:szCs w:val="11"/>
                <w:color w:val="auto"/>
              </w:rPr>
            </w:pPr>
          </w:p>
        </w:tc>
        <w:tc>
          <w:tcPr>
            <w:tcW w:w="4820" w:type="dxa"/>
            <w:vAlign w:val="bottom"/>
            <w:tcBorders>
              <w:bottom w:val="single" w:sz="8" w:color="00000A"/>
              <w:right w:val="single" w:sz="8" w:color="00000A"/>
            </w:tcBorders>
          </w:tcPr>
          <w:p>
            <w:pPr>
              <w:spacing w:after="0"/>
              <w:rPr>
                <w:sz w:val="11"/>
                <w:szCs w:val="11"/>
                <w:color w:val="auto"/>
              </w:rPr>
            </w:pPr>
          </w:p>
        </w:tc>
      </w:tr>
      <w:tr>
        <w:trPr>
          <w:trHeight w:val="237"/>
        </w:trPr>
        <w:tc>
          <w:tcPr>
            <w:tcW w:w="3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Common Shares, no par value</w:t>
            </w:r>
          </w:p>
        </w:tc>
        <w:tc>
          <w:tcPr>
            <w:tcW w:w="25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CVEO</w:t>
            </w:r>
          </w:p>
        </w:tc>
        <w:tc>
          <w:tcPr>
            <w:tcW w:w="48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135"/>
        </w:trPr>
        <w:tc>
          <w:tcPr>
            <w:tcW w:w="3840" w:type="dxa"/>
            <w:vAlign w:val="bottom"/>
            <w:tcBorders>
              <w:left w:val="single" w:sz="8" w:color="00000A"/>
              <w:bottom w:val="single" w:sz="8" w:color="00000A"/>
              <w:right w:val="single" w:sz="8" w:color="00000A"/>
            </w:tcBorders>
          </w:tcPr>
          <w:p>
            <w:pPr>
              <w:spacing w:after="0"/>
              <w:rPr>
                <w:sz w:val="11"/>
                <w:szCs w:val="11"/>
                <w:color w:val="auto"/>
              </w:rPr>
            </w:pPr>
          </w:p>
        </w:tc>
        <w:tc>
          <w:tcPr>
            <w:tcW w:w="2580" w:type="dxa"/>
            <w:vAlign w:val="bottom"/>
            <w:tcBorders>
              <w:bottom w:val="single" w:sz="8" w:color="00000A"/>
              <w:right w:val="single" w:sz="8" w:color="00000A"/>
            </w:tcBorders>
          </w:tcPr>
          <w:p>
            <w:pPr>
              <w:spacing w:after="0"/>
              <w:rPr>
                <w:sz w:val="11"/>
                <w:szCs w:val="11"/>
                <w:color w:val="auto"/>
              </w:rPr>
            </w:pPr>
          </w:p>
        </w:tc>
        <w:tc>
          <w:tcPr>
            <w:tcW w:w="4820" w:type="dxa"/>
            <w:vAlign w:val="bottom"/>
            <w:tcBorders>
              <w:bottom w:val="single" w:sz="8" w:color="00000A"/>
              <w:right w:val="single" w:sz="8" w:color="00000A"/>
            </w:tcBorders>
          </w:tcPr>
          <w:p>
            <w:pPr>
              <w:spacing w:after="0"/>
              <w:rPr>
                <w:sz w:val="11"/>
                <w:szCs w:val="11"/>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ectPr>
          <w:pgSz w:w="11900" w:h="16838" w:orient="portrait"/>
          <w:cols w:equalWidth="0" w:num="1">
            <w:col w:w="11220"/>
          </w:cols>
          <w:pgMar w:left="320" w:top="215" w:right="359" w:bottom="1440" w:gutter="0" w:footer="0" w:header="0"/>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80"/>
          </w:cols>
          <w:pgMar w:left="320" w:top="525" w:right="4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On May 7, 2020, Civeo Corporation (“Civeo”) issued a press release announcing its financial condition and results of operations as of and for the quarter ended March 31, 2020. A copy of the press release is furnished as Exhibit 99.1 to this report on Form 8-K, and is incorporated herein by reference.</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66" w:lineRule="exact"/>
        <w:rPr>
          <w:sz w:val="20"/>
          <w:szCs w:val="20"/>
          <w:color w:val="auto"/>
        </w:rPr>
      </w:pPr>
    </w:p>
    <w:p>
      <w:pPr>
        <w:ind w:left="1120" w:hanging="464"/>
        <w:spacing w:after="0"/>
        <w:tabs>
          <w:tab w:leader="none" w:pos="1120" w:val="left"/>
        </w:tabs>
        <w:numPr>
          <w:ilvl w:val="0"/>
          <w:numId w:val="1"/>
        </w:numPr>
        <w:rPr>
          <w:rFonts w:ascii="Arial" w:cs="Arial" w:eastAsia="Arial" w:hAnsi="Arial"/>
          <w:sz w:val="22"/>
          <w:szCs w:val="22"/>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0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2860" w:type="dxa"/>
            <w:vAlign w:val="bottom"/>
            <w:gridSpan w:val="2"/>
          </w:tcPr>
          <w:p>
            <w:pPr>
              <w:spacing w:after="0"/>
              <w:rPr>
                <w:sz w:val="20"/>
                <w:szCs w:val="20"/>
                <w:color w:val="auto"/>
              </w:rPr>
            </w:pPr>
            <w:r>
              <w:rPr>
                <w:rFonts w:ascii="Arial" w:cs="Arial" w:eastAsia="Arial" w:hAnsi="Arial"/>
                <w:sz w:val="22"/>
                <w:szCs w:val="22"/>
                <w:color w:val="auto"/>
              </w:rPr>
              <w:t>Description of Document</w:t>
            </w:r>
          </w:p>
        </w:tc>
      </w:tr>
      <w:tr>
        <w:trPr>
          <w:trHeight w:val="223"/>
        </w:trPr>
        <w:tc>
          <w:tcPr>
            <w:tcW w:w="1700" w:type="dxa"/>
            <w:vAlign w:val="bottom"/>
            <w:gridSpan w:val="2"/>
          </w:tcPr>
          <w:p>
            <w:pPr>
              <w:spacing w:after="0" w:line="223" w:lineRule="exact"/>
              <w:rPr>
                <w:sz w:val="20"/>
                <w:szCs w:val="20"/>
                <w:color w:val="auto"/>
              </w:rPr>
            </w:pPr>
            <w:r>
              <w:rPr>
                <w:rFonts w:ascii="Arial" w:cs="Arial" w:eastAsia="Arial" w:hAnsi="Arial"/>
                <w:sz w:val="22"/>
                <w:szCs w:val="22"/>
                <w:color w:val="auto"/>
              </w:rPr>
              <w:t>Number</w:t>
            </w:r>
          </w:p>
        </w:tc>
        <w:tc>
          <w:tcPr>
            <w:tcW w:w="22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r>
      <w:tr>
        <w:trPr>
          <w:trHeight w:val="571"/>
        </w:trPr>
        <w:tc>
          <w:tcPr>
            <w:tcW w:w="7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99.1</w:t>
            </w:r>
          </w:p>
        </w:tc>
        <w:tc>
          <w:tcPr>
            <w:tcW w:w="1000" w:type="dxa"/>
            <w:vAlign w:val="bottom"/>
          </w:tcPr>
          <w:p>
            <w:pPr>
              <w:spacing w:after="0"/>
              <w:rPr>
                <w:sz w:val="24"/>
                <w:szCs w:val="24"/>
                <w:color w:val="auto"/>
              </w:rPr>
            </w:pPr>
          </w:p>
        </w:tc>
        <w:tc>
          <w:tcPr>
            <w:tcW w:w="2860" w:type="dxa"/>
            <w:vAlign w:val="bottom"/>
            <w:gridSpan w:val="2"/>
          </w:tcPr>
          <w:p>
            <w:pPr>
              <w:spacing w:after="0"/>
              <w:rPr>
                <w:rFonts w:ascii="Arial" w:cs="Arial" w:eastAsia="Arial" w:hAnsi="Arial"/>
                <w:sz w:val="22"/>
                <w:szCs w:val="22"/>
                <w:u w:val="single" w:color="auto"/>
                <w:color w:val="0000FF"/>
                <w:w w:val="85"/>
              </w:rPr>
            </w:pPr>
            <w:hyperlink w:anchor="page5">
              <w:r>
                <w:rPr>
                  <w:rFonts w:ascii="Arial" w:cs="Arial" w:eastAsia="Arial" w:hAnsi="Arial"/>
                  <w:sz w:val="22"/>
                  <w:szCs w:val="22"/>
                  <w:u w:val="single" w:color="auto"/>
                  <w:color w:val="0000FF"/>
                  <w:w w:val="85"/>
                </w:rPr>
                <w:t>Press Release dated May 7, 2020</w:t>
              </w:r>
            </w:hyperlink>
          </w:p>
        </w:tc>
      </w:tr>
    </w:tbl>
    <w:p>
      <w:pPr>
        <w:sectPr>
          <w:pgSz w:w="11900" w:h="16838" w:orient="portrait"/>
          <w:cols w:equalWidth="0" w:num="1">
            <w:col w:w="11240"/>
          </w:cols>
          <w:pgMar w:left="320" w:top="342"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Dated: May 7, 2020</w:t>
      </w:r>
    </w:p>
    <w:p>
      <w:pPr>
        <w:spacing w:after="0" w:line="25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CIVEO CORPORATION</w:t>
      </w: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Carolyn J. Stone</w:t>
      </w:r>
      <w:r>
        <w:rPr>
          <w:rFonts w:ascii="Arial" w:cs="Arial" w:eastAsia="Arial" w:hAnsi="Arial"/>
          <w:sz w:val="22"/>
          <w:szCs w:val="22"/>
          <w:color w:val="auto"/>
        </w:rPr>
        <w:t xml:space="preserve"> </w:t>
      </w:r>
      <w:r>
        <w:rPr>
          <w:rFonts w:ascii="Arial" w:cs="Arial" w:eastAsia="Arial" w:hAnsi="Arial"/>
          <w:sz w:val="22"/>
          <w:szCs w:val="22"/>
          <w:color w:val="FFFFFF"/>
        </w:rPr>
        <w:t>,</w:t>
      </w:r>
    </w:p>
    <w:p>
      <w:pPr>
        <w:spacing w:after="0" w:line="21" w:lineRule="exact"/>
        <w:rPr>
          <w:sz w:val="20"/>
          <w:szCs w:val="20"/>
          <w:color w:val="auto"/>
        </w:rPr>
      </w:pPr>
    </w:p>
    <w:p>
      <w:pPr>
        <w:ind w:left="3240"/>
        <w:spacing w:after="0"/>
        <w:tabs>
          <w:tab w:leader="none" w:pos="4020" w:val="left"/>
        </w:tabs>
        <w:rPr>
          <w:sz w:val="20"/>
          <w:szCs w:val="20"/>
          <w:color w:val="auto"/>
        </w:rPr>
      </w:pPr>
      <w:r>
        <w:rPr>
          <w:rFonts w:ascii="Arial" w:cs="Arial" w:eastAsia="Arial" w:hAnsi="Arial"/>
          <w:sz w:val="22"/>
          <w:szCs w:val="22"/>
          <w:color w:val="auto"/>
        </w:rPr>
        <w:t>Name:</w:t>
        <w:tab/>
        <w:t>Carolyn J. Stone</w:t>
      </w:r>
    </w:p>
    <w:p>
      <w:pPr>
        <w:spacing w:after="0" w:line="4"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Chief Financial Officer and Treasurer</w:t>
      </w:r>
    </w:p>
    <w:p>
      <w:pPr>
        <w:sectPr>
          <w:pgSz w:w="11900" w:h="16838" w:orient="portrait"/>
          <w:cols w:equalWidth="0" w:num="1">
            <w:col w:w="11220"/>
          </w:cols>
          <w:pgMar w:left="320" w:top="342"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7"/>
          <w:szCs w:val="27"/>
          <w:b w:val="1"/>
          <w:bCs w:val="1"/>
          <w:color w:val="auto"/>
        </w:rPr>
        <w:t>Civeo Reports First Quarter 2020 Results</w:t>
      </w:r>
    </w:p>
    <w:p>
      <w:pPr>
        <w:spacing w:after="0" w:line="200" w:lineRule="exact"/>
        <w:rPr>
          <w:sz w:val="20"/>
          <w:szCs w:val="20"/>
          <w:color w:val="auto"/>
        </w:rPr>
      </w:pPr>
    </w:p>
    <w:p>
      <w:pPr>
        <w:spacing w:after="0" w:line="31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HOUSTON and CALGARY, May 7, 2020 (BUSINESS WIRE) -- Civeo Corporation (NYSE:CVEO) today reported financial and operating results for the first quarter ended March 31,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Highlights include:</w:t>
      </w:r>
    </w:p>
    <w:p>
      <w:pPr>
        <w:spacing w:after="0" w:line="144" w:lineRule="exact"/>
        <w:rPr>
          <w:sz w:val="20"/>
          <w:szCs w:val="20"/>
          <w:color w:val="auto"/>
        </w:rPr>
      </w:pPr>
    </w:p>
    <w:p>
      <w:pPr>
        <w:ind w:left="660" w:right="14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Reported first quarter revenues of $138.8 million, net loss of $146.5 million and operating cash flow of $20.8 million; the net loss for the first quarter of 2020 included the impact of approximately $144.1 million in non-cash goodwill and asset impairments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Delivered first quarter Adjusted EBITDA of $20.3 million, and free cash flow of $18.3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leverage ratio from 2.98x as of December 31, 2019 to 2.54x as of March 31, 2020</w:t>
      </w:r>
    </w:p>
    <w:p>
      <w:pPr>
        <w:spacing w:after="0" w:line="225" w:lineRule="exact"/>
        <w:rPr>
          <w:rFonts w:ascii="Arial" w:cs="Arial" w:eastAsia="Arial" w:hAnsi="Arial"/>
          <w:sz w:val="18"/>
          <w:szCs w:val="18"/>
          <w:color w:val="auto"/>
        </w:rPr>
      </w:pPr>
    </w:p>
    <w:p>
      <w:pPr>
        <w:ind w:left="660" w:right="18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Awarded four contract renewals with three Western Australia mining customers to provide catering and managed services from the Company’s Action Catering business with anticipated revenues totaling A$36 million over the next three years</w:t>
      </w:r>
    </w:p>
    <w:p>
      <w:pPr>
        <w:spacing w:after="0" w:line="197" w:lineRule="exact"/>
        <w:rPr>
          <w:rFonts w:ascii="Arial" w:cs="Arial" w:eastAsia="Arial" w:hAnsi="Arial"/>
          <w:sz w:val="18"/>
          <w:szCs w:val="18"/>
          <w:color w:val="auto"/>
        </w:rPr>
      </w:pPr>
    </w:p>
    <w:p>
      <w:pPr>
        <w:ind w:left="660" w:right="100" w:hanging="328"/>
        <w:spacing w:after="0" w:line="26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Previously announced implementation of cost containment initiatives related to COVID-19 and lower oil prices, including (1) salary and total compensation reductions of between 10% to 20% for the Board, executive leadership team and other senior management,</w:t>
      </w:r>
    </w:p>
    <w:p>
      <w:pPr>
        <w:ind w:left="660" w:right="60"/>
        <w:spacing w:after="0" w:line="261" w:lineRule="auto"/>
        <w:rPr>
          <w:rFonts w:ascii="Arial" w:cs="Arial" w:eastAsia="Arial" w:hAnsi="Arial"/>
          <w:sz w:val="17"/>
          <w:szCs w:val="17"/>
          <w:color w:val="auto"/>
        </w:rPr>
      </w:pPr>
      <w:r>
        <w:rPr>
          <w:rFonts w:ascii="Arial" w:cs="Arial" w:eastAsia="Arial" w:hAnsi="Arial"/>
          <w:sz w:val="18"/>
          <w:szCs w:val="18"/>
          <w:color w:val="auto"/>
        </w:rPr>
        <w:t>(2) headcount reduction in North America of 25% in the last month, and (3) cutting expected 2020 capital spending by approximately 25%</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currently operating in a challenging environment, and are working hard to navigate the COVID-19 pandemic and historic global oil supply/demand imbalance. Our first and most important priority in this tumultuous climate is to protect the health and wellbeing of our employees and guests. We are closely monitoring the COVID-19 situation and following our stringent safety protocols. I want to thank our employees for their commitment and focus during this difficult time," stated Bradley J. Dodson, Civeo's President and Chief Executive Officer.</w:t>
      </w:r>
    </w:p>
    <w:p>
      <w:pPr>
        <w:spacing w:after="0" w:line="19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Mr. Dodson added, "Civeo made progress on our key strategic initiatives in 2019, and that momentum carried into January and February of 2020. Despite the economic disruption and subdued activity in March in North America, the Company still delivered improved year-over-year financial and operational results for the first quarter of 2020, highlighted by the reduction of our leverage ratio to 2.54x on March 31, 2020, from 2.98x on December 31, 2019. We expect that the remainder of 2020 will bring reduced EBITDA; however, we believe the Company’s diversified geographic and commodity end market footprint, coupled with our relentless focus on positive free cash flow generation, will help us manage through this period of uncertainty."</w:t>
      </w:r>
    </w:p>
    <w:p>
      <w:pPr>
        <w:spacing w:after="0" w:line="208"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Mr. Dodson concluded, "We are focusing on the factors within our control as we navigate the challenges ahead, including implementing cost containment initiatives and reducing capital expenditures. We will continue to monitor the rapidly evolving market environment and manage the business accordingly."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2020 Results</w:t>
      </w:r>
    </w:p>
    <w:p>
      <w:pPr>
        <w:spacing w:after="0" w:line="14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the first quarter of 2020, Civeo generated revenues of $138.8 million and reported a net loss of $146.5 million, or $0.87 per diluted share. The loss results in part from $ 144.1 million in costs associated with goodwill and asset impairments. During the first quarter of 2020, Civeo produced operating cash flow of $20.8 million, Adjusted EBITDA of $20.3 million and free cash flow of $18.3 million.</w:t>
      </w:r>
    </w:p>
    <w:p>
      <w:pPr>
        <w:spacing w:after="0" w:line="12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first quarter of 2020 outperformed the first quarter of 2019 due to higher occupancy in both Canada and Australia coupled with the contributions from Action Catering, which was acquired in July 2019.</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By comparison, in the first quarter of 2019, Civeo generated revenues of $108.6 million and reported a net loss of $17.5 million, or $0.11 per diluted share. During the first quarter of 2019, Civeo generated operating cash flow of $6.3 million, Adjusted EBITDA of $15.9 million and free cash flow of $1.1 million.</w:t>
      </w:r>
    </w:p>
    <w:p>
      <w:pPr>
        <w:spacing w:after="0" w:line="12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(EBITDA is a non-GAAP financial measure that is defined as net income plus interest, taxes, depreciation and amortization, and Adjusted EBITDA is defined as EBITDA adjusted to exclude impairment charges. Free cash flow is a non-GAAP financial measure that is defined as net cash flows provided by operating activities less capital</w:t>
      </w:r>
    </w:p>
    <w:p>
      <w:pPr>
        <w:sectPr>
          <w:pgSz w:w="11900" w:h="16838" w:orient="portrait"/>
          <w:cols w:equalWidth="0" w:num="1">
            <w:col w:w="11220"/>
          </w:cols>
          <w:pgMar w:left="320" w:top="557" w:right="359" w:bottom="1440" w:gutter="0" w:footer="0" w:header="0"/>
        </w:sectPr>
      </w:pPr>
    </w:p>
    <w:bookmarkStart w:id="5" w:name="page6"/>
    <w:bookmarkEnd w:id="5"/>
    <w:p>
      <w:pPr>
        <w:ind w:right="1000"/>
        <w:spacing w:after="0" w:line="406" w:lineRule="auto"/>
        <w:rPr>
          <w:sz w:val="20"/>
          <w:szCs w:val="20"/>
          <w:color w:val="auto"/>
        </w:rPr>
      </w:pPr>
      <w:r>
        <w:rPr>
          <w:rFonts w:ascii="Arial" w:cs="Arial" w:eastAsia="Arial" w:hAnsi="Arial"/>
          <w:sz w:val="18"/>
          <w:szCs w:val="18"/>
          <w:color w:val="auto"/>
        </w:rPr>
        <w:t xml:space="preserve">expenditures plus proceeds from asset sales. Please see the reconciliations to GAAP measures at the end of this news release.) </w:t>
      </w:r>
      <w:r>
        <w:rPr>
          <w:rFonts w:ascii="Arial" w:cs="Arial" w:eastAsia="Arial" w:hAnsi="Arial"/>
          <w:sz w:val="18"/>
          <w:szCs w:val="18"/>
          <w:u w:val="single" w:color="auto"/>
          <w:color w:val="auto"/>
        </w:rPr>
        <w:t>Business Segment Results</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(Unless otherwise noted, the following discussion compares the quarterly results for the first quarter of 2020 to the results for the first quarter of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first quarter of 2020, the Canadian segment generated revenues of $79.3 million, operating loss of $136.6 million and Adjusted EBITDA of $11.4 million, compared to revenues of $66.8 million, operating loss of $11.6 million and Adjusted EBITDA of $10.2 million in the first quarter of 2019. The first quarter of 2020 results included a goodwill impairment charge of $93.6 million and asset impairment charges of $38.1 million.</w:t>
      </w:r>
    </w:p>
    <w:p>
      <w:pPr>
        <w:spacing w:after="0" w:line="1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On a constant currency basis, the Canadian segment experienced a 20% period-over-period increase in revenues driven by a 13% year-over-year increase in billed rooms related to oil sands activity and the contribution from the newly expanded Sitka Lodge serving LNG activity. Adjusted EBITDA for the Canadian segment increased 12% year-over-year with the higher lodge occupancy. These results were achieved despite a more than 50% drop in occupancy in our Canadian lodges during March as customers reacted to the precipitous drop in oil prices and the safety concerns related to COVID-19.</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first quarter of 2020, the Australian segment generated revenues of $49.1 million, operating income of $6.2 million and Adjusted EBITDA of $16.2 million, compared to revenues of $28.4 million, operating loss of $0.4 million and Adjusted EBITDA of $9.9 million in the first quarter of 2019. The first quarter of 2020 results reflect the impact of a weakened Australian dollar relative to the U.S. dollar, which decreased revenues and Adjusted EBITDA by $2.7 million and $1.4 million, respectively.</w:t>
      </w:r>
    </w:p>
    <w:p>
      <w:pPr>
        <w:spacing w:after="0" w:line="1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a constant currency basis, the Australian segment experienced an 87% period-over-period increase in revenues primarily driven by contributions from the acquisition of Action Catering. Australian village occupancy increased year-over-year with billed rooms up 23% primarily due to continued improvement in metallurgical coal activity across the Bowen Basin. Adjusted EBITDA from the Australian segment increased 64% year-over-year due to higher village occupancy coupled with contributions from the recent acquisition of Action Catering. Australian revenues in the first quarter of 2020 increased more year-over-year than Australian Adjusted EBITDA due to the inherent lower margins in the service-only business model of Action Catering.</w:t>
      </w:r>
    </w:p>
    <w:p>
      <w:pPr>
        <w:spacing w:after="0" w:line="12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Since the beginning of 2020, Civeo was awarded four contract renewals with three Western Australian mining customers from our Action Catering business. The contract terms vary from one to three years, with anticipated aggregate revenues totaling A$36 million through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U.S. segment generated revenues of $10.3 million, operating loss of $14.1 million and Adjusted EBITDA of $0.4 million in the first quarter of 2020, compared to revenues of $13.4 million, operating loss of $1.0 million and Adjusted EBITDA of $2.8 million in the first quarter of 2019. The first quarter of 2020 included asset impairment charges of $12.4 million. Revenues and Adjusted EBITDA declined year-over-year primarily due to lower drilling and completion activity coupled with lower occupancy in the U.S. lodges.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4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Civeo recognized an income tax benefit of $8.8 million, which resulted in an effective tax rate of 5.7%, in the first quarter of 2020. During the first quarter of 2019, Civeo recognized an income tax benefit of $4.5 million, which resulted in an effective tax rate of 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4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As of March 31, 2020, Civeo had total liquidity of approximately $149.6 million, consisting of $144.0 million available under its revolving credit facilities and $5.6 million of cash on hand.</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Civeo’s total debt outstanding on March 31, 2020 was $314.9 million, a $44.2 million decrease since December 31, 2019. The decrease consisted of $ 14.2 million in debt payments from free cash flow generated by the business as well as a favorable foreign currency translation impact of $30 million.</w:t>
      </w:r>
    </w:p>
    <w:p>
      <w:pPr>
        <w:sectPr>
          <w:pgSz w:w="11900" w:h="16838" w:orient="portrait"/>
          <w:cols w:equalWidth="0" w:num="1">
            <w:col w:w="11240"/>
          </w:cols>
          <w:pgMar w:left="320" w:top="57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Civeo reduced its leverage ratio from 2.98x as of December 31, 2019 to 2.54x as of March 31, 2020.</w:t>
      </w:r>
    </w:p>
    <w:p>
      <w:pPr>
        <w:spacing w:after="0" w:line="14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During the first quarter of 2020, Civeo invested $2.7 million in capital expenditures, down from $9.7 million during the first quarter of 2019 due to the completion of the Sitka lodge expansion in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2020 Guidance</w:t>
      </w:r>
    </w:p>
    <w:p>
      <w:pPr>
        <w:spacing w:after="0" w:line="14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previously announced in the April 14th Business Update, Civeo has withdrawn its 2020 revenue and EBITDA guidance. The Company is lowering its full year 2020 capital expenditure guidance to approximately $15 million. The Company is not otherwise providing guidance at this time.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44"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Civeo will host a conference call to discuss its first quarter 2020 financial results today at 11:00 a.m. Eastern time. This call is being webcast and can be accessed at Civeo's website at www.civeo.com. Participants may also join the conference call by dialing (800) 239 -9838 in the United States or (323) 794-2551 internationally and using the conference ID 2637764#. A replay will be available after the call by dialing</w:t>
      </w:r>
    </w:p>
    <w:p>
      <w:pPr>
        <w:spacing w:after="0" w:line="1" w:lineRule="exact"/>
        <w:rPr>
          <w:sz w:val="20"/>
          <w:szCs w:val="20"/>
          <w:color w:val="auto"/>
        </w:rPr>
      </w:pPr>
    </w:p>
    <w:p>
      <w:pPr>
        <w:ind w:right="2520" w:firstLine="8"/>
        <w:spacing w:after="0" w:line="406"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512-2921 in the United States or (412) 317-6671 internationally and using the conference ID 2637764#. </w:t>
      </w:r>
      <w:r>
        <w:rPr>
          <w:rFonts w:ascii="Arial" w:cs="Arial" w:eastAsia="Arial" w:hAnsi="Arial"/>
          <w:sz w:val="18"/>
          <w:szCs w:val="18"/>
          <w:u w:val="single" w:color="auto"/>
          <w:color w:val="auto"/>
        </w:rPr>
        <w:t>About Civeo</w:t>
      </w:r>
    </w:p>
    <w:p>
      <w:pPr>
        <w:spacing w:after="0" w:line="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28 lodges and villages in Canada, Australia and the U.S., with an aggregate of approximately 30,000 rooms. Civeo is publicly traded under the symbol CVEO on the New York Stock Exchange. For more information, please visit Civeo's website at www.civeo.com.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4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include the statements regarding Civeo’s future plans and outlook,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global health concerns and pandemics, including the COVID-19 pandemic and the risk that room occupancy may decline if our customers are limited or restricted in the availability of personnel who may become ill or be subjected to quarantine,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the company’s ability to integrate acquisitions, risks associated with the development of new projects, including whether such projects will continue in the future, risks associated with the trading price of the company’s common shares, availability and cost of capital, risks associated with our ability to remain in compliance with our financial covenants in our debt agreements, risks associated with general global economic conditions, global weather conditions, natural disasters and security threats and changes to government and environmental regulations, including climate change, and other factors discussed in the “Management’s Discussion and Analysis of Financial Condition and Results of Operations” and “Risk Factors” sections of Civeo’s annual report on Form 10-K for the year ended December 31, 2019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ectPr>
          <w:pgSz w:w="11900" w:h="16838" w:orient="portrait"/>
          <w:cols w:equalWidth="0" w:num="1">
            <w:col w:w="11240"/>
          </w:cols>
          <w:pgMar w:left="320" w:top="57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 Financial Schedules Follow -</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CIVEO CORPORATION</w:t>
      </w:r>
    </w:p>
    <w:p>
      <w:pPr>
        <w:spacing w:after="0" w:line="3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59" w:lineRule="exact"/>
        <w:rPr>
          <w:sz w:val="20"/>
          <w:szCs w:val="20"/>
          <w:color w:val="auto"/>
        </w:rPr>
      </w:pPr>
    </w:p>
    <w:p>
      <w:pPr>
        <w:jc w:val="center"/>
        <w:ind w:left="46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4680"/>
        <w:spacing w:after="0"/>
        <w:rPr>
          <w:sz w:val="20"/>
          <w:szCs w:val="20"/>
          <w:color w:val="auto"/>
        </w:rPr>
      </w:pPr>
      <w:r>
        <w:rPr>
          <w:rFonts w:ascii="Arial" w:cs="Arial" w:eastAsia="Arial" w:hAnsi="Arial"/>
          <w:sz w:val="14"/>
          <w:szCs w:val="14"/>
          <w:b w:val="1"/>
          <w:bCs w:val="1"/>
          <w:color w:val="auto"/>
        </w:rPr>
        <w:t>March 31,</w:t>
      </w:r>
    </w:p>
    <w:p>
      <w:pPr>
        <w:spacing w:after="0" w:line="91" w:lineRule="exact"/>
        <w:rPr>
          <w:sz w:val="20"/>
          <w:szCs w:val="20"/>
          <w:color w:val="auto"/>
        </w:rPr>
      </w:pPr>
    </w:p>
    <w:tbl>
      <w:tblPr>
        <w:tblLayout w:type="fixed"/>
        <w:tblInd w:w="220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r>
      <w:tr>
        <w:trPr>
          <w:trHeight w:val="581"/>
        </w:trPr>
        <w:tc>
          <w:tcPr>
            <w:tcW w:w="4640" w:type="dxa"/>
            <w:vAlign w:val="bottom"/>
          </w:tcPr>
          <w:p>
            <w:pPr>
              <w:spacing w:after="0"/>
              <w:rPr>
                <w:sz w:val="20"/>
                <w:szCs w:val="20"/>
                <w:color w:val="auto"/>
              </w:rPr>
            </w:pPr>
            <w:r>
              <w:rPr>
                <w:rFonts w:ascii="Arial" w:cs="Arial" w:eastAsia="Arial" w:hAnsi="Arial"/>
                <w:sz w:val="14"/>
                <w:szCs w:val="14"/>
                <w:color w:val="auto"/>
              </w:rPr>
              <w:t>Revenues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138,792</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108,550</w:t>
            </w:r>
          </w:p>
        </w:tc>
      </w:tr>
      <w:tr>
        <w:trPr>
          <w:trHeight w:val="567"/>
        </w:trPr>
        <w:tc>
          <w:tcPr>
            <w:tcW w:w="4640" w:type="dxa"/>
            <w:vAlign w:val="bottom"/>
          </w:tcPr>
          <w:p>
            <w:pPr>
              <w:spacing w:after="0"/>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4640" w:type="dxa"/>
            <w:vAlign w:val="bottom"/>
          </w:tcPr>
          <w:p>
            <w:pPr>
              <w:ind w:left="140"/>
              <w:spacing w:after="0"/>
              <w:rPr>
                <w:sz w:val="20"/>
                <w:szCs w:val="20"/>
                <w:color w:val="auto"/>
              </w:rPr>
            </w:pPr>
            <w:r>
              <w:rPr>
                <w:rFonts w:ascii="Arial" w:cs="Arial" w:eastAsia="Arial" w:hAnsi="Arial"/>
                <w:sz w:val="14"/>
                <w:szCs w:val="14"/>
                <w:color w:val="auto"/>
              </w:rPr>
              <w:t>Cost of sales and services</w:t>
            </w:r>
          </w:p>
        </w:tc>
        <w:tc>
          <w:tcPr>
            <w:tcW w:w="26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103,313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79,630</w:t>
            </w:r>
          </w:p>
        </w:tc>
      </w:tr>
      <w:tr>
        <w:trPr>
          <w:trHeight w:val="270"/>
        </w:trPr>
        <w:tc>
          <w:tcPr>
            <w:tcW w:w="464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13,937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16,096</w:t>
            </w:r>
          </w:p>
        </w:tc>
      </w:tr>
      <w:tr>
        <w:trPr>
          <w:trHeight w:val="270"/>
        </w:trPr>
        <w:tc>
          <w:tcPr>
            <w:tcW w:w="4640" w:type="dxa"/>
            <w:vAlign w:val="bottom"/>
          </w:tcPr>
          <w:p>
            <w:pPr>
              <w:ind w:left="14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25,502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30,782</w:t>
            </w:r>
          </w:p>
        </w:tc>
      </w:tr>
      <w:tr>
        <w:trPr>
          <w:trHeight w:val="270"/>
        </w:trPr>
        <w:tc>
          <w:tcPr>
            <w:tcW w:w="4640" w:type="dxa"/>
            <w:vAlign w:val="bottom"/>
          </w:tcPr>
          <w:p>
            <w:pPr>
              <w:ind w:left="140"/>
              <w:spacing w:after="0"/>
              <w:rPr>
                <w:sz w:val="20"/>
                <w:szCs w:val="20"/>
                <w:color w:val="auto"/>
              </w:rPr>
            </w:pPr>
            <w:r>
              <w:rPr>
                <w:rFonts w:ascii="Arial" w:cs="Arial" w:eastAsia="Arial" w:hAnsi="Arial"/>
                <w:sz w:val="14"/>
                <w:szCs w:val="14"/>
                <w:color w:val="auto"/>
              </w:rPr>
              <w:t>Impairment expense</w:t>
            </w:r>
          </w:p>
        </w:tc>
        <w:tc>
          <w:tcPr>
            <w:tcW w:w="26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144,120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4640" w:type="dxa"/>
            <w:vAlign w:val="bottom"/>
          </w:tcPr>
          <w:p>
            <w:pPr>
              <w:ind w:left="140"/>
              <w:spacing w:after="0"/>
              <w:rPr>
                <w:sz w:val="20"/>
                <w:szCs w:val="20"/>
                <w:color w:val="auto"/>
              </w:rPr>
            </w:pPr>
            <w:r>
              <w:rPr>
                <w:rFonts w:ascii="Arial" w:cs="Arial" w:eastAsia="Arial" w:hAnsi="Arial"/>
                <w:sz w:val="14"/>
                <w:szCs w:val="14"/>
                <w:color w:val="auto"/>
              </w:rPr>
              <w:t>Other operating expense (income)</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r>
      <w:tr>
        <w:trPr>
          <w:trHeight w:val="250"/>
        </w:trPr>
        <w:tc>
          <w:tcPr>
            <w:tcW w:w="46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287,861</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126,443</w:t>
            </w:r>
          </w:p>
        </w:tc>
      </w:tr>
      <w:tr>
        <w:trPr>
          <w:trHeight w:val="244"/>
        </w:trPr>
        <w:tc>
          <w:tcPr>
            <w:tcW w:w="4640" w:type="dxa"/>
            <w:vAlign w:val="bottom"/>
          </w:tcPr>
          <w:p>
            <w:pPr>
              <w:spacing w:after="0"/>
              <w:rPr>
                <w:sz w:val="20"/>
                <w:szCs w:val="20"/>
                <w:color w:val="auto"/>
              </w:rPr>
            </w:pPr>
            <w:r>
              <w:rPr>
                <w:rFonts w:ascii="Arial" w:cs="Arial" w:eastAsia="Arial" w:hAnsi="Arial"/>
                <w:sz w:val="14"/>
                <w:szCs w:val="14"/>
                <w:color w:val="auto"/>
              </w:rPr>
              <w:t>Operating loss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(149,069)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(17,893)</w:t>
            </w:r>
          </w:p>
        </w:tc>
      </w:tr>
      <w:tr>
        <w:trPr>
          <w:trHeight w:val="567"/>
        </w:trPr>
        <w:tc>
          <w:tcPr>
            <w:tcW w:w="4640" w:type="dxa"/>
            <w:vAlign w:val="bottom"/>
          </w:tcPr>
          <w:p>
            <w:pPr>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(5,595)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(6,635)</w:t>
            </w:r>
          </w:p>
        </w:tc>
      </w:tr>
      <w:tr>
        <w:trPr>
          <w:trHeight w:val="270"/>
        </w:trPr>
        <w:tc>
          <w:tcPr>
            <w:tcW w:w="4640" w:type="dxa"/>
            <w:vAlign w:val="bottom"/>
          </w:tcPr>
          <w:p>
            <w:pPr>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w:t>
            </w:r>
          </w:p>
        </w:tc>
      </w:tr>
      <w:tr>
        <w:trPr>
          <w:trHeight w:val="276"/>
        </w:trPr>
        <w:tc>
          <w:tcPr>
            <w:tcW w:w="4640" w:type="dxa"/>
            <w:vAlign w:val="bottom"/>
          </w:tcPr>
          <w:p>
            <w:pPr>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2,978</w:t>
            </w:r>
          </w:p>
        </w:tc>
      </w:tr>
      <w:tr>
        <w:trPr>
          <w:trHeight w:val="244"/>
        </w:trPr>
        <w:tc>
          <w:tcPr>
            <w:tcW w:w="4640" w:type="dxa"/>
            <w:vAlign w:val="bottom"/>
          </w:tcPr>
          <w:p>
            <w:pPr>
              <w:ind w:left="140"/>
              <w:spacing w:after="0"/>
              <w:rPr>
                <w:sz w:val="20"/>
                <w:szCs w:val="20"/>
                <w:color w:val="auto"/>
              </w:rPr>
            </w:pPr>
            <w:r>
              <w:rPr>
                <w:rFonts w:ascii="Arial" w:cs="Arial" w:eastAsia="Arial" w:hAnsi="Arial"/>
                <w:sz w:val="14"/>
                <w:szCs w:val="14"/>
                <w:color w:val="auto"/>
              </w:rPr>
              <w:t>Loss before income taxes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(154,623)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(21,523)</w:t>
            </w:r>
          </w:p>
        </w:tc>
      </w:tr>
      <w:tr>
        <w:trPr>
          <w:trHeight w:val="276"/>
        </w:trPr>
        <w:tc>
          <w:tcPr>
            <w:tcW w:w="4640" w:type="dxa"/>
            <w:vAlign w:val="bottom"/>
          </w:tcPr>
          <w:p>
            <w:pPr>
              <w:spacing w:after="0"/>
              <w:rPr>
                <w:sz w:val="20"/>
                <w:szCs w:val="20"/>
                <w:color w:val="auto"/>
              </w:rPr>
            </w:pPr>
            <w:r>
              <w:rPr>
                <w:rFonts w:ascii="Arial" w:cs="Arial" w:eastAsia="Arial" w:hAnsi="Arial"/>
                <w:sz w:val="14"/>
                <w:szCs w:val="14"/>
                <w:color w:val="auto"/>
              </w:rPr>
              <w:t>Income tax benefit</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8,811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4,484</w:t>
            </w:r>
          </w:p>
        </w:tc>
      </w:tr>
      <w:tr>
        <w:trPr>
          <w:trHeight w:val="244"/>
        </w:trPr>
        <w:tc>
          <w:tcPr>
            <w:tcW w:w="4640" w:type="dxa"/>
            <w:vAlign w:val="bottom"/>
          </w:tcPr>
          <w:p>
            <w:pPr>
              <w:spacing w:after="0"/>
              <w:rPr>
                <w:sz w:val="20"/>
                <w:szCs w:val="20"/>
                <w:color w:val="auto"/>
              </w:rPr>
            </w:pPr>
            <w:r>
              <w:rPr>
                <w:rFonts w:ascii="Arial" w:cs="Arial" w:eastAsia="Arial" w:hAnsi="Arial"/>
                <w:sz w:val="14"/>
                <w:szCs w:val="14"/>
                <w:color w:val="auto"/>
              </w:rPr>
              <w:t>Net loss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(145,812)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(17,039)</w:t>
            </w:r>
          </w:p>
        </w:tc>
      </w:tr>
      <w:tr>
        <w:trPr>
          <w:trHeight w:val="276"/>
        </w:trPr>
        <w:tc>
          <w:tcPr>
            <w:tcW w:w="4640" w:type="dxa"/>
            <w:vAlign w:val="bottom"/>
          </w:tcPr>
          <w:p>
            <w:pPr>
              <w:ind w:left="140"/>
              <w:spacing w:after="0"/>
              <w:rPr>
                <w:sz w:val="20"/>
                <w:szCs w:val="20"/>
                <w:color w:val="auto"/>
              </w:rPr>
            </w:pPr>
            <w:r>
              <w:rPr>
                <w:rFonts w:ascii="Arial" w:cs="Arial" w:eastAsia="Arial" w:hAnsi="Arial"/>
                <w:sz w:val="14"/>
                <w:szCs w:val="14"/>
                <w:color w:val="auto"/>
              </w:rPr>
              <w:t>Less: Net income attributable to noncontrolling interest</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44"/>
        </w:trPr>
        <w:tc>
          <w:tcPr>
            <w:tcW w:w="4640" w:type="dxa"/>
            <w:vAlign w:val="bottom"/>
          </w:tcPr>
          <w:p>
            <w:pPr>
              <w:spacing w:after="0"/>
              <w:rPr>
                <w:sz w:val="20"/>
                <w:szCs w:val="20"/>
                <w:color w:val="auto"/>
              </w:rPr>
            </w:pPr>
            <w:r>
              <w:rPr>
                <w:rFonts w:ascii="Arial" w:cs="Arial" w:eastAsia="Arial" w:hAnsi="Arial"/>
                <w:sz w:val="14"/>
                <w:szCs w:val="14"/>
                <w:color w:val="auto"/>
              </w:rPr>
              <w:t>Net loss attributable to Civeo Corporation</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(146,070)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(17,039)</w:t>
            </w:r>
          </w:p>
        </w:tc>
      </w:tr>
      <w:tr>
        <w:trPr>
          <w:trHeight w:val="276"/>
        </w:trPr>
        <w:tc>
          <w:tcPr>
            <w:tcW w:w="4640" w:type="dxa"/>
            <w:vAlign w:val="bottom"/>
          </w:tcPr>
          <w:p>
            <w:pPr>
              <w:ind w:left="140"/>
              <w:spacing w:after="0"/>
              <w:rPr>
                <w:sz w:val="20"/>
                <w:szCs w:val="20"/>
                <w:color w:val="auto"/>
              </w:rPr>
            </w:pPr>
            <w:r>
              <w:rPr>
                <w:rFonts w:ascii="Arial" w:cs="Arial" w:eastAsia="Arial" w:hAnsi="Arial"/>
                <w:sz w:val="14"/>
                <w:szCs w:val="14"/>
                <w:color w:val="auto"/>
              </w:rPr>
              <w:t>Less: Dividends attributable to Class A preferred shares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459</w:t>
            </w:r>
          </w:p>
        </w:tc>
      </w:tr>
      <w:tr>
        <w:trPr>
          <w:trHeight w:val="243"/>
        </w:trPr>
        <w:tc>
          <w:tcPr>
            <w:tcW w:w="4640" w:type="dxa"/>
            <w:vAlign w:val="bottom"/>
          </w:tcPr>
          <w:p>
            <w:pPr>
              <w:spacing w:after="0"/>
              <w:rPr>
                <w:sz w:val="20"/>
                <w:szCs w:val="20"/>
                <w:color w:val="auto"/>
              </w:rPr>
            </w:pPr>
            <w:r>
              <w:rPr>
                <w:rFonts w:ascii="Arial" w:cs="Arial" w:eastAsia="Arial" w:hAnsi="Arial"/>
                <w:sz w:val="14"/>
                <w:szCs w:val="14"/>
                <w:color w:val="auto"/>
              </w:rPr>
              <w:t>Net loss attributable to Civeo common shareholders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(146,538)</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(17,498)</w:t>
            </w: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535"/>
        </w:trPr>
        <w:tc>
          <w:tcPr>
            <w:tcW w:w="4900" w:type="dxa"/>
            <w:vAlign w:val="bottom"/>
            <w:gridSpan w:val="2"/>
          </w:tcPr>
          <w:p>
            <w:pPr>
              <w:spacing w:after="0"/>
              <w:rPr>
                <w:sz w:val="20"/>
                <w:szCs w:val="20"/>
                <w:color w:val="auto"/>
              </w:rPr>
            </w:pPr>
            <w:r>
              <w:rPr>
                <w:rFonts w:ascii="Arial" w:cs="Arial" w:eastAsia="Arial" w:hAnsi="Arial"/>
                <w:sz w:val="14"/>
                <w:szCs w:val="14"/>
                <w:color w:val="auto"/>
              </w:rPr>
              <w:t>Net loss per share attributable to Civeo Corporation common shareholders: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4640" w:type="dxa"/>
            <w:vAlign w:val="bottom"/>
          </w:tcPr>
          <w:p>
            <w:pPr>
              <w:ind w:left="14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(0.87)</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(0.11)</w:t>
            </w:r>
          </w:p>
        </w:tc>
      </w:tr>
      <w:tr>
        <w:trPr>
          <w:trHeight w:val="270"/>
        </w:trPr>
        <w:tc>
          <w:tcPr>
            <w:tcW w:w="4640" w:type="dxa"/>
            <w:vAlign w:val="bottom"/>
          </w:tcPr>
          <w:p>
            <w:pPr>
              <w:ind w:left="140"/>
              <w:spacing w:after="0"/>
              <w:rPr>
                <w:sz w:val="20"/>
                <w:szCs w:val="20"/>
                <w:color w:val="auto"/>
              </w:rPr>
            </w:pPr>
            <w:r>
              <w:rPr>
                <w:rFonts w:ascii="Arial" w:cs="Arial" w:eastAsia="Arial" w:hAnsi="Arial"/>
                <w:sz w:val="14"/>
                <w:szCs w:val="14"/>
                <w:color w:val="auto"/>
              </w:rPr>
              <w:t>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(0.87)</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(0.11)</w:t>
            </w:r>
          </w:p>
        </w:tc>
      </w:tr>
      <w:tr>
        <w:trPr>
          <w:trHeight w:val="567"/>
        </w:trPr>
        <w:tc>
          <w:tcPr>
            <w:tcW w:w="464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4640" w:type="dxa"/>
            <w:vAlign w:val="bottom"/>
          </w:tcPr>
          <w:p>
            <w:pPr>
              <w:ind w:left="14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168,519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165,330</w:t>
            </w:r>
          </w:p>
        </w:tc>
      </w:tr>
      <w:tr>
        <w:trPr>
          <w:trHeight w:val="270"/>
        </w:trPr>
        <w:tc>
          <w:tcPr>
            <w:tcW w:w="4640" w:type="dxa"/>
            <w:vAlign w:val="bottom"/>
          </w:tcPr>
          <w:p>
            <w:pPr>
              <w:ind w:left="14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168,519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165,330</w:t>
            </w:r>
          </w:p>
        </w:tc>
      </w:tr>
    </w:tbl>
    <w:p>
      <w:pPr>
        <w:sectPr>
          <w:pgSz w:w="11900" w:h="16838" w:orient="portrait"/>
          <w:cols w:equalWidth="0" w:num="1">
            <w:col w:w="10139"/>
          </w:cols>
          <w:pgMar w:left="320" w:top="1273"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336" w:lineRule="exact"/>
        <w:rPr>
          <w:sz w:val="20"/>
          <w:szCs w:val="20"/>
          <w:color w:val="auto"/>
        </w:rPr>
      </w:pPr>
    </w:p>
    <w:tbl>
      <w:tblPr>
        <w:tblLayout w:type="fixed"/>
        <w:tblInd w:w="102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3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March 31, 2020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8"/>
        </w:trPr>
        <w:tc>
          <w:tcPr>
            <w:tcW w:w="3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8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8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5,558</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3,331</w:t>
            </w:r>
          </w:p>
        </w:tc>
        <w:tc>
          <w:tcPr>
            <w:tcW w:w="0" w:type="dxa"/>
            <w:vAlign w:val="bottom"/>
          </w:tcPr>
          <w:p>
            <w:pPr>
              <w:spacing w:after="0"/>
              <w:rPr>
                <w:sz w:val="1"/>
                <w:szCs w:val="1"/>
                <w:color w:val="auto"/>
              </w:rPr>
            </w:pPr>
          </w:p>
        </w:tc>
      </w:tr>
      <w:tr>
        <w:trPr>
          <w:trHeight w:val="270"/>
        </w:trPr>
        <w:tc>
          <w:tcPr>
            <w:tcW w:w="388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91,874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99,493</w:t>
            </w:r>
          </w:p>
        </w:tc>
        <w:tc>
          <w:tcPr>
            <w:tcW w:w="0" w:type="dxa"/>
            <w:vAlign w:val="bottom"/>
          </w:tcPr>
          <w:p>
            <w:pPr>
              <w:spacing w:after="0"/>
              <w:rPr>
                <w:sz w:val="1"/>
                <w:szCs w:val="1"/>
                <w:color w:val="auto"/>
              </w:rPr>
            </w:pPr>
          </w:p>
        </w:tc>
      </w:tr>
      <w:tr>
        <w:trPr>
          <w:trHeight w:val="270"/>
        </w:trPr>
        <w:tc>
          <w:tcPr>
            <w:tcW w:w="388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5,877</w:t>
            </w:r>
          </w:p>
        </w:tc>
        <w:tc>
          <w:tcPr>
            <w:tcW w:w="0" w:type="dxa"/>
            <w:vAlign w:val="bottom"/>
          </w:tcPr>
          <w:p>
            <w:pPr>
              <w:spacing w:after="0"/>
              <w:rPr>
                <w:sz w:val="1"/>
                <w:szCs w:val="1"/>
                <w:color w:val="auto"/>
              </w:rPr>
            </w:pPr>
          </w:p>
        </w:tc>
      </w:tr>
      <w:tr>
        <w:trPr>
          <w:trHeight w:val="270"/>
        </w:trPr>
        <w:tc>
          <w:tcPr>
            <w:tcW w:w="3880" w:type="dxa"/>
            <w:vAlign w:val="bottom"/>
          </w:tcPr>
          <w:p>
            <w:pPr>
              <w:ind w:left="140"/>
              <w:spacing w:after="0"/>
              <w:rPr>
                <w:sz w:val="20"/>
                <w:szCs w:val="20"/>
                <w:color w:val="auto"/>
              </w:rPr>
            </w:pPr>
            <w:r>
              <w:rPr>
                <w:rFonts w:ascii="Arial" w:cs="Arial" w:eastAsia="Arial" w:hAnsi="Arial"/>
                <w:sz w:val="16"/>
                <w:szCs w:val="16"/>
                <w:color w:val="auto"/>
              </w:rPr>
              <w:t>Assets held for sale</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7,589</w:t>
            </w:r>
          </w:p>
        </w:tc>
        <w:tc>
          <w:tcPr>
            <w:tcW w:w="0" w:type="dxa"/>
            <w:vAlign w:val="bottom"/>
          </w:tcPr>
          <w:p>
            <w:pPr>
              <w:spacing w:after="0"/>
              <w:rPr>
                <w:sz w:val="1"/>
                <w:szCs w:val="1"/>
                <w:color w:val="auto"/>
              </w:rPr>
            </w:pPr>
          </w:p>
        </w:tc>
      </w:tr>
      <w:tr>
        <w:trPr>
          <w:trHeight w:val="283"/>
        </w:trPr>
        <w:tc>
          <w:tcPr>
            <w:tcW w:w="388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16,374</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15,151</w:t>
            </w:r>
          </w:p>
        </w:tc>
        <w:tc>
          <w:tcPr>
            <w:tcW w:w="0" w:type="dxa"/>
            <w:vAlign w:val="bottom"/>
          </w:tcPr>
          <w:p>
            <w:pPr>
              <w:spacing w:after="0"/>
              <w:rPr>
                <w:sz w:val="1"/>
                <w:szCs w:val="1"/>
                <w:color w:val="auto"/>
              </w:rPr>
            </w:pPr>
          </w:p>
        </w:tc>
      </w:tr>
      <w:tr>
        <w:trPr>
          <w:trHeight w:val="237"/>
        </w:trPr>
        <w:tc>
          <w:tcPr>
            <w:tcW w:w="3880" w:type="dxa"/>
            <w:vAlign w:val="bottom"/>
          </w:tcPr>
          <w:p>
            <w:pPr>
              <w:ind w:left="26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126,188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131,441</w:t>
            </w:r>
          </w:p>
        </w:tc>
        <w:tc>
          <w:tcPr>
            <w:tcW w:w="0" w:type="dxa"/>
            <w:vAlign w:val="bottom"/>
          </w:tcPr>
          <w:p>
            <w:pPr>
              <w:spacing w:after="0"/>
              <w:rPr>
                <w:sz w:val="1"/>
                <w:szCs w:val="1"/>
                <w:color w:val="auto"/>
              </w:rPr>
            </w:pPr>
          </w:p>
        </w:tc>
      </w:tr>
      <w:tr>
        <w:trPr>
          <w:trHeight w:val="554"/>
        </w:trPr>
        <w:tc>
          <w:tcPr>
            <w:tcW w:w="38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465,087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590,309</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0"/>
                <w:szCs w:val="20"/>
                <w:color w:val="auto"/>
              </w:rPr>
            </w:pPr>
            <w:r>
              <w:rPr>
                <w:rFonts w:ascii="Arial" w:cs="Arial" w:eastAsia="Arial" w:hAnsi="Arial"/>
                <w:sz w:val="16"/>
                <w:szCs w:val="16"/>
                <w:color w:val="auto"/>
              </w:rPr>
              <w:t>Goodwill, net</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110,173</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98,944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111,837</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21,558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24,876</w:t>
            </w:r>
          </w:p>
        </w:tc>
        <w:tc>
          <w:tcPr>
            <w:tcW w:w="0" w:type="dxa"/>
            <w:vAlign w:val="bottom"/>
          </w:tcPr>
          <w:p>
            <w:pPr>
              <w:spacing w:after="0"/>
              <w:rPr>
                <w:sz w:val="1"/>
                <w:szCs w:val="1"/>
                <w:color w:val="auto"/>
              </w:rPr>
            </w:pPr>
          </w:p>
        </w:tc>
      </w:tr>
      <w:tr>
        <w:trPr>
          <w:trHeight w:val="283"/>
        </w:trPr>
        <w:tc>
          <w:tcPr>
            <w:tcW w:w="38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237"/>
        </w:trPr>
        <w:tc>
          <w:tcPr>
            <w:tcW w:w="3880" w:type="dxa"/>
            <w:vAlign w:val="bottom"/>
          </w:tcPr>
          <w:p>
            <w:pPr>
              <w:ind w:left="26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719,523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969,912</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43,258</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36,971</w:t>
            </w:r>
          </w:p>
        </w:tc>
        <w:tc>
          <w:tcPr>
            <w:tcW w:w="0" w:type="dxa"/>
            <w:vAlign w:val="bottom"/>
          </w:tcPr>
          <w:p>
            <w:pPr>
              <w:spacing w:after="0"/>
              <w:rPr>
                <w:sz w:val="1"/>
                <w:szCs w:val="1"/>
                <w:color w:val="auto"/>
              </w:rPr>
            </w:pPr>
          </w:p>
        </w:tc>
      </w:tr>
      <w:tr>
        <w:trPr>
          <w:trHeight w:val="270"/>
        </w:trPr>
        <w:tc>
          <w:tcPr>
            <w:tcW w:w="3880" w:type="dxa"/>
            <w:vAlign w:val="bottom"/>
          </w:tcPr>
          <w:p>
            <w:pPr>
              <w:ind w:left="140"/>
              <w:spacing w:after="0"/>
              <w:rPr>
                <w:sz w:val="20"/>
                <w:szCs w:val="20"/>
                <w:color w:val="auto"/>
              </w:rPr>
            </w:pPr>
            <w:r>
              <w:rPr>
                <w:rFonts w:ascii="Arial" w:cs="Arial" w:eastAsia="Arial" w:hAnsi="Arial"/>
                <w:sz w:val="16"/>
                <w:szCs w:val="16"/>
                <w:color w:val="auto"/>
              </w:rPr>
              <w:t>Accrued liabilities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16,163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21,755</w:t>
            </w:r>
          </w:p>
        </w:tc>
        <w:tc>
          <w:tcPr>
            <w:tcW w:w="0" w:type="dxa"/>
            <w:vAlign w:val="bottom"/>
          </w:tcPr>
          <w:p>
            <w:pPr>
              <w:spacing w:after="0"/>
              <w:rPr>
                <w:sz w:val="1"/>
                <w:szCs w:val="1"/>
                <w:color w:val="auto"/>
              </w:rPr>
            </w:pPr>
          </w:p>
        </w:tc>
      </w:tr>
      <w:tr>
        <w:trPr>
          <w:trHeight w:val="270"/>
        </w:trPr>
        <w:tc>
          <w:tcPr>
            <w:tcW w:w="3880" w:type="dxa"/>
            <w:vAlign w:val="bottom"/>
          </w:tcPr>
          <w:p>
            <w:pPr>
              <w:ind w:left="140"/>
              <w:spacing w:after="0"/>
              <w:rPr>
                <w:sz w:val="20"/>
                <w:szCs w:val="20"/>
                <w:color w:val="auto"/>
              </w:rPr>
            </w:pPr>
            <w:r>
              <w:rPr>
                <w:rFonts w:ascii="Arial" w:cs="Arial" w:eastAsia="Arial" w:hAnsi="Arial"/>
                <w:sz w:val="16"/>
                <w:szCs w:val="16"/>
                <w:color w:val="auto"/>
              </w:rPr>
              <w:t>Income taxes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70"/>
        </w:trPr>
        <w:tc>
          <w:tcPr>
            <w:tcW w:w="3880" w:type="dxa"/>
            <w:vAlign w:val="bottom"/>
          </w:tcPr>
          <w:p>
            <w:pPr>
              <w:ind w:left="14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32,142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35,080</w:t>
            </w:r>
          </w:p>
        </w:tc>
        <w:tc>
          <w:tcPr>
            <w:tcW w:w="0" w:type="dxa"/>
            <w:vAlign w:val="bottom"/>
          </w:tcPr>
          <w:p>
            <w:pPr>
              <w:spacing w:after="0"/>
              <w:rPr>
                <w:sz w:val="1"/>
                <w:szCs w:val="1"/>
                <w:color w:val="auto"/>
              </w:rPr>
            </w:pPr>
          </w:p>
        </w:tc>
      </w:tr>
      <w:tr>
        <w:trPr>
          <w:trHeight w:val="270"/>
        </w:trPr>
        <w:tc>
          <w:tcPr>
            <w:tcW w:w="388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8,250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7,165</w:t>
            </w:r>
          </w:p>
        </w:tc>
        <w:tc>
          <w:tcPr>
            <w:tcW w:w="0" w:type="dxa"/>
            <w:vAlign w:val="bottom"/>
          </w:tcPr>
          <w:p>
            <w:pPr>
              <w:spacing w:after="0"/>
              <w:rPr>
                <w:sz w:val="1"/>
                <w:szCs w:val="1"/>
                <w:color w:val="auto"/>
              </w:rPr>
            </w:pPr>
          </w:p>
        </w:tc>
      </w:tr>
      <w:tr>
        <w:trPr>
          <w:trHeight w:val="283"/>
        </w:trPr>
        <w:tc>
          <w:tcPr>
            <w:tcW w:w="388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8,741</w:t>
            </w:r>
          </w:p>
        </w:tc>
        <w:tc>
          <w:tcPr>
            <w:tcW w:w="0" w:type="dxa"/>
            <w:vAlign w:val="bottom"/>
          </w:tcPr>
          <w:p>
            <w:pPr>
              <w:spacing w:after="0"/>
              <w:rPr>
                <w:sz w:val="1"/>
                <w:szCs w:val="1"/>
                <w:color w:val="auto"/>
              </w:rPr>
            </w:pPr>
          </w:p>
        </w:tc>
      </w:tr>
      <w:tr>
        <w:trPr>
          <w:trHeight w:val="237"/>
        </w:trPr>
        <w:tc>
          <w:tcPr>
            <w:tcW w:w="3880" w:type="dxa"/>
            <w:vAlign w:val="bottom"/>
          </w:tcPr>
          <w:p>
            <w:pPr>
              <w:ind w:left="26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106,046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110,040</w:t>
            </w:r>
          </w:p>
        </w:tc>
        <w:tc>
          <w:tcPr>
            <w:tcW w:w="0" w:type="dxa"/>
            <w:vAlign w:val="bottom"/>
          </w:tcPr>
          <w:p>
            <w:pPr>
              <w:spacing w:after="0"/>
              <w:rPr>
                <w:sz w:val="1"/>
                <w:szCs w:val="1"/>
                <w:color w:val="auto"/>
              </w:rPr>
            </w:pPr>
          </w:p>
        </w:tc>
      </w:tr>
      <w:tr>
        <w:trPr>
          <w:trHeight w:val="553"/>
        </w:trPr>
        <w:tc>
          <w:tcPr>
            <w:tcW w:w="3880" w:type="dxa"/>
            <w:vAlign w:val="bottom"/>
          </w:tcPr>
          <w:p>
            <w:pPr>
              <w:spacing w:after="0"/>
              <w:rPr>
                <w:sz w:val="20"/>
                <w:szCs w:val="20"/>
                <w:color w:val="auto"/>
              </w:rPr>
            </w:pPr>
            <w:r>
              <w:rPr>
                <w:rFonts w:ascii="Arial" w:cs="Arial" w:eastAsia="Arial" w:hAnsi="Arial"/>
                <w:sz w:val="16"/>
                <w:szCs w:val="16"/>
                <w:color w:val="auto"/>
              </w:rPr>
              <w:t>Long-term debt</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280,939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321,792</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9,452</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18,527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21,231</w:t>
            </w:r>
          </w:p>
        </w:tc>
        <w:tc>
          <w:tcPr>
            <w:tcW w:w="0" w:type="dxa"/>
            <w:vAlign w:val="bottom"/>
          </w:tcPr>
          <w:p>
            <w:pPr>
              <w:spacing w:after="0"/>
              <w:rPr>
                <w:sz w:val="1"/>
                <w:szCs w:val="1"/>
                <w:color w:val="auto"/>
              </w:rPr>
            </w:pPr>
          </w:p>
        </w:tc>
      </w:tr>
      <w:tr>
        <w:trPr>
          <w:trHeight w:val="283"/>
        </w:trPr>
        <w:tc>
          <w:tcPr>
            <w:tcW w:w="38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17,066</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16,592</w:t>
            </w:r>
          </w:p>
        </w:tc>
        <w:tc>
          <w:tcPr>
            <w:tcW w:w="0" w:type="dxa"/>
            <w:vAlign w:val="bottom"/>
          </w:tcPr>
          <w:p>
            <w:pPr>
              <w:spacing w:after="0"/>
              <w:rPr>
                <w:sz w:val="1"/>
                <w:szCs w:val="1"/>
                <w:color w:val="auto"/>
              </w:rPr>
            </w:pPr>
          </w:p>
        </w:tc>
      </w:tr>
      <w:tr>
        <w:trPr>
          <w:trHeight w:val="237"/>
        </w:trPr>
        <w:tc>
          <w:tcPr>
            <w:tcW w:w="3880" w:type="dxa"/>
            <w:vAlign w:val="bottom"/>
          </w:tcPr>
          <w:p>
            <w:pPr>
              <w:ind w:left="26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422,578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479,107</w:t>
            </w:r>
          </w:p>
        </w:tc>
        <w:tc>
          <w:tcPr>
            <w:tcW w:w="0" w:type="dxa"/>
            <w:vAlign w:val="bottom"/>
          </w:tcPr>
          <w:p>
            <w:pPr>
              <w:spacing w:after="0"/>
              <w:rPr>
                <w:sz w:val="1"/>
                <w:szCs w:val="1"/>
                <w:color w:val="auto"/>
              </w:rPr>
            </w:pPr>
          </w:p>
        </w:tc>
      </w:tr>
      <w:tr>
        <w:trPr>
          <w:trHeight w:val="553"/>
        </w:trPr>
        <w:tc>
          <w:tcPr>
            <w:tcW w:w="3880" w:type="dxa"/>
            <w:vAlign w:val="bottom"/>
          </w:tcPr>
          <w:p>
            <w:pPr>
              <w:spacing w:after="0"/>
              <w:rPr>
                <w:sz w:val="20"/>
                <w:szCs w:val="20"/>
                <w:color w:val="auto"/>
              </w:rPr>
            </w:pPr>
            <w:r>
              <w:rPr>
                <w:rFonts w:ascii="Arial" w:cs="Arial" w:eastAsia="Arial" w:hAnsi="Arial"/>
                <w:sz w:val="16"/>
                <w:szCs w:val="16"/>
                <w:color w:val="auto"/>
              </w:rPr>
              <w:t>Shareholders' equity:</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80" w:type="dxa"/>
            <w:vAlign w:val="bottom"/>
          </w:tcPr>
          <w:p>
            <w:pPr>
              <w:ind w:left="140"/>
              <w:spacing w:after="0"/>
              <w:rPr>
                <w:sz w:val="20"/>
                <w:szCs w:val="20"/>
                <w:color w:val="auto"/>
              </w:rPr>
            </w:pPr>
            <w:r>
              <w:rPr>
                <w:rFonts w:ascii="Arial" w:cs="Arial" w:eastAsia="Arial" w:hAnsi="Arial"/>
                <w:sz w:val="16"/>
                <w:szCs w:val="16"/>
                <w:color w:val="auto"/>
              </w:rPr>
              <w:t>Preferred shares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58,597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58,129</w:t>
            </w:r>
          </w:p>
        </w:tc>
        <w:tc>
          <w:tcPr>
            <w:tcW w:w="0" w:type="dxa"/>
            <w:vAlign w:val="bottom"/>
          </w:tcPr>
          <w:p>
            <w:pPr>
              <w:spacing w:after="0"/>
              <w:rPr>
                <w:sz w:val="1"/>
                <w:szCs w:val="1"/>
                <w:color w:val="auto"/>
              </w:rPr>
            </w:pPr>
          </w:p>
        </w:tc>
      </w:tr>
      <w:tr>
        <w:trPr>
          <w:trHeight w:val="270"/>
        </w:trPr>
        <w:tc>
          <w:tcPr>
            <w:tcW w:w="3880" w:type="dxa"/>
            <w:vAlign w:val="bottom"/>
          </w:tcPr>
          <w:p>
            <w:pPr>
              <w:ind w:left="140"/>
              <w:spacing w:after="0"/>
              <w:rPr>
                <w:sz w:val="20"/>
                <w:szCs w:val="20"/>
                <w:color w:val="auto"/>
              </w:rPr>
            </w:pPr>
            <w:r>
              <w:rPr>
                <w:rFonts w:ascii="Arial" w:cs="Arial" w:eastAsia="Arial" w:hAnsi="Arial"/>
                <w:sz w:val="16"/>
                <w:szCs w:val="16"/>
                <w:color w:val="auto"/>
              </w:rPr>
              <w:t>Common shares</w:t>
            </w:r>
          </w:p>
        </w:tc>
        <w:tc>
          <w:tcPr>
            <w:tcW w:w="14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8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1,574,457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1,572,249</w:t>
            </w:r>
          </w:p>
        </w:tc>
        <w:tc>
          <w:tcPr>
            <w:tcW w:w="0" w:type="dxa"/>
            <w:vAlign w:val="bottom"/>
          </w:tcPr>
          <w:p>
            <w:pPr>
              <w:spacing w:after="0"/>
              <w:rPr>
                <w:sz w:val="1"/>
                <w:szCs w:val="1"/>
                <w:color w:val="auto"/>
              </w:rPr>
            </w:pPr>
          </w:p>
        </w:tc>
      </w:tr>
      <w:tr>
        <w:trPr>
          <w:trHeight w:val="270"/>
        </w:trPr>
        <w:tc>
          <w:tcPr>
            <w:tcW w:w="3880" w:type="dxa"/>
            <w:vAlign w:val="bottom"/>
          </w:tcPr>
          <w:p>
            <w:pPr>
              <w:ind w:left="140"/>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(918,128)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(771,590)</w:t>
            </w:r>
          </w:p>
        </w:tc>
        <w:tc>
          <w:tcPr>
            <w:tcW w:w="0" w:type="dxa"/>
            <w:vAlign w:val="bottom"/>
          </w:tcPr>
          <w:p>
            <w:pPr>
              <w:spacing w:after="0"/>
              <w:rPr>
                <w:sz w:val="1"/>
                <w:szCs w:val="1"/>
                <w:color w:val="auto"/>
              </w:rPr>
            </w:pPr>
          </w:p>
        </w:tc>
      </w:tr>
      <w:tr>
        <w:trPr>
          <w:trHeight w:val="270"/>
        </w:trPr>
        <w:tc>
          <w:tcPr>
            <w:tcW w:w="3880" w:type="dxa"/>
            <w:vAlign w:val="bottom"/>
          </w:tcPr>
          <w:p>
            <w:pPr>
              <w:ind w:left="140"/>
              <w:spacing w:after="0"/>
              <w:rPr>
                <w:sz w:val="20"/>
                <w:szCs w:val="20"/>
                <w:color w:val="auto"/>
              </w:rPr>
            </w:pPr>
            <w:r>
              <w:rPr>
                <w:rFonts w:ascii="Arial" w:cs="Arial" w:eastAsia="Arial" w:hAnsi="Arial"/>
                <w:sz w:val="16"/>
                <w:szCs w:val="16"/>
                <w:color w:val="auto"/>
              </w:rPr>
              <w:t>Treasury stock</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(5,472)</w:t>
            </w:r>
          </w:p>
        </w:tc>
        <w:tc>
          <w:tcPr>
            <w:tcW w:w="0" w:type="dxa"/>
            <w:vAlign w:val="bottom"/>
          </w:tcPr>
          <w:p>
            <w:pPr>
              <w:spacing w:after="0"/>
              <w:rPr>
                <w:sz w:val="1"/>
                <w:szCs w:val="1"/>
                <w:color w:val="auto"/>
              </w:rPr>
            </w:pPr>
          </w:p>
        </w:tc>
      </w:tr>
      <w:tr>
        <w:trPr>
          <w:trHeight w:val="283"/>
        </w:trPr>
        <w:tc>
          <w:tcPr>
            <w:tcW w:w="388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(411,619)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(363,173)</w:t>
            </w:r>
          </w:p>
        </w:tc>
        <w:tc>
          <w:tcPr>
            <w:tcW w:w="0" w:type="dxa"/>
            <w:vAlign w:val="bottom"/>
          </w:tcPr>
          <w:p>
            <w:pPr>
              <w:spacing w:after="0"/>
              <w:rPr>
                <w:sz w:val="1"/>
                <w:szCs w:val="1"/>
                <w:color w:val="auto"/>
              </w:rPr>
            </w:pPr>
          </w:p>
        </w:tc>
      </w:tr>
      <w:tr>
        <w:trPr>
          <w:trHeight w:val="250"/>
        </w:trPr>
        <w:tc>
          <w:tcPr>
            <w:tcW w:w="3880" w:type="dxa"/>
            <w:vAlign w:val="bottom"/>
          </w:tcPr>
          <w:p>
            <w:pPr>
              <w:ind w:left="260"/>
              <w:spacing w:after="0"/>
              <w:rPr>
                <w:sz w:val="20"/>
                <w:szCs w:val="20"/>
                <w:color w:val="auto"/>
              </w:rPr>
            </w:pPr>
            <w:r>
              <w:rPr>
                <w:rFonts w:ascii="Arial" w:cs="Arial" w:eastAsia="Arial" w:hAnsi="Arial"/>
                <w:sz w:val="16"/>
                <w:szCs w:val="16"/>
                <w:color w:val="auto"/>
              </w:rPr>
              <w:t>Total Civeo Corporation shareholders' equity</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296,393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490,143</w:t>
            </w: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50"/>
        </w:trPr>
        <w:tc>
          <w:tcPr>
            <w:tcW w:w="3880" w:type="dxa"/>
            <w:vAlign w:val="bottom"/>
          </w:tcPr>
          <w:p>
            <w:pPr>
              <w:ind w:left="140"/>
              <w:spacing w:after="0"/>
              <w:rPr>
                <w:sz w:val="20"/>
                <w:szCs w:val="20"/>
                <w:color w:val="auto"/>
              </w:rPr>
            </w:pPr>
            <w:r>
              <w:rPr>
                <w:rFonts w:ascii="Arial" w:cs="Arial" w:eastAsia="Arial" w:hAnsi="Arial"/>
                <w:sz w:val="16"/>
                <w:szCs w:val="16"/>
                <w:color w:val="auto"/>
              </w:rPr>
              <w:t>Total shareholders' equity</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296,945</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490,805</w:t>
            </w:r>
          </w:p>
        </w:tc>
        <w:tc>
          <w:tcPr>
            <w:tcW w:w="0" w:type="dxa"/>
            <w:vAlign w:val="bottom"/>
          </w:tcPr>
          <w:p>
            <w:pPr>
              <w:spacing w:after="0"/>
              <w:rPr>
                <w:sz w:val="1"/>
                <w:szCs w:val="1"/>
                <w:color w:val="auto"/>
              </w:rPr>
            </w:pPr>
          </w:p>
        </w:tc>
      </w:tr>
      <w:tr>
        <w:trPr>
          <w:trHeight w:val="240"/>
        </w:trPr>
        <w:tc>
          <w:tcPr>
            <w:tcW w:w="3880" w:type="dxa"/>
            <w:vAlign w:val="bottom"/>
          </w:tcPr>
          <w:p>
            <w:pPr>
              <w:ind w:left="260"/>
              <w:spacing w:after="0"/>
              <w:rPr>
                <w:sz w:val="20"/>
                <w:szCs w:val="20"/>
                <w:color w:val="auto"/>
              </w:rPr>
            </w:pPr>
            <w:r>
              <w:rPr>
                <w:rFonts w:ascii="Arial" w:cs="Arial" w:eastAsia="Arial" w:hAnsi="Arial"/>
                <w:sz w:val="16"/>
                <w:szCs w:val="16"/>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719,523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969,912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553"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47"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March 31,</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28"/>
        </w:trPr>
        <w:tc>
          <w:tcPr>
            <w:tcW w:w="5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548"/>
        </w:trPr>
        <w:tc>
          <w:tcPr>
            <w:tcW w:w="594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(145,812)</w:t>
            </w:r>
          </w:p>
        </w:tc>
        <w:tc>
          <w:tcPr>
            <w:tcW w:w="12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(17,039)</w:t>
            </w:r>
          </w:p>
        </w:tc>
      </w:tr>
      <w:tr>
        <w:trPr>
          <w:trHeight w:val="270"/>
        </w:trPr>
        <w:tc>
          <w:tcPr>
            <w:tcW w:w="594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59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25,502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30,782</w:t>
            </w:r>
          </w:p>
        </w:tc>
      </w:tr>
      <w:tr>
        <w:trPr>
          <w:trHeight w:val="270"/>
        </w:trPr>
        <w:tc>
          <w:tcPr>
            <w:tcW w:w="5940" w:type="dxa"/>
            <w:vAlign w:val="bottom"/>
          </w:tcPr>
          <w:p>
            <w:pPr>
              <w:ind w:left="140"/>
              <w:spacing w:after="0"/>
              <w:rPr>
                <w:sz w:val="20"/>
                <w:szCs w:val="20"/>
                <w:color w:val="auto"/>
              </w:rPr>
            </w:pPr>
            <w:r>
              <w:rPr>
                <w:rFonts w:ascii="Arial" w:cs="Arial" w:eastAsia="Arial" w:hAnsi="Arial"/>
                <w:sz w:val="16"/>
                <w:szCs w:val="16"/>
                <w:color w:val="auto"/>
              </w:rPr>
              <w:t>Impairment charges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144,120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940" w:type="dxa"/>
            <w:vAlign w:val="bottom"/>
          </w:tcPr>
          <w:p>
            <w:pPr>
              <w:ind w:left="140"/>
              <w:spacing w:after="0"/>
              <w:rPr>
                <w:sz w:val="20"/>
                <w:szCs w:val="20"/>
                <w:color w:val="auto"/>
              </w:rPr>
            </w:pPr>
            <w:r>
              <w:rPr>
                <w:rFonts w:ascii="Arial" w:cs="Arial" w:eastAsia="Arial" w:hAnsi="Arial"/>
                <w:sz w:val="16"/>
                <w:szCs w:val="16"/>
                <w:color w:val="auto"/>
              </w:rPr>
              <w:t>Deferred income tax benefit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(4,745)</w:t>
            </w:r>
          </w:p>
        </w:tc>
      </w:tr>
      <w:tr>
        <w:trPr>
          <w:trHeight w:val="270"/>
        </w:trPr>
        <w:tc>
          <w:tcPr>
            <w:tcW w:w="5940" w:type="dxa"/>
            <w:vAlign w:val="bottom"/>
          </w:tcPr>
          <w:p>
            <w:pPr>
              <w:ind w:left="140"/>
              <w:spacing w:after="0"/>
              <w:rPr>
                <w:sz w:val="20"/>
                <w:szCs w:val="20"/>
                <w:color w:val="auto"/>
              </w:rPr>
            </w:pPr>
            <w:r>
              <w:rPr>
                <w:rFonts w:ascii="Arial" w:cs="Arial" w:eastAsia="Arial" w:hAnsi="Arial"/>
                <w:sz w:val="16"/>
                <w:szCs w:val="16"/>
                <w:color w:val="auto"/>
              </w:rPr>
              <w:t>Non-cash compensation charge</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2,534</w:t>
            </w:r>
          </w:p>
        </w:tc>
      </w:tr>
      <w:tr>
        <w:trPr>
          <w:trHeight w:val="270"/>
        </w:trPr>
        <w:tc>
          <w:tcPr>
            <w:tcW w:w="5940" w:type="dxa"/>
            <w:vAlign w:val="bottom"/>
          </w:tcPr>
          <w:p>
            <w:pPr>
              <w:ind w:left="140"/>
              <w:spacing w:after="0"/>
              <w:rPr>
                <w:sz w:val="20"/>
                <w:szCs w:val="20"/>
                <w:color w:val="auto"/>
              </w:rPr>
            </w:pPr>
            <w:r>
              <w:rPr>
                <w:rFonts w:ascii="Arial" w:cs="Arial" w:eastAsia="Arial" w:hAnsi="Arial"/>
                <w:sz w:val="16"/>
                <w:szCs w:val="16"/>
                <w:color w:val="auto"/>
              </w:rPr>
              <w:t>Gains on disposals of assets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(1,452)</w:t>
            </w:r>
          </w:p>
        </w:tc>
      </w:tr>
      <w:tr>
        <w:trPr>
          <w:trHeight w:val="270"/>
        </w:trPr>
        <w:tc>
          <w:tcPr>
            <w:tcW w:w="5940" w:type="dxa"/>
            <w:vAlign w:val="bottom"/>
          </w:tcPr>
          <w:p>
            <w:pPr>
              <w:ind w:left="140"/>
              <w:spacing w:after="0"/>
              <w:rPr>
                <w:sz w:val="20"/>
                <w:szCs w:val="20"/>
                <w:color w:val="auto"/>
              </w:rPr>
            </w:pPr>
            <w:r>
              <w:rPr>
                <w:rFonts w:ascii="Arial" w:cs="Arial" w:eastAsia="Arial" w:hAnsi="Arial"/>
                <w:sz w:val="16"/>
                <w:szCs w:val="16"/>
                <w:color w:val="auto"/>
              </w:rPr>
              <w:t>Provision (benefit) for loss on receivables, net of recoveries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70"/>
        </w:trPr>
        <w:tc>
          <w:tcPr>
            <w:tcW w:w="594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270"/>
        </w:trPr>
        <w:tc>
          <w:tcPr>
            <w:tcW w:w="594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594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(1,496)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(2,377)</w:t>
            </w:r>
          </w:p>
        </w:tc>
      </w:tr>
      <w:tr>
        <w:trPr>
          <w:trHeight w:val="270"/>
        </w:trPr>
        <w:tc>
          <w:tcPr>
            <w:tcW w:w="594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70"/>
        </w:trPr>
        <w:tc>
          <w:tcPr>
            <w:tcW w:w="5940" w:type="dxa"/>
            <w:vAlign w:val="bottom"/>
          </w:tcPr>
          <w:p>
            <w:pPr>
              <w:ind w:left="24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(1,417)</w:t>
            </w:r>
          </w:p>
        </w:tc>
      </w:tr>
      <w:tr>
        <w:trPr>
          <w:trHeight w:val="270"/>
        </w:trPr>
        <w:tc>
          <w:tcPr>
            <w:tcW w:w="5940" w:type="dxa"/>
            <w:vAlign w:val="bottom"/>
          </w:tcPr>
          <w:p>
            <w:pPr>
              <w:ind w:left="240"/>
              <w:spacing w:after="0"/>
              <w:rPr>
                <w:sz w:val="20"/>
                <w:szCs w:val="20"/>
                <w:color w:val="auto"/>
              </w:rPr>
            </w:pPr>
            <w:r>
              <w:rPr>
                <w:rFonts w:ascii="Arial" w:cs="Arial" w:eastAsia="Arial" w:hAnsi="Arial"/>
                <w:sz w:val="16"/>
                <w:szCs w:val="16"/>
                <w:color w:val="auto"/>
              </w:rPr>
              <w:t>Taxes payable</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283"/>
        </w:trPr>
        <w:tc>
          <w:tcPr>
            <w:tcW w:w="5940" w:type="dxa"/>
            <w:vAlign w:val="bottom"/>
          </w:tcPr>
          <w:p>
            <w:pPr>
              <w:ind w:left="240"/>
              <w:spacing w:after="0"/>
              <w:rPr>
                <w:sz w:val="20"/>
                <w:szCs w:val="20"/>
                <w:color w:val="auto"/>
              </w:rPr>
            </w:pPr>
            <w:r>
              <w:rPr>
                <w:rFonts w:ascii="Arial" w:cs="Arial" w:eastAsia="Arial" w:hAnsi="Arial"/>
                <w:sz w:val="16"/>
                <w:szCs w:val="16"/>
                <w:color w:val="auto"/>
              </w:rPr>
              <w:t>Other current and noncurrent assets and liabilities, net</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r>
      <w:tr>
        <w:trPr>
          <w:trHeight w:val="237"/>
        </w:trPr>
        <w:tc>
          <w:tcPr>
            <w:tcW w:w="5940" w:type="dxa"/>
            <w:vAlign w:val="bottom"/>
          </w:tcPr>
          <w:p>
            <w:pPr>
              <w:ind w:left="340"/>
              <w:spacing w:after="0"/>
              <w:rPr>
                <w:sz w:val="20"/>
                <w:szCs w:val="20"/>
                <w:color w:val="auto"/>
              </w:rPr>
            </w:pPr>
            <w:r>
              <w:rPr>
                <w:rFonts w:ascii="Arial" w:cs="Arial" w:eastAsia="Arial" w:hAnsi="Arial"/>
                <w:sz w:val="16"/>
                <w:szCs w:val="16"/>
                <w:color w:val="auto"/>
              </w:rPr>
              <w:t>Net cash flows provided by operating activities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20,837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6,341</w:t>
            </w:r>
          </w:p>
        </w:tc>
      </w:tr>
      <w:tr>
        <w:trPr>
          <w:trHeight w:val="567"/>
        </w:trPr>
        <w:tc>
          <w:tcPr>
            <w:tcW w:w="59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594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(9,679)</w:t>
            </w:r>
          </w:p>
        </w:tc>
      </w:tr>
      <w:tr>
        <w:trPr>
          <w:trHeight w:val="270"/>
        </w:trPr>
        <w:tc>
          <w:tcPr>
            <w:tcW w:w="5940" w:type="dxa"/>
            <w:vAlign w:val="bottom"/>
          </w:tcPr>
          <w:p>
            <w:pPr>
              <w:ind w:left="140"/>
              <w:spacing w:after="0"/>
              <w:rPr>
                <w:sz w:val="20"/>
                <w:szCs w:val="20"/>
                <w:color w:val="auto"/>
              </w:rPr>
            </w:pPr>
            <w:r>
              <w:rPr>
                <w:rFonts w:ascii="Arial" w:cs="Arial" w:eastAsia="Arial" w:hAnsi="Arial"/>
                <w:sz w:val="16"/>
                <w:szCs w:val="16"/>
                <w:color w:val="auto"/>
              </w:rPr>
              <w:t>Proceeds from disposition of property, plant and equipment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4,457</w:t>
            </w:r>
          </w:p>
        </w:tc>
      </w:tr>
      <w:tr>
        <w:trPr>
          <w:trHeight w:val="283"/>
        </w:trPr>
        <w:tc>
          <w:tcPr>
            <w:tcW w:w="594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1,518</w:t>
            </w:r>
          </w:p>
        </w:tc>
      </w:tr>
      <w:tr>
        <w:trPr>
          <w:trHeight w:val="237"/>
        </w:trPr>
        <w:tc>
          <w:tcPr>
            <w:tcW w:w="5940" w:type="dxa"/>
            <w:vAlign w:val="bottom"/>
          </w:tcPr>
          <w:p>
            <w:pPr>
              <w:ind w:left="340"/>
              <w:spacing w:after="0"/>
              <w:rPr>
                <w:sz w:val="20"/>
                <w:szCs w:val="20"/>
                <w:color w:val="auto"/>
              </w:rPr>
            </w:pPr>
            <w:r>
              <w:rPr>
                <w:rFonts w:ascii="Arial" w:cs="Arial" w:eastAsia="Arial" w:hAnsi="Arial"/>
                <w:sz w:val="16"/>
                <w:szCs w:val="16"/>
                <w:color w:val="auto"/>
              </w:rPr>
              <w:t>Net cash flows used in investing activities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(3,704)</w:t>
            </w:r>
          </w:p>
        </w:tc>
      </w:tr>
      <w:tr>
        <w:trPr>
          <w:trHeight w:val="567"/>
        </w:trPr>
        <w:tc>
          <w:tcPr>
            <w:tcW w:w="59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5940" w:type="dxa"/>
            <w:vAlign w:val="bottom"/>
          </w:tcPr>
          <w:p>
            <w:pPr>
              <w:ind w:left="140"/>
              <w:spacing w:after="0"/>
              <w:rPr>
                <w:sz w:val="20"/>
                <w:szCs w:val="20"/>
                <w:color w:val="auto"/>
              </w:rPr>
            </w:pPr>
            <w:r>
              <w:rPr>
                <w:rFonts w:ascii="Arial" w:cs="Arial" w:eastAsia="Arial" w:hAnsi="Arial"/>
                <w:sz w:val="16"/>
                <w:szCs w:val="16"/>
                <w:color w:val="auto"/>
              </w:rPr>
              <w:t>Term loan repayments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(8,608)</w:t>
            </w:r>
          </w:p>
        </w:tc>
      </w:tr>
      <w:tr>
        <w:trPr>
          <w:trHeight w:val="270"/>
        </w:trPr>
        <w:tc>
          <w:tcPr>
            <w:tcW w:w="5940" w:type="dxa"/>
            <w:vAlign w:val="bottom"/>
          </w:tcPr>
          <w:p>
            <w:pPr>
              <w:ind w:left="140"/>
              <w:spacing w:after="0"/>
              <w:rPr>
                <w:sz w:val="20"/>
                <w:szCs w:val="20"/>
                <w:color w:val="auto"/>
              </w:rPr>
            </w:pPr>
            <w:r>
              <w:rPr>
                <w:rFonts w:ascii="Arial" w:cs="Arial" w:eastAsia="Arial" w:hAnsi="Arial"/>
                <w:sz w:val="16"/>
                <w:szCs w:val="16"/>
                <w:color w:val="auto"/>
              </w:rPr>
              <w:t>Revolving credit borrowings (repayments), net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5,396</w:t>
            </w:r>
          </w:p>
        </w:tc>
      </w:tr>
      <w:tr>
        <w:trPr>
          <w:trHeight w:val="283"/>
        </w:trPr>
        <w:tc>
          <w:tcPr>
            <w:tcW w:w="5940" w:type="dxa"/>
            <w:vAlign w:val="bottom"/>
          </w:tcPr>
          <w:p>
            <w:pPr>
              <w:ind w:left="140"/>
              <w:spacing w:after="0"/>
              <w:rPr>
                <w:sz w:val="20"/>
                <w:szCs w:val="20"/>
                <w:color w:val="auto"/>
              </w:rPr>
            </w:pPr>
            <w:r>
              <w:rPr>
                <w:rFonts w:ascii="Arial" w:cs="Arial" w:eastAsia="Arial" w:hAnsi="Arial"/>
                <w:sz w:val="16"/>
                <w:szCs w:val="16"/>
                <w:color w:val="auto"/>
              </w:rPr>
              <w:t>Taxes paid on vested shares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(4,282)</w:t>
            </w:r>
          </w:p>
        </w:tc>
      </w:tr>
      <w:tr>
        <w:trPr>
          <w:trHeight w:val="237"/>
        </w:trPr>
        <w:tc>
          <w:tcPr>
            <w:tcW w:w="5940" w:type="dxa"/>
            <w:vAlign w:val="bottom"/>
          </w:tcPr>
          <w:p>
            <w:pPr>
              <w:ind w:left="340"/>
              <w:spacing w:after="0"/>
              <w:rPr>
                <w:sz w:val="20"/>
                <w:szCs w:val="20"/>
                <w:color w:val="auto"/>
              </w:rPr>
            </w:pPr>
            <w:r>
              <w:rPr>
                <w:rFonts w:ascii="Arial" w:cs="Arial" w:eastAsia="Arial" w:hAnsi="Arial"/>
                <w:sz w:val="16"/>
                <w:szCs w:val="16"/>
                <w:color w:val="auto"/>
              </w:rPr>
              <w:t>Net cash flows used in financing activities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(7,494)</w:t>
            </w:r>
          </w:p>
        </w:tc>
      </w:tr>
      <w:tr>
        <w:trPr>
          <w:trHeight w:val="580"/>
        </w:trPr>
        <w:tc>
          <w:tcPr>
            <w:tcW w:w="594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w:t>
            </w:r>
          </w:p>
        </w:tc>
      </w:tr>
      <w:tr>
        <w:trPr>
          <w:trHeight w:val="237"/>
        </w:trPr>
        <w:tc>
          <w:tcPr>
            <w:tcW w:w="594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(4,380)</w:t>
            </w:r>
          </w:p>
        </w:tc>
      </w:tr>
      <w:tr>
        <w:trPr>
          <w:trHeight w:val="580"/>
        </w:trPr>
        <w:tc>
          <w:tcPr>
            <w:tcW w:w="594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12,372</w:t>
            </w:r>
          </w:p>
        </w:tc>
      </w:tr>
      <w:tr>
        <w:trPr>
          <w:trHeight w:val="240"/>
        </w:trPr>
        <w:tc>
          <w:tcPr>
            <w:tcW w:w="594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5,558</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7,992</w:t>
            </w:r>
          </w:p>
        </w:tc>
      </w:tr>
      <w:tr>
        <w:trPr>
          <w:trHeight w:val="20"/>
        </w:trPr>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553"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SEGMENT DATA</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63" w:lineRule="exact"/>
        <w:rPr>
          <w:sz w:val="20"/>
          <w:szCs w:val="20"/>
          <w:color w:val="auto"/>
        </w:rPr>
      </w:pPr>
    </w:p>
    <w:p>
      <w:pPr>
        <w:jc w:val="center"/>
        <w:ind w:left="372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3720"/>
        <w:spacing w:after="0"/>
        <w:rPr>
          <w:sz w:val="20"/>
          <w:szCs w:val="20"/>
          <w:color w:val="auto"/>
        </w:rPr>
      </w:pPr>
      <w:r>
        <w:rPr>
          <w:rFonts w:ascii="Arial" w:cs="Arial" w:eastAsia="Arial" w:hAnsi="Arial"/>
          <w:sz w:val="16"/>
          <w:szCs w:val="16"/>
          <w:b w:val="1"/>
          <w:bCs w:val="1"/>
          <w:color w:val="auto"/>
        </w:rPr>
        <w:t>March 31,</w:t>
      </w:r>
    </w:p>
    <w:p>
      <w:pPr>
        <w:spacing w:after="0" w:line="66" w:lineRule="exact"/>
        <w:rPr>
          <w:sz w:val="20"/>
          <w:szCs w:val="20"/>
          <w:color w:val="auto"/>
        </w:rPr>
      </w:pPr>
    </w:p>
    <w:tbl>
      <w:tblPr>
        <w:tblLayout w:type="fixed"/>
        <w:tblInd w:w="1300" w:type="dxa"/>
        <w:tblCellMar>
          <w:top w:w="0" w:type="dxa"/>
          <w:left w:w="0" w:type="dxa"/>
          <w:bottom w:w="0" w:type="dxa"/>
          <w:right w:w="0" w:type="dxa"/>
        </w:tblCellMar>
      </w:tblPr>
      <w:tr>
        <w:trPr>
          <w:trHeight w:val="228"/>
        </w:trPr>
        <w:tc>
          <w:tcPr>
            <w:tcW w:w="3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1"/>
        </w:trPr>
        <w:tc>
          <w:tcPr>
            <w:tcW w:w="368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80" w:type="dxa"/>
            <w:vAlign w:val="bottom"/>
          </w:tcPr>
          <w:p>
            <w:pPr>
              <w:ind w:left="24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79,348</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66,770</w:t>
            </w:r>
          </w:p>
        </w:tc>
        <w:tc>
          <w:tcPr>
            <w:tcW w:w="0" w:type="dxa"/>
            <w:vAlign w:val="bottom"/>
          </w:tcPr>
          <w:p>
            <w:pPr>
              <w:spacing w:after="0"/>
              <w:rPr>
                <w:sz w:val="1"/>
                <w:szCs w:val="1"/>
                <w:color w:val="auto"/>
              </w:rPr>
            </w:pPr>
          </w:p>
        </w:tc>
      </w:tr>
      <w:tr>
        <w:trPr>
          <w:trHeight w:val="270"/>
        </w:trPr>
        <w:tc>
          <w:tcPr>
            <w:tcW w:w="3680" w:type="dxa"/>
            <w:vAlign w:val="bottom"/>
          </w:tcPr>
          <w:p>
            <w:pPr>
              <w:ind w:left="24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49,113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28,421</w:t>
            </w:r>
          </w:p>
        </w:tc>
        <w:tc>
          <w:tcPr>
            <w:tcW w:w="0" w:type="dxa"/>
            <w:vAlign w:val="bottom"/>
          </w:tcPr>
          <w:p>
            <w:pPr>
              <w:spacing w:after="0"/>
              <w:rPr>
                <w:sz w:val="1"/>
                <w:szCs w:val="1"/>
                <w:color w:val="auto"/>
              </w:rPr>
            </w:pPr>
          </w:p>
        </w:tc>
      </w:tr>
      <w:tr>
        <w:trPr>
          <w:trHeight w:val="283"/>
        </w:trPr>
        <w:tc>
          <w:tcPr>
            <w:tcW w:w="368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10,331</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13,359</w:t>
            </w:r>
          </w:p>
        </w:tc>
        <w:tc>
          <w:tcPr>
            <w:tcW w:w="0" w:type="dxa"/>
            <w:vAlign w:val="bottom"/>
          </w:tcPr>
          <w:p>
            <w:pPr>
              <w:spacing w:after="0"/>
              <w:rPr>
                <w:sz w:val="1"/>
                <w:szCs w:val="1"/>
                <w:color w:val="auto"/>
              </w:rPr>
            </w:pPr>
          </w:p>
        </w:tc>
      </w:tr>
      <w:tr>
        <w:trPr>
          <w:trHeight w:val="237"/>
        </w:trPr>
        <w:tc>
          <w:tcPr>
            <w:tcW w:w="368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138,792</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108,550</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80" w:type="dxa"/>
            <w:vAlign w:val="bottom"/>
          </w:tcPr>
          <w:p>
            <w:pPr>
              <w:ind w:left="24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(120,256)</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10,173</w:t>
            </w:r>
          </w:p>
        </w:tc>
        <w:tc>
          <w:tcPr>
            <w:tcW w:w="0" w:type="dxa"/>
            <w:vAlign w:val="bottom"/>
          </w:tcPr>
          <w:p>
            <w:pPr>
              <w:spacing w:after="0"/>
              <w:rPr>
                <w:sz w:val="1"/>
                <w:szCs w:val="1"/>
                <w:color w:val="auto"/>
              </w:rPr>
            </w:pPr>
          </w:p>
        </w:tc>
      </w:tr>
      <w:tr>
        <w:trPr>
          <w:trHeight w:val="270"/>
        </w:trPr>
        <w:tc>
          <w:tcPr>
            <w:tcW w:w="3680" w:type="dxa"/>
            <w:vAlign w:val="bottom"/>
          </w:tcPr>
          <w:p>
            <w:pPr>
              <w:ind w:left="24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16,161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9,853</w:t>
            </w:r>
          </w:p>
        </w:tc>
        <w:tc>
          <w:tcPr>
            <w:tcW w:w="0" w:type="dxa"/>
            <w:vAlign w:val="bottom"/>
          </w:tcPr>
          <w:p>
            <w:pPr>
              <w:spacing w:after="0"/>
              <w:rPr>
                <w:sz w:val="1"/>
                <w:szCs w:val="1"/>
                <w:color w:val="auto"/>
              </w:rPr>
            </w:pPr>
          </w:p>
        </w:tc>
      </w:tr>
      <w:tr>
        <w:trPr>
          <w:trHeight w:val="270"/>
        </w:trPr>
        <w:tc>
          <w:tcPr>
            <w:tcW w:w="368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(12,053)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2,796</w:t>
            </w:r>
          </w:p>
        </w:tc>
        <w:tc>
          <w:tcPr>
            <w:tcW w:w="0" w:type="dxa"/>
            <w:vAlign w:val="bottom"/>
          </w:tcPr>
          <w:p>
            <w:pPr>
              <w:spacing w:after="0"/>
              <w:rPr>
                <w:sz w:val="1"/>
                <w:szCs w:val="1"/>
                <w:color w:val="auto"/>
              </w:rPr>
            </w:pPr>
          </w:p>
        </w:tc>
      </w:tr>
      <w:tr>
        <w:trPr>
          <w:trHeight w:val="283"/>
        </w:trPr>
        <w:tc>
          <w:tcPr>
            <w:tcW w:w="3680" w:type="dxa"/>
            <w:vAlign w:val="bottom"/>
          </w:tcPr>
          <w:p>
            <w:pPr>
              <w:ind w:left="24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(6,955)</w:t>
            </w:r>
          </w:p>
        </w:tc>
        <w:tc>
          <w:tcPr>
            <w:tcW w:w="0" w:type="dxa"/>
            <w:vAlign w:val="bottom"/>
          </w:tcPr>
          <w:p>
            <w:pPr>
              <w:spacing w:after="0"/>
              <w:rPr>
                <w:sz w:val="1"/>
                <w:szCs w:val="1"/>
                <w:color w:val="auto"/>
              </w:rPr>
            </w:pPr>
          </w:p>
        </w:tc>
      </w:tr>
      <w:tr>
        <w:trPr>
          <w:trHeight w:val="237"/>
        </w:trPr>
        <w:tc>
          <w:tcPr>
            <w:tcW w:w="3680" w:type="dxa"/>
            <w:vAlign w:val="bottom"/>
          </w:tcPr>
          <w:p>
            <w:pPr>
              <w:ind w:left="46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(123,800)</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15,867</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80" w:type="dxa"/>
            <w:vAlign w:val="bottom"/>
          </w:tcPr>
          <w:p>
            <w:pPr>
              <w:ind w:left="24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11,425</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10,173</w:t>
            </w:r>
          </w:p>
        </w:tc>
        <w:tc>
          <w:tcPr>
            <w:tcW w:w="0" w:type="dxa"/>
            <w:vAlign w:val="bottom"/>
          </w:tcPr>
          <w:p>
            <w:pPr>
              <w:spacing w:after="0"/>
              <w:rPr>
                <w:sz w:val="1"/>
                <w:szCs w:val="1"/>
                <w:color w:val="auto"/>
              </w:rPr>
            </w:pPr>
          </w:p>
        </w:tc>
      </w:tr>
      <w:tr>
        <w:trPr>
          <w:trHeight w:val="270"/>
        </w:trPr>
        <w:tc>
          <w:tcPr>
            <w:tcW w:w="3680" w:type="dxa"/>
            <w:vAlign w:val="bottom"/>
          </w:tcPr>
          <w:p>
            <w:pPr>
              <w:ind w:left="24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16,161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9,853</w:t>
            </w:r>
          </w:p>
        </w:tc>
        <w:tc>
          <w:tcPr>
            <w:tcW w:w="0" w:type="dxa"/>
            <w:vAlign w:val="bottom"/>
          </w:tcPr>
          <w:p>
            <w:pPr>
              <w:spacing w:after="0"/>
              <w:rPr>
                <w:sz w:val="1"/>
                <w:szCs w:val="1"/>
                <w:color w:val="auto"/>
              </w:rPr>
            </w:pPr>
          </w:p>
        </w:tc>
      </w:tr>
      <w:tr>
        <w:trPr>
          <w:trHeight w:val="270"/>
        </w:trPr>
        <w:tc>
          <w:tcPr>
            <w:tcW w:w="368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2,796</w:t>
            </w:r>
          </w:p>
        </w:tc>
        <w:tc>
          <w:tcPr>
            <w:tcW w:w="0" w:type="dxa"/>
            <w:vAlign w:val="bottom"/>
          </w:tcPr>
          <w:p>
            <w:pPr>
              <w:spacing w:after="0"/>
              <w:rPr>
                <w:sz w:val="1"/>
                <w:szCs w:val="1"/>
                <w:color w:val="auto"/>
              </w:rPr>
            </w:pPr>
          </w:p>
        </w:tc>
      </w:tr>
      <w:tr>
        <w:trPr>
          <w:trHeight w:val="283"/>
        </w:trPr>
        <w:tc>
          <w:tcPr>
            <w:tcW w:w="3680" w:type="dxa"/>
            <w:vAlign w:val="bottom"/>
          </w:tcPr>
          <w:p>
            <w:pPr>
              <w:ind w:left="24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(6,955)</w:t>
            </w:r>
          </w:p>
        </w:tc>
        <w:tc>
          <w:tcPr>
            <w:tcW w:w="0" w:type="dxa"/>
            <w:vAlign w:val="bottom"/>
          </w:tcPr>
          <w:p>
            <w:pPr>
              <w:spacing w:after="0"/>
              <w:rPr>
                <w:sz w:val="1"/>
                <w:szCs w:val="1"/>
                <w:color w:val="auto"/>
              </w:rPr>
            </w:pPr>
          </w:p>
        </w:tc>
      </w:tr>
      <w:tr>
        <w:trPr>
          <w:trHeight w:val="237"/>
        </w:trPr>
        <w:tc>
          <w:tcPr>
            <w:tcW w:w="3680" w:type="dxa"/>
            <w:vAlign w:val="bottom"/>
          </w:tcPr>
          <w:p>
            <w:pPr>
              <w:ind w:left="46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20,320</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15,867</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80" w:type="dxa"/>
            <w:vAlign w:val="bottom"/>
          </w:tcPr>
          <w:p>
            <w:pPr>
              <w:ind w:left="24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(136,631)</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(11,595)</w:t>
            </w:r>
          </w:p>
        </w:tc>
        <w:tc>
          <w:tcPr>
            <w:tcW w:w="0" w:type="dxa"/>
            <w:vAlign w:val="bottom"/>
          </w:tcPr>
          <w:p>
            <w:pPr>
              <w:spacing w:after="0"/>
              <w:rPr>
                <w:sz w:val="1"/>
                <w:szCs w:val="1"/>
                <w:color w:val="auto"/>
              </w:rPr>
            </w:pPr>
          </w:p>
        </w:tc>
      </w:tr>
      <w:tr>
        <w:trPr>
          <w:trHeight w:val="270"/>
        </w:trPr>
        <w:tc>
          <w:tcPr>
            <w:tcW w:w="3680" w:type="dxa"/>
            <w:vAlign w:val="bottom"/>
          </w:tcPr>
          <w:p>
            <w:pPr>
              <w:ind w:left="24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6,164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70"/>
        </w:trPr>
        <w:tc>
          <w:tcPr>
            <w:tcW w:w="368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(14,134)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283"/>
        </w:trPr>
        <w:tc>
          <w:tcPr>
            <w:tcW w:w="3680" w:type="dxa"/>
            <w:vAlign w:val="bottom"/>
          </w:tcPr>
          <w:p>
            <w:pPr>
              <w:ind w:left="24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(4,952)</w:t>
            </w:r>
          </w:p>
        </w:tc>
        <w:tc>
          <w:tcPr>
            <w:tcW w:w="0" w:type="dxa"/>
            <w:vAlign w:val="bottom"/>
          </w:tcPr>
          <w:p>
            <w:pPr>
              <w:spacing w:after="0"/>
              <w:rPr>
                <w:sz w:val="1"/>
                <w:szCs w:val="1"/>
                <w:color w:val="auto"/>
              </w:rPr>
            </w:pPr>
          </w:p>
        </w:tc>
      </w:tr>
      <w:tr>
        <w:trPr>
          <w:trHeight w:val="240"/>
        </w:trPr>
        <w:tc>
          <w:tcPr>
            <w:tcW w:w="3680" w:type="dxa"/>
            <w:vAlign w:val="bottom"/>
          </w:tcPr>
          <w:p>
            <w:pPr>
              <w:ind w:left="460"/>
              <w:spacing w:after="0"/>
              <w:rPr>
                <w:sz w:val="20"/>
                <w:szCs w:val="20"/>
                <w:color w:val="auto"/>
              </w:rPr>
            </w:pPr>
            <w:r>
              <w:rPr>
                <w:rFonts w:ascii="Arial" w:cs="Arial" w:eastAsia="Arial" w:hAnsi="Arial"/>
                <w:sz w:val="16"/>
                <w:szCs w:val="16"/>
                <w:color w:val="auto"/>
              </w:rPr>
              <w:t>Total operating income (loss)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(149,069)</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019"/>
          </w:cols>
          <w:pgMar w:left="1440" w:top="553" w:right="1440" w:bottom="1440" w:gutter="0" w:footer="0" w:header="0"/>
        </w:sectPr>
      </w:pPr>
    </w:p>
    <w:bookmarkStart w:id="11" w:name="page12"/>
    <w:bookmarkEnd w:id="11"/>
    <w:p>
      <w:pPr>
        <w:jc w:val="center"/>
        <w:ind w:right="-9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NON-GAAP RECONCILIATIONS</w:t>
      </w:r>
    </w:p>
    <w:p>
      <w:pPr>
        <w:spacing w:after="0" w:line="5"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(unaudited)</w:t>
      </w:r>
    </w:p>
    <w:p>
      <w:pPr>
        <w:spacing w:after="0" w:line="336" w:lineRule="exact"/>
        <w:rPr>
          <w:sz w:val="20"/>
          <w:szCs w:val="20"/>
          <w:color w:val="auto"/>
        </w:rPr>
      </w:pPr>
    </w:p>
    <w:p>
      <w:pPr>
        <w:jc w:val="center"/>
        <w:ind w:left="196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1960"/>
        <w:spacing w:after="0"/>
        <w:rPr>
          <w:sz w:val="20"/>
          <w:szCs w:val="20"/>
          <w:color w:val="auto"/>
        </w:rPr>
      </w:pPr>
      <w:r>
        <w:rPr>
          <w:rFonts w:ascii="Arial" w:cs="Arial" w:eastAsia="Arial" w:hAnsi="Arial"/>
          <w:sz w:val="16"/>
          <w:szCs w:val="16"/>
          <w:b w:val="1"/>
          <w:bCs w:val="1"/>
          <w:color w:val="auto"/>
        </w:rPr>
        <w:t>March 31,</w:t>
      </w:r>
    </w:p>
    <w:p>
      <w:pPr>
        <w:spacing w:after="0" w:line="66" w:lineRule="exact"/>
        <w:rPr>
          <w:sz w:val="20"/>
          <w:szCs w:val="20"/>
          <w:color w:val="auto"/>
        </w:rPr>
      </w:pPr>
    </w:p>
    <w:tbl>
      <w:tblPr>
        <w:tblLayout w:type="fixed"/>
        <w:tblInd w:w="3552" w:type="dxa"/>
        <w:tblCellMar>
          <w:top w:w="0" w:type="dxa"/>
          <w:left w:w="0" w:type="dxa"/>
          <w:bottom w:w="0" w:type="dxa"/>
          <w:right w:w="0" w:type="dxa"/>
        </w:tblCellMar>
      </w:tblPr>
      <w:tr>
        <w:trPr>
          <w:trHeight w:val="228"/>
        </w:trPr>
        <w:tc>
          <w:tcPr>
            <w:tcW w:w="1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r>
      <w:tr>
        <w:trPr>
          <w:trHeight w:val="575"/>
        </w:trPr>
        <w:tc>
          <w:tcPr>
            <w:tcW w:w="1920" w:type="dxa"/>
            <w:vAlign w:val="bottom"/>
          </w:tcPr>
          <w:p>
            <w:pPr>
              <w:spacing w:after="0"/>
              <w:rPr>
                <w:sz w:val="20"/>
                <w:szCs w:val="20"/>
                <w:color w:val="auto"/>
              </w:rPr>
            </w:pPr>
            <w:r>
              <w:rPr>
                <w:rFonts w:ascii="Arial" w:cs="Arial" w:eastAsia="Arial" w:hAnsi="Arial"/>
                <w:sz w:val="16"/>
                <w:szCs w:val="16"/>
                <w:color w:val="auto"/>
              </w:rPr>
              <w:t>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(123,800)</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15,867</w:t>
            </w:r>
          </w:p>
        </w:tc>
      </w:tr>
      <w:tr>
        <w:trPr>
          <w:trHeight w:val="270"/>
        </w:trPr>
        <w:tc>
          <w:tcPr>
            <w:tcW w:w="1920" w:type="dxa"/>
            <w:vAlign w:val="bottom"/>
          </w:tcPr>
          <w:p>
            <w:pPr>
              <w:spacing w:after="0"/>
              <w:rPr>
                <w:sz w:val="20"/>
                <w:szCs w:val="20"/>
                <w:color w:val="auto"/>
              </w:rPr>
            </w:pPr>
            <w:r>
              <w:rPr>
                <w:rFonts w:ascii="Arial" w:cs="Arial" w:eastAsia="Arial" w:hAnsi="Arial"/>
                <w:sz w:val="16"/>
                <w:szCs w:val="16"/>
                <w:color w:val="auto"/>
              </w:rPr>
              <w:t>Adjusted 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20,320</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15,867</w:t>
            </w:r>
          </w:p>
        </w:tc>
      </w:tr>
      <w:tr>
        <w:trPr>
          <w:trHeight w:val="270"/>
        </w:trPr>
        <w:tc>
          <w:tcPr>
            <w:tcW w:w="1920" w:type="dxa"/>
            <w:vAlign w:val="bottom"/>
          </w:tcPr>
          <w:p>
            <w:pPr>
              <w:spacing w:after="0"/>
              <w:rPr>
                <w:sz w:val="20"/>
                <w:szCs w:val="20"/>
                <w:color w:val="auto"/>
              </w:rPr>
            </w:pPr>
            <w:r>
              <w:rPr>
                <w:rFonts w:ascii="Arial" w:cs="Arial" w:eastAsia="Arial" w:hAnsi="Arial"/>
                <w:sz w:val="16"/>
                <w:szCs w:val="16"/>
                <w:color w:val="auto"/>
              </w:rPr>
              <w:t>Free Cash Flow (2)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18,258</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1,119</w:t>
            </w:r>
          </w:p>
        </w:tc>
      </w:tr>
    </w:tbl>
    <w:p>
      <w:pPr>
        <w:spacing w:after="0" w:line="210" w:lineRule="exact"/>
        <w:rPr>
          <w:sz w:val="20"/>
          <w:szCs w:val="20"/>
          <w:color w:val="auto"/>
        </w:rPr>
      </w:pPr>
    </w:p>
    <w:p>
      <w:pPr>
        <w:ind w:left="332" w:right="20" w:hanging="332"/>
        <w:spacing w:after="0" w:line="248" w:lineRule="auto"/>
        <w:tabs>
          <w:tab w:leader="none" w:pos="332"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 EBITDA is defined as net income (loss) attributable to Civeo Corporation plus interest, taxes, depreciation and amortization. The term Adjusted EBITDA is defined as EBITDA adjusted to exclude impairment charges.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177" w:lineRule="exact"/>
        <w:rPr>
          <w:rFonts w:ascii="Arial" w:cs="Arial" w:eastAsia="Arial" w:hAnsi="Arial"/>
          <w:sz w:val="16"/>
          <w:szCs w:val="16"/>
          <w:color w:val="auto"/>
        </w:rPr>
      </w:pPr>
    </w:p>
    <w:p>
      <w:pPr>
        <w:ind w:left="332" w:right="16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loss attributable to Civeo Corporation, which is the most directly comparable measure of financial performance calculated under generally accepted accounting principles (in thousands) (unaudited):</w:t>
      </w:r>
    </w:p>
    <w:p>
      <w:pPr>
        <w:spacing w:after="0" w:line="310" w:lineRule="exact"/>
        <w:rPr>
          <w:sz w:val="20"/>
          <w:szCs w:val="20"/>
          <w:color w:val="auto"/>
        </w:rPr>
      </w:pPr>
    </w:p>
    <w:p>
      <w:pPr>
        <w:jc w:val="center"/>
        <w:ind w:left="384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3840"/>
        <w:spacing w:after="0"/>
        <w:rPr>
          <w:sz w:val="20"/>
          <w:szCs w:val="20"/>
          <w:color w:val="auto"/>
        </w:rPr>
      </w:pPr>
      <w:r>
        <w:rPr>
          <w:rFonts w:ascii="Arial" w:cs="Arial" w:eastAsia="Arial" w:hAnsi="Arial"/>
          <w:sz w:val="16"/>
          <w:szCs w:val="16"/>
          <w:b w:val="1"/>
          <w:bCs w:val="1"/>
          <w:color w:val="auto"/>
        </w:rPr>
        <w:t>March 31,</w:t>
      </w:r>
    </w:p>
    <w:p>
      <w:pPr>
        <w:spacing w:after="0" w:line="66" w:lineRule="exact"/>
        <w:rPr>
          <w:sz w:val="20"/>
          <w:szCs w:val="20"/>
          <w:color w:val="auto"/>
        </w:rPr>
      </w:pPr>
    </w:p>
    <w:tbl>
      <w:tblPr>
        <w:tblLayout w:type="fixed"/>
        <w:tblInd w:w="2592" w:type="dxa"/>
        <w:tblCellMar>
          <w:top w:w="0" w:type="dxa"/>
          <w:left w:w="0" w:type="dxa"/>
          <w:bottom w:w="0" w:type="dxa"/>
          <w:right w:w="0" w:type="dxa"/>
        </w:tblCellMar>
      </w:tblPr>
      <w:tr>
        <w:trPr>
          <w:trHeight w:val="228"/>
        </w:trPr>
        <w:tc>
          <w:tcPr>
            <w:tcW w:w="3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r>
      <w:tr>
        <w:trPr>
          <w:trHeight w:val="575"/>
        </w:trPr>
        <w:tc>
          <w:tcPr>
            <w:tcW w:w="3800" w:type="dxa"/>
            <w:vAlign w:val="bottom"/>
          </w:tcPr>
          <w:p>
            <w:pPr>
              <w:spacing w:after="0"/>
              <w:rPr>
                <w:sz w:val="20"/>
                <w:szCs w:val="20"/>
                <w:color w:val="auto"/>
              </w:rPr>
            </w:pPr>
            <w:r>
              <w:rPr>
                <w:rFonts w:ascii="Arial" w:cs="Arial" w:eastAsia="Arial" w:hAnsi="Arial"/>
                <w:sz w:val="16"/>
                <w:szCs w:val="16"/>
                <w:color w:val="auto"/>
              </w:rPr>
              <w:t>Net loss attributable to Civeo Corporation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(146,070)</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(17,039)</w:t>
            </w:r>
          </w:p>
        </w:tc>
      </w:tr>
      <w:tr>
        <w:trPr>
          <w:trHeight w:val="270"/>
        </w:trPr>
        <w:tc>
          <w:tcPr>
            <w:tcW w:w="3800" w:type="dxa"/>
            <w:vAlign w:val="bottom"/>
          </w:tcPr>
          <w:p>
            <w:pPr>
              <w:spacing w:after="0"/>
              <w:rPr>
                <w:sz w:val="20"/>
                <w:szCs w:val="20"/>
                <w:color w:val="auto"/>
              </w:rPr>
            </w:pPr>
            <w:r>
              <w:rPr>
                <w:rFonts w:ascii="Arial" w:cs="Arial" w:eastAsia="Arial" w:hAnsi="Arial"/>
                <w:sz w:val="16"/>
                <w:szCs w:val="16"/>
                <w:color w:val="auto"/>
              </w:rPr>
              <w:t>Income tax benefit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(4,484)</w:t>
            </w:r>
          </w:p>
        </w:tc>
      </w:tr>
      <w:tr>
        <w:trPr>
          <w:trHeight w:val="270"/>
        </w:trPr>
        <w:tc>
          <w:tcPr>
            <w:tcW w:w="38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25,502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30,782</w:t>
            </w:r>
          </w:p>
        </w:tc>
      </w:tr>
      <w:tr>
        <w:trPr>
          <w:trHeight w:val="270"/>
        </w:trPr>
        <w:tc>
          <w:tcPr>
            <w:tcW w:w="380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83"/>
        </w:trPr>
        <w:tc>
          <w:tcPr>
            <w:tcW w:w="380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5,595</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6,635</w:t>
            </w:r>
          </w:p>
        </w:tc>
      </w:tr>
      <w:tr>
        <w:trPr>
          <w:trHeight w:val="250"/>
        </w:trPr>
        <w:tc>
          <w:tcPr>
            <w:tcW w:w="3800" w:type="dxa"/>
            <w:vAlign w:val="bottom"/>
          </w:tcPr>
          <w:p>
            <w:pPr>
              <w:ind w:left="220"/>
              <w:spacing w:after="0"/>
              <w:rPr>
                <w:sz w:val="20"/>
                <w:szCs w:val="20"/>
                <w:color w:val="auto"/>
              </w:rPr>
            </w:pPr>
            <w:r>
              <w:rPr>
                <w:rFonts w:ascii="Arial" w:cs="Arial" w:eastAsia="Arial" w:hAnsi="Arial"/>
                <w:sz w:val="16"/>
                <w:szCs w:val="16"/>
                <w:color w:val="auto"/>
              </w:rPr>
              <w:t>EBITDA</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(123,800)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15,867</w:t>
            </w:r>
          </w:p>
        </w:tc>
      </w:tr>
      <w:tr>
        <w:trPr>
          <w:trHeight w:val="250"/>
        </w:trPr>
        <w:tc>
          <w:tcPr>
            <w:tcW w:w="3800" w:type="dxa"/>
            <w:vAlign w:val="bottom"/>
          </w:tcPr>
          <w:p>
            <w:pPr>
              <w:spacing w:after="0"/>
              <w:rPr>
                <w:sz w:val="20"/>
                <w:szCs w:val="20"/>
                <w:color w:val="auto"/>
              </w:rPr>
            </w:pPr>
            <w:r>
              <w:rPr>
                <w:rFonts w:ascii="Arial" w:cs="Arial" w:eastAsia="Arial" w:hAnsi="Arial"/>
                <w:sz w:val="16"/>
                <w:szCs w:val="16"/>
                <w:color w:val="auto"/>
              </w:rPr>
              <w:t>Adjustments to EBITDA</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3800" w:type="dxa"/>
            <w:vAlign w:val="bottom"/>
          </w:tcPr>
          <w:p>
            <w:pPr>
              <w:ind w:left="220"/>
              <w:spacing w:after="0"/>
              <w:rPr>
                <w:sz w:val="20"/>
                <w:szCs w:val="20"/>
                <w:color w:val="auto"/>
              </w:rPr>
            </w:pPr>
            <w:r>
              <w:rPr>
                <w:rFonts w:ascii="Arial" w:cs="Arial" w:eastAsia="Arial" w:hAnsi="Arial"/>
                <w:sz w:val="16"/>
                <w:szCs w:val="16"/>
                <w:color w:val="auto"/>
              </w:rPr>
              <w:t>Impairment of long-lived assets (a)</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50,514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3"/>
        </w:trPr>
        <w:tc>
          <w:tcPr>
            <w:tcW w:w="3800" w:type="dxa"/>
            <w:vAlign w:val="bottom"/>
          </w:tcPr>
          <w:p>
            <w:pPr>
              <w:ind w:left="220"/>
              <w:spacing w:after="0"/>
              <w:rPr>
                <w:sz w:val="20"/>
                <w:szCs w:val="20"/>
                <w:color w:val="auto"/>
              </w:rPr>
            </w:pPr>
            <w:r>
              <w:rPr>
                <w:rFonts w:ascii="Arial" w:cs="Arial" w:eastAsia="Arial" w:hAnsi="Arial"/>
                <w:sz w:val="16"/>
                <w:szCs w:val="16"/>
                <w:color w:val="auto"/>
              </w:rPr>
              <w:t>Impairment of goodwill (b)</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93,606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3800" w:type="dxa"/>
            <w:vAlign w:val="bottom"/>
          </w:tcPr>
          <w:p>
            <w:pPr>
              <w:ind w:left="440"/>
              <w:spacing w:after="0"/>
              <w:rPr>
                <w:sz w:val="20"/>
                <w:szCs w:val="20"/>
                <w:color w:val="auto"/>
              </w:rPr>
            </w:pPr>
            <w:r>
              <w:rPr>
                <w:rFonts w:ascii="Arial" w:cs="Arial" w:eastAsia="Arial" w:hAnsi="Arial"/>
                <w:sz w:val="16"/>
                <w:szCs w:val="16"/>
                <w:color w:val="auto"/>
              </w:rPr>
              <w:t>Adjusted EBITDA</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20,320</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15,867</w:t>
            </w:r>
          </w:p>
        </w:tc>
      </w:tr>
      <w:tr>
        <w:trPr>
          <w:trHeight w:val="20"/>
        </w:trPr>
        <w:tc>
          <w:tcPr>
            <w:tcW w:w="3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652" w:right="80" w:hanging="328"/>
        <w:spacing w:after="0" w:line="251" w:lineRule="auto"/>
        <w:tabs>
          <w:tab w:leader="none" w:pos="652" w:val="left"/>
        </w:tabs>
        <w:numPr>
          <w:ilvl w:val="1"/>
          <w:numId w:val="5"/>
        </w:numPr>
        <w:rPr>
          <w:rFonts w:ascii="Arial" w:cs="Arial" w:eastAsia="Arial" w:hAnsi="Arial"/>
          <w:sz w:val="16"/>
          <w:szCs w:val="16"/>
          <w:color w:val="auto"/>
        </w:rPr>
      </w:pPr>
      <w:r>
        <w:rPr>
          <w:rFonts w:ascii="Arial" w:cs="Arial" w:eastAsia="Arial" w:hAnsi="Arial"/>
          <w:sz w:val="16"/>
          <w:szCs w:val="16"/>
          <w:color w:val="auto"/>
        </w:rPr>
        <w:t>Relates to asset impairments recorded in the first quarter of 2020. We recorded a pre-tax loss related to the impairment of long-lived assets in our Canadian segment of $38.1 million ($38.1 million after-tax, or $0.23 per diluted share) and a pre-tax loss related to the impairment of long-lived assets in our U.S. segment of $12.4 million ($12.4 million after-tax, or $0.07 per diluted share), which is included in Impairment expense on the unaudited statements of operations.</w:t>
      </w:r>
    </w:p>
    <w:p>
      <w:pPr>
        <w:spacing w:after="0" w:line="175" w:lineRule="exact"/>
        <w:rPr>
          <w:rFonts w:ascii="Arial" w:cs="Arial" w:eastAsia="Arial" w:hAnsi="Arial"/>
          <w:sz w:val="16"/>
          <w:szCs w:val="16"/>
          <w:color w:val="auto"/>
        </w:rPr>
      </w:pPr>
    </w:p>
    <w:p>
      <w:pPr>
        <w:ind w:left="652" w:right="260" w:hanging="328"/>
        <w:spacing w:after="0" w:line="260" w:lineRule="auto"/>
        <w:tabs>
          <w:tab w:leader="none" w:pos="652" w:val="left"/>
        </w:tabs>
        <w:numPr>
          <w:ilvl w:val="1"/>
          <w:numId w:val="5"/>
        </w:numPr>
        <w:rPr>
          <w:rFonts w:ascii="Arial" w:cs="Arial" w:eastAsia="Arial" w:hAnsi="Arial"/>
          <w:sz w:val="16"/>
          <w:szCs w:val="16"/>
          <w:color w:val="auto"/>
        </w:rPr>
      </w:pPr>
      <w:r>
        <w:rPr>
          <w:rFonts w:ascii="Arial" w:cs="Arial" w:eastAsia="Arial" w:hAnsi="Arial"/>
          <w:sz w:val="16"/>
          <w:szCs w:val="16"/>
          <w:color w:val="auto"/>
        </w:rPr>
        <w:t>Relates to the impairment of goodwill. The $93.6 million impairment ($93.6 million after-tax, or $0.56 per diluted share) is related to our Canada reporting unit and is included in Impairment expense on the statements of operations.</w:t>
      </w:r>
    </w:p>
    <w:p>
      <w:pPr>
        <w:spacing w:after="0" w:line="168" w:lineRule="exact"/>
        <w:rPr>
          <w:rFonts w:ascii="Arial" w:cs="Arial" w:eastAsia="Arial" w:hAnsi="Arial"/>
          <w:sz w:val="16"/>
          <w:szCs w:val="16"/>
          <w:color w:val="auto"/>
        </w:rPr>
      </w:pPr>
    </w:p>
    <w:p>
      <w:pPr>
        <w:ind w:left="332" w:hanging="332"/>
        <w:spacing w:after="0" w:line="251" w:lineRule="auto"/>
        <w:tabs>
          <w:tab w:leader="none" w:pos="332"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w:t>
      </w:r>
    </w:p>
    <w:p>
      <w:pPr>
        <w:sectPr>
          <w:pgSz w:w="11900" w:h="16838" w:orient="portrait"/>
          <w:cols w:equalWidth="0" w:num="1">
            <w:col w:w="11152"/>
          </w:cols>
          <w:pgMar w:left="328" w:top="553" w:right="419" w:bottom="1440" w:gutter="0" w:footer="0" w:header="0"/>
        </w:sectPr>
      </w:pPr>
    </w:p>
    <w:bookmarkStart w:id="12" w:name="page13"/>
    <w:bookmarkEnd w:id="12"/>
    <w:p>
      <w:pPr>
        <w:spacing w:after="0" w:line="286" w:lineRule="auto"/>
        <w:rPr>
          <w:sz w:val="20"/>
          <w:szCs w:val="20"/>
          <w:color w:val="auto"/>
        </w:rPr>
      </w:pPr>
      <w:r>
        <w:rPr>
          <w:rFonts w:ascii="Arial" w:cs="Arial" w:eastAsia="Arial" w:hAnsi="Arial"/>
          <w:sz w:val="16"/>
          <w:szCs w:val="16"/>
          <w:color w:val="auto"/>
        </w:rPr>
        <w:t>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w:t>
      </w:r>
    </w:p>
    <w:p>
      <w:pPr>
        <w:spacing w:after="0" w:line="163"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310" w:lineRule="exact"/>
        <w:rPr>
          <w:sz w:val="20"/>
          <w:szCs w:val="20"/>
          <w:color w:val="auto"/>
        </w:rPr>
      </w:pPr>
    </w:p>
    <w:p>
      <w:pPr>
        <w:jc w:val="center"/>
        <w:ind w:left="482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4820"/>
        <w:spacing w:after="0"/>
        <w:rPr>
          <w:sz w:val="20"/>
          <w:szCs w:val="20"/>
          <w:color w:val="auto"/>
        </w:rPr>
      </w:pPr>
      <w:r>
        <w:rPr>
          <w:rFonts w:ascii="Arial" w:cs="Arial" w:eastAsia="Arial" w:hAnsi="Arial"/>
          <w:sz w:val="16"/>
          <w:szCs w:val="16"/>
          <w:b w:val="1"/>
          <w:bCs w:val="1"/>
          <w:color w:val="auto"/>
        </w:rPr>
        <w:t>March 31,</w:t>
      </w:r>
    </w:p>
    <w:p>
      <w:pPr>
        <w:spacing w:after="0" w:line="66" w:lineRule="exact"/>
        <w:rPr>
          <w:sz w:val="20"/>
          <w:szCs w:val="20"/>
          <w:color w:val="auto"/>
        </w:rPr>
      </w:pPr>
    </w:p>
    <w:tbl>
      <w:tblPr>
        <w:tblLayout w:type="fixed"/>
        <w:tblInd w:w="182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r>
      <w:tr>
        <w:trPr>
          <w:trHeight w:val="575"/>
        </w:trPr>
        <w:tc>
          <w:tcPr>
            <w:tcW w:w="478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20,837</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6,341</w:t>
            </w:r>
          </w:p>
        </w:tc>
      </w:tr>
      <w:tr>
        <w:trPr>
          <w:trHeight w:val="270"/>
        </w:trPr>
        <w:tc>
          <w:tcPr>
            <w:tcW w:w="478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(2,651)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(9,679)</w:t>
            </w:r>
          </w:p>
        </w:tc>
      </w:tr>
      <w:tr>
        <w:trPr>
          <w:trHeight w:val="283"/>
        </w:trPr>
        <w:tc>
          <w:tcPr>
            <w:tcW w:w="4780" w:type="dxa"/>
            <w:vAlign w:val="bottom"/>
          </w:tcPr>
          <w:p>
            <w:pPr>
              <w:ind w:left="120"/>
              <w:spacing w:after="0"/>
              <w:rPr>
                <w:sz w:val="20"/>
                <w:szCs w:val="20"/>
                <w:color w:val="auto"/>
              </w:rPr>
            </w:pPr>
            <w:r>
              <w:rPr>
                <w:rFonts w:ascii="Arial" w:cs="Arial" w:eastAsia="Arial" w:hAnsi="Arial"/>
                <w:sz w:val="16"/>
                <w:szCs w:val="16"/>
                <w:color w:val="auto"/>
              </w:rPr>
              <w:t>Proceeds from disposition of property, plant and equipment</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4,457</w:t>
            </w:r>
          </w:p>
        </w:tc>
      </w:tr>
      <w:tr>
        <w:trPr>
          <w:trHeight w:val="240"/>
        </w:trPr>
        <w:tc>
          <w:tcPr>
            <w:tcW w:w="4780" w:type="dxa"/>
            <w:vAlign w:val="bottom"/>
          </w:tcPr>
          <w:p>
            <w:pPr>
              <w:ind w:left="120"/>
              <w:spacing w:after="0"/>
              <w:rPr>
                <w:sz w:val="20"/>
                <w:szCs w:val="20"/>
                <w:color w:val="auto"/>
              </w:rPr>
            </w:pPr>
            <w:r>
              <w:rPr>
                <w:rFonts w:ascii="Arial" w:cs="Arial" w:eastAsia="Arial" w:hAnsi="Arial"/>
                <w:sz w:val="16"/>
                <w:szCs w:val="16"/>
                <w:color w:val="auto"/>
              </w:rPr>
              <w:t>Free Cash Flow</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18,258</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w:t>
            </w:r>
          </w:p>
        </w:tc>
      </w:tr>
      <w:tr>
        <w:trPr>
          <w:trHeight w:val="20"/>
        </w:trPr>
        <w:tc>
          <w:tcPr>
            <w:tcW w:w="4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760"/>
          </w:cols>
          <w:pgMar w:left="660" w:top="587" w:right="479" w:bottom="1440" w:gutter="0" w:footer="0" w:header="0"/>
        </w:sectPr>
      </w:pPr>
    </w:p>
    <w:bookmarkStart w:id="13" w:name="page14"/>
    <w:bookmarkEnd w:id="13"/>
    <w:p>
      <w:pPr>
        <w:jc w:val="center"/>
        <w:ind w:right="-17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(unaudited)</w:t>
      </w:r>
    </w:p>
    <w:p>
      <w:pPr>
        <w:spacing w:after="0" w:line="336" w:lineRule="exact"/>
        <w:rPr>
          <w:sz w:val="20"/>
          <w:szCs w:val="20"/>
          <w:color w:val="auto"/>
        </w:rPr>
      </w:pPr>
    </w:p>
    <w:p>
      <w:pPr>
        <w:jc w:val="center"/>
        <w:ind w:left="406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4060"/>
        <w:spacing w:after="0"/>
        <w:rPr>
          <w:sz w:val="20"/>
          <w:szCs w:val="20"/>
          <w:color w:val="auto"/>
        </w:rPr>
      </w:pPr>
      <w:r>
        <w:rPr>
          <w:rFonts w:ascii="Arial" w:cs="Arial" w:eastAsia="Arial" w:hAnsi="Arial"/>
          <w:sz w:val="16"/>
          <w:szCs w:val="16"/>
          <w:b w:val="1"/>
          <w:bCs w:val="1"/>
          <w:color w:val="auto"/>
        </w:rPr>
        <w:t>March 31,</w:t>
      </w:r>
    </w:p>
    <w:p>
      <w:pPr>
        <w:spacing w:after="0" w:line="66" w:lineRule="exact"/>
        <w:rPr>
          <w:sz w:val="20"/>
          <w:szCs w:val="20"/>
          <w:color w:val="auto"/>
        </w:rPr>
      </w:pPr>
    </w:p>
    <w:tbl>
      <w:tblPr>
        <w:tblLayout w:type="fixed"/>
        <w:tblInd w:w="254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r>
      <w:tr>
        <w:trPr>
          <w:trHeight w:val="413"/>
        </w:trPr>
        <w:tc>
          <w:tcPr>
            <w:tcW w:w="400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 Segment</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400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400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66,066</w:t>
            </w:r>
          </w:p>
        </w:tc>
        <w:tc>
          <w:tcPr>
            <w:tcW w:w="12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57,652</w:t>
            </w:r>
          </w:p>
        </w:tc>
      </w:tr>
      <w:tr>
        <w:trPr>
          <w:trHeight w:val="270"/>
        </w:trPr>
        <w:tc>
          <w:tcPr>
            <w:tcW w:w="4000" w:type="dxa"/>
            <w:vAlign w:val="bottom"/>
          </w:tcPr>
          <w:p>
            <w:pPr>
              <w:ind w:left="440"/>
              <w:spacing w:after="0"/>
              <w:rPr>
                <w:sz w:val="20"/>
                <w:szCs w:val="20"/>
                <w:color w:val="auto"/>
              </w:rPr>
            </w:pPr>
            <w:r>
              <w:rPr>
                <w:rFonts w:ascii="Arial" w:cs="Arial" w:eastAsia="Arial" w:hAnsi="Arial"/>
                <w:sz w:val="16"/>
                <w:szCs w:val="16"/>
                <w:color w:val="auto"/>
              </w:rPr>
              <w:t>Mobile facility rental revenue (2)</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781</w:t>
            </w:r>
          </w:p>
        </w:tc>
      </w:tr>
      <w:tr>
        <w:trPr>
          <w:trHeight w:val="283"/>
        </w:trPr>
        <w:tc>
          <w:tcPr>
            <w:tcW w:w="4000" w:type="dxa"/>
            <w:vAlign w:val="bottom"/>
          </w:tcPr>
          <w:p>
            <w:pPr>
              <w:ind w:left="44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8,337</w:t>
            </w:r>
          </w:p>
        </w:tc>
      </w:tr>
      <w:tr>
        <w:trPr>
          <w:trHeight w:val="237"/>
        </w:trPr>
        <w:tc>
          <w:tcPr>
            <w:tcW w:w="4000" w:type="dxa"/>
            <w:vAlign w:val="bottom"/>
          </w:tcPr>
          <w:p>
            <w:pPr>
              <w:ind w:left="660"/>
              <w:spacing w:after="0"/>
              <w:rPr>
                <w:sz w:val="20"/>
                <w:szCs w:val="20"/>
                <w:color w:val="auto"/>
              </w:rPr>
            </w:pPr>
            <w:r>
              <w:rPr>
                <w:rFonts w:ascii="Arial" w:cs="Arial" w:eastAsia="Arial" w:hAnsi="Arial"/>
                <w:sz w:val="16"/>
                <w:szCs w:val="16"/>
                <w:color w:val="auto"/>
              </w:rPr>
              <w:t>Total Canadian revenues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79,348</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66,770</w:t>
            </w:r>
          </w:p>
        </w:tc>
      </w:tr>
      <w:tr>
        <w:trPr>
          <w:trHeight w:val="432"/>
        </w:trPr>
        <w:tc>
          <w:tcPr>
            <w:tcW w:w="4000" w:type="dxa"/>
            <w:vAlign w:val="bottom"/>
          </w:tcPr>
          <w:p>
            <w:pPr>
              <w:ind w:left="24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48,055</w:t>
            </w:r>
          </w:p>
        </w:tc>
        <w:tc>
          <w:tcPr>
            <w:tcW w:w="12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42,217</w:t>
            </w: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Mobile facility rental cost</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3,257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649</w:t>
            </w: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8,236</w:t>
            </w:r>
          </w:p>
        </w:tc>
      </w:tr>
      <w:tr>
        <w:trPr>
          <w:trHeight w:val="283"/>
        </w:trPr>
        <w:tc>
          <w:tcPr>
            <w:tcW w:w="4000" w:type="dxa"/>
            <w:vAlign w:val="bottom"/>
          </w:tcPr>
          <w:p>
            <w:pPr>
              <w:ind w:left="46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2,945</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3,545</w:t>
            </w:r>
          </w:p>
        </w:tc>
      </w:tr>
      <w:tr>
        <w:trPr>
          <w:trHeight w:val="237"/>
        </w:trPr>
        <w:tc>
          <w:tcPr>
            <w:tcW w:w="4000" w:type="dxa"/>
            <w:vAlign w:val="bottom"/>
          </w:tcPr>
          <w:p>
            <w:pPr>
              <w:ind w:left="660"/>
              <w:spacing w:after="0"/>
              <w:rPr>
                <w:sz w:val="20"/>
                <w:szCs w:val="20"/>
                <w:color w:val="auto"/>
              </w:rPr>
            </w:pPr>
            <w:r>
              <w:rPr>
                <w:rFonts w:ascii="Arial" w:cs="Arial" w:eastAsia="Arial" w:hAnsi="Arial"/>
                <w:sz w:val="16"/>
                <w:szCs w:val="16"/>
                <w:color w:val="auto"/>
              </w:rPr>
              <w:t>Total Canadian cost of sales and services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64,272</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54,647</w:t>
            </w:r>
          </w:p>
        </w:tc>
      </w:tr>
      <w:tr>
        <w:trPr>
          <w:trHeight w:val="432"/>
        </w:trPr>
        <w:tc>
          <w:tcPr>
            <w:tcW w:w="4000" w:type="dxa"/>
            <w:vAlign w:val="bottom"/>
          </w:tcPr>
          <w:p>
            <w:pPr>
              <w:ind w:left="20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432"/>
        </w:trPr>
        <w:tc>
          <w:tcPr>
            <w:tcW w:w="400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708,323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625,992</w:t>
            </w:r>
          </w:p>
        </w:tc>
      </w:tr>
      <w:tr>
        <w:trPr>
          <w:trHeight w:val="432"/>
        </w:trPr>
        <w:tc>
          <w:tcPr>
            <w:tcW w:w="400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0.745</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0.752</w:t>
            </w:r>
          </w:p>
        </w:tc>
      </w:tr>
      <w:tr>
        <w:trPr>
          <w:trHeight w:val="594"/>
        </w:trPr>
        <w:tc>
          <w:tcPr>
            <w:tcW w:w="400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 Segment</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400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32,585</w:t>
            </w:r>
          </w:p>
        </w:tc>
        <w:tc>
          <w:tcPr>
            <w:tcW w:w="12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28,421</w:t>
            </w:r>
          </w:p>
        </w:tc>
      </w:tr>
      <w:tr>
        <w:trPr>
          <w:trHeight w:val="283"/>
        </w:trPr>
        <w:tc>
          <w:tcPr>
            <w:tcW w:w="4000" w:type="dxa"/>
            <w:vAlign w:val="bottom"/>
          </w:tcPr>
          <w:p>
            <w:pPr>
              <w:ind w:left="44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660"/>
              <w:spacing w:after="0"/>
              <w:rPr>
                <w:sz w:val="20"/>
                <w:szCs w:val="20"/>
                <w:color w:val="auto"/>
              </w:rPr>
            </w:pPr>
            <w:r>
              <w:rPr>
                <w:rFonts w:ascii="Arial" w:cs="Arial" w:eastAsia="Arial" w:hAnsi="Arial"/>
                <w:sz w:val="16"/>
                <w:szCs w:val="16"/>
                <w:color w:val="auto"/>
              </w:rPr>
              <w:t>Total Australian revenues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49,113</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28,421</w:t>
            </w:r>
          </w:p>
        </w:tc>
      </w:tr>
      <w:tr>
        <w:trPr>
          <w:trHeight w:val="432"/>
        </w:trPr>
        <w:tc>
          <w:tcPr>
            <w:tcW w:w="4000" w:type="dxa"/>
            <w:vAlign w:val="bottom"/>
          </w:tcPr>
          <w:p>
            <w:pPr>
              <w:ind w:left="24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14,995</w:t>
            </w:r>
          </w:p>
        </w:tc>
        <w:tc>
          <w:tcPr>
            <w:tcW w:w="12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14,397</w:t>
            </w: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3"/>
        </w:trPr>
        <w:tc>
          <w:tcPr>
            <w:tcW w:w="4000" w:type="dxa"/>
            <w:vAlign w:val="bottom"/>
          </w:tcPr>
          <w:p>
            <w:pPr>
              <w:ind w:left="46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r>
      <w:tr>
        <w:trPr>
          <w:trHeight w:val="237"/>
        </w:trPr>
        <w:tc>
          <w:tcPr>
            <w:tcW w:w="4000" w:type="dxa"/>
            <w:vAlign w:val="bottom"/>
          </w:tcPr>
          <w:p>
            <w:pPr>
              <w:ind w:left="660"/>
              <w:spacing w:after="0"/>
              <w:rPr>
                <w:sz w:val="20"/>
                <w:szCs w:val="20"/>
                <w:color w:val="auto"/>
              </w:rPr>
            </w:pPr>
            <w:r>
              <w:rPr>
                <w:rFonts w:ascii="Arial" w:cs="Arial" w:eastAsia="Arial" w:hAnsi="Arial"/>
                <w:sz w:val="16"/>
                <w:szCs w:val="16"/>
                <w:color w:val="auto"/>
              </w:rPr>
              <w:t>Total Australian cost of sales and services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29,553</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14,999</w:t>
            </w:r>
          </w:p>
        </w:tc>
      </w:tr>
      <w:tr>
        <w:trPr>
          <w:trHeight w:val="432"/>
        </w:trPr>
        <w:tc>
          <w:tcPr>
            <w:tcW w:w="4000" w:type="dxa"/>
            <w:vAlign w:val="bottom"/>
          </w:tcPr>
          <w:p>
            <w:pPr>
              <w:ind w:left="20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432"/>
        </w:trPr>
        <w:tc>
          <w:tcPr>
            <w:tcW w:w="400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471,840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382,581</w:t>
            </w:r>
          </w:p>
        </w:tc>
      </w:tr>
      <w:tr>
        <w:trPr>
          <w:trHeight w:val="432"/>
        </w:trPr>
        <w:tc>
          <w:tcPr>
            <w:tcW w:w="4000" w:type="dxa"/>
            <w:vAlign w:val="bottom"/>
          </w:tcPr>
          <w:p>
            <w:pPr>
              <w:ind w:left="200"/>
              <w:spacing w:after="0"/>
              <w:rPr>
                <w:sz w:val="20"/>
                <w:szCs w:val="20"/>
                <w:color w:val="auto"/>
              </w:rPr>
            </w:pPr>
            <w:r>
              <w:rPr>
                <w:rFonts w:ascii="Arial" w:cs="Arial" w:eastAsia="Arial" w:hAnsi="Arial"/>
                <w:sz w:val="16"/>
                <w:szCs w:val="16"/>
                <w:color w:val="auto"/>
              </w:rPr>
              <w:t>Australian dollar to U.S. dollar</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0.658</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0.712</w:t>
            </w:r>
          </w:p>
        </w:tc>
      </w:tr>
    </w:tbl>
    <w:p>
      <w:pPr>
        <w:spacing w:after="0" w:line="21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revenues related to mobile camps for the periods presented.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revenues related to food service,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Billed rooms represents total billed days for the periods presented.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080"/>
          </w:cols>
          <w:pgMar w:left="320" w:top="742" w:right="49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Carolyn J. 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&amp;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Jeffrey Spittel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FTI Consulting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832-667-5140</w:t>
      </w:r>
    </w:p>
    <w:sectPr>
      <w:pgSz w:w="11900" w:h="16838" w:orient="portrait"/>
      <w:cols w:equalWidth="0" w:num="1">
        <w:col w:w="10139"/>
      </w:cols>
      <w:pgMar w:left="320" w:top="5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844"/>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2"/>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2020-05-07T07:38:00Z</dcterms:created>
  <dcterms:modified xsi:type="dcterms:W3CDTF">2020-05-07T07:38:00Z</dcterms:modified>
</cp:coreProperties>
</file>