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Ridley Mike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05/04/2015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333 CLAY STREET, SUITE 4980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and President, North America Exhibit List: 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23"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Mike Ridley, by Bradley J.</w:t>
      </w:r>
      <w:r>
        <w:rPr>
          <w:sz w:val="20"/>
          <w:szCs w:val="20"/>
          <w:color w:val="auto"/>
        </w:rPr>
        <w:tab/>
      </w:r>
      <w:r>
        <w:rPr>
          <w:rFonts w:ascii="Arial" w:cs="Arial" w:eastAsia="Arial" w:hAnsi="Arial"/>
          <w:sz w:val="23"/>
          <w:szCs w:val="23"/>
          <w:color w:val="0000FF"/>
          <w:vertAlign w:val="subscript"/>
        </w:rPr>
        <w:t>05/06/2015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333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72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2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24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EXECUTING FORMS 3, 4 AND 5, FORM 144 AND SCHEDULES 13D AND 13G</w:t>
      </w:r>
    </w:p>
    <w:p>
      <w:pPr>
        <w:spacing w:after="0" w:line="216"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Know all by these presents, that the undersigned hereby constitutes and appoints each of Bradley Dodson, Frank Steininger and Carolyn Stone, signing singly, with full power of substitution, as the undersigned’s true and lawful attorney-in-fact to:</w:t>
      </w:r>
    </w:p>
    <w:p>
      <w:pPr>
        <w:spacing w:after="0" w:line="143" w:lineRule="exact"/>
        <w:rPr>
          <w:sz w:val="20"/>
          <w:szCs w:val="20"/>
          <w:color w:val="auto"/>
        </w:rPr>
      </w:pPr>
    </w:p>
    <w:p>
      <w:pPr>
        <w:jc w:val="both"/>
        <w:ind w:left="800" w:hanging="792"/>
        <w:spacing w:after="0" w:line="253"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execute for and on behalf of the undersigned (a) Forms 3, 4 and 5 (including amendments thereto) in accordance with Section 16(a) of the Securities Exchange Act of 1934, as amended (the “Exchange Act”) and the rules thereunder, (b) Form 144 and (c) Schedules 13D and 13G (including amendments thereto) in accordance with Sections 13(d) and 13(g) of the Exchange Act and the rules thereunder;</w:t>
      </w:r>
    </w:p>
    <w:p>
      <w:pPr>
        <w:spacing w:after="0" w:line="138" w:lineRule="exact"/>
        <w:rPr>
          <w:rFonts w:ascii="Arial" w:cs="Arial" w:eastAsia="Arial" w:hAnsi="Arial"/>
          <w:sz w:val="17"/>
          <w:szCs w:val="17"/>
          <w:color w:val="auto"/>
        </w:rPr>
      </w:pPr>
    </w:p>
    <w:p>
      <w:pPr>
        <w:jc w:val="both"/>
        <w:ind w:left="800" w:hanging="792"/>
        <w:spacing w:after="0" w:line="253"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that may be necessary or desirable to complete and execute any such Form 3, 4 or 5, Form 144 or Schedule 13D or 13G (including amendments thereto) and timely file such Forms or Schedules with the Securities and Exchange Commission and any stock exchange or quotation system, self-regulatory association or any other authority; and</w:t>
      </w:r>
    </w:p>
    <w:p>
      <w:pPr>
        <w:spacing w:after="0" w:line="138" w:lineRule="exact"/>
        <w:rPr>
          <w:rFonts w:ascii="Arial" w:cs="Arial" w:eastAsia="Arial" w:hAnsi="Arial"/>
          <w:sz w:val="17"/>
          <w:szCs w:val="17"/>
          <w:color w:val="auto"/>
        </w:rPr>
      </w:pPr>
    </w:p>
    <w:p>
      <w:pPr>
        <w:jc w:val="both"/>
        <w:ind w:left="800" w:hanging="792"/>
        <w:spacing w:after="0" w:line="231"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each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4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The undersigned hereby grants to each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Civeo Corporation assuming) any of the undersigned’s responsibilities to comply with Section 16 of the Exchange Act.</w:t>
      </w:r>
    </w:p>
    <w:p>
      <w:pPr>
        <w:spacing w:after="0" w:line="14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The undersigned agrees that each such attorney-in-fact may rely entirely on information furnished orally or in writing by the undersigned to the attorney-in-fact. The undersigned also agrees to indemnify and hold harmless Civeo Corporation and each such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such attorney-in fact for purposes of executing, acknowledging, delivering or filing Form 3, 4 or 5, Form 144 or Schedule 13D or 13G (including amendments thereto) and agrees to reimburse Civeo Corporation and such attorney-in-fact on demand for any legal or other expenses reasonably incurred in connection with investigating or defending against any such loss, claim, damage, liability or action.</w:t>
      </w:r>
    </w:p>
    <w:p>
      <w:pPr>
        <w:spacing w:after="0" w:line="15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Form 144 and Schedules 13D and 13G (including amendments thereto) with respect to the undersigned’s holdings of and transactions in securities issued by Civeo Corporation, unless earlier revoked by the undersigned in a signed writing delivered to the foregoing attorneys in fact. This Power of Attorney does not revoke any other power of attorney that the undersigned has previously granted.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the date written below.</w:t>
      </w:r>
    </w:p>
    <w:p>
      <w:pPr>
        <w:spacing w:after="0" w:line="17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Mike Ridley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6350</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Signature</w:t>
      </w:r>
    </w:p>
    <w:p>
      <w:pPr>
        <w:spacing w:after="0" w:line="15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Mike Ridley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6350</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Type or Print Name</w:t>
      </w:r>
    </w:p>
    <w:p>
      <w:pPr>
        <w:spacing w:after="0" w:line="15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5/04/15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6350</wp:posOffset>
            </wp:positionV>
            <wp:extent cx="252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641390" TargetMode="External"/><Relationship Id="rId12"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2019-12-09T03:36:28Z</dcterms:created>
  <dcterms:modified xsi:type="dcterms:W3CDTF">2019-12-09T03:36:28Z</dcterms:modified>
</cp:coreProperties>
</file>