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July 27,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July 27, 2018, Civeo Corporation (“Civeo”) issued a press release announcing its financial condition and results of operations as of and for the quarter ended June 30, 2018. A copy of the press release is furnished as Exhibit 99.1 to this report on Form 8-K, and is incorporated herein by reference.</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8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600" w:type="dxa"/>
            <w:vAlign w:val="bottom"/>
            <w:gridSpan w:val="2"/>
          </w:tcPr>
          <w:p>
            <w:pPr>
              <w:spacing w:after="0" w:line="190" w:lineRule="exact"/>
              <w:rPr>
                <w:sz w:val="20"/>
                <w:szCs w:val="20"/>
                <w:color w:val="auto"/>
              </w:rPr>
            </w:pPr>
            <w:r>
              <w:rPr>
                <w:rFonts w:ascii="Arial" w:cs="Arial" w:eastAsia="Arial" w:hAnsi="Arial"/>
                <w:sz w:val="18"/>
                <w:szCs w:val="18"/>
                <w:color w:val="auto"/>
                <w:w w:val="90"/>
              </w:rPr>
              <w:t>Number</w:t>
            </w:r>
          </w:p>
        </w:tc>
        <w:tc>
          <w:tcPr>
            <w:tcW w:w="380" w:type="dxa"/>
            <w:vAlign w:val="bottom"/>
          </w:tcPr>
          <w:p>
            <w:pPr>
              <w:spacing w:after="0"/>
              <w:rPr>
                <w:sz w:val="16"/>
                <w:szCs w:val="16"/>
                <w:color w:val="auto"/>
              </w:rPr>
            </w:pPr>
          </w:p>
        </w:tc>
        <w:tc>
          <w:tcPr>
            <w:tcW w:w="10420" w:type="dxa"/>
            <w:vAlign w:val="bottom"/>
            <w:gridSpan w:val="3"/>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682"/>
        </w:trPr>
        <w:tc>
          <w:tcPr>
            <w:tcW w:w="2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80" w:type="dxa"/>
            <w:vAlign w:val="bottom"/>
          </w:tcPr>
          <w:p>
            <w:pPr>
              <w:spacing w:after="0"/>
              <w:rPr>
                <w:sz w:val="24"/>
                <w:szCs w:val="24"/>
                <w:color w:val="auto"/>
              </w:rPr>
            </w:pPr>
          </w:p>
        </w:tc>
        <w:tc>
          <w:tcPr>
            <w:tcW w:w="104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July 27, 2018</w:t>
              </w:r>
            </w:hyperlink>
          </w:p>
        </w:tc>
      </w:tr>
      <w:tr>
        <w:trPr>
          <w:trHeight w:val="260"/>
        </w:trPr>
        <w:tc>
          <w:tcPr>
            <w:tcW w:w="20" w:type="dxa"/>
            <w:vAlign w:val="bottom"/>
            <w:tcBorders>
              <w:bottom w:val="single" w:sz="8" w:color="808080"/>
            </w:tcBorders>
          </w:tcPr>
          <w:p>
            <w:pPr>
              <w:spacing w:after="0"/>
              <w:rPr>
                <w:sz w:val="22"/>
                <w:szCs w:val="22"/>
                <w:color w:val="auto"/>
              </w:rPr>
            </w:pPr>
          </w:p>
        </w:tc>
        <w:tc>
          <w:tcPr>
            <w:tcW w:w="320" w:type="dxa"/>
            <w:vAlign w:val="bottom"/>
            <w:tcBorders>
              <w:top w:val="single" w:sz="8" w:color="0000EE"/>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1820" w:type="dxa"/>
            <w:vAlign w:val="bottom"/>
            <w:tcBorders>
              <w:top w:val="single" w:sz="8" w:color="0000EE"/>
              <w:bottom w:val="single" w:sz="8" w:color="808080"/>
            </w:tcBorders>
          </w:tcPr>
          <w:p>
            <w:pPr>
              <w:spacing w:after="0"/>
              <w:rPr>
                <w:sz w:val="22"/>
                <w:szCs w:val="22"/>
                <w:color w:val="auto"/>
              </w:rPr>
            </w:pPr>
          </w:p>
        </w:tc>
        <w:tc>
          <w:tcPr>
            <w:tcW w:w="620" w:type="dxa"/>
            <w:vAlign w:val="bottom"/>
            <w:tcBorders>
              <w:top w:val="single" w:sz="8" w:color="0000EE"/>
              <w:bottom w:val="single" w:sz="8" w:color="808080"/>
            </w:tcBorders>
          </w:tcPr>
          <w:p>
            <w:pPr>
              <w:spacing w:after="0"/>
              <w:rPr>
                <w:sz w:val="22"/>
                <w:szCs w:val="22"/>
                <w:color w:val="auto"/>
              </w:rPr>
            </w:pPr>
          </w:p>
        </w:tc>
        <w:tc>
          <w:tcPr>
            <w:tcW w:w="798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380" w:type="dxa"/>
            <w:vAlign w:val="bottom"/>
            <w:gridSpan w:val="3"/>
          </w:tcPr>
          <w:p>
            <w:pPr>
              <w:ind w:left="206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July 27, 2018</w:t>
            </w:r>
          </w:p>
        </w:tc>
        <w:tc>
          <w:tcPr>
            <w:tcW w:w="5380" w:type="dxa"/>
            <w:vAlign w:val="bottom"/>
            <w:gridSpan w:val="3"/>
          </w:tcPr>
          <w:p>
            <w:pPr>
              <w:ind w:left="2060"/>
              <w:spacing w:after="0"/>
              <w:rPr>
                <w:sz w:val="20"/>
                <w:szCs w:val="20"/>
                <w:color w:val="auto"/>
              </w:rPr>
            </w:pPr>
            <w:r>
              <w:rPr>
                <w:rFonts w:ascii="Arial" w:cs="Arial" w:eastAsia="Arial" w:hAnsi="Arial"/>
                <w:sz w:val="18"/>
                <w:szCs w:val="18"/>
                <w:color w:val="auto"/>
              </w:rPr>
              <w:t>By: /s/ Frank C. Steininger</w:t>
            </w:r>
          </w:p>
        </w:tc>
      </w:tr>
      <w:tr>
        <w:trPr>
          <w:trHeight w:val="222"/>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960" w:type="dxa"/>
            <w:vAlign w:val="bottom"/>
          </w:tcPr>
          <w:p>
            <w:pPr>
              <w:spacing w:after="0"/>
              <w:rPr>
                <w:sz w:val="19"/>
                <w:szCs w:val="19"/>
                <w:color w:val="auto"/>
              </w:rPr>
            </w:pPr>
          </w:p>
        </w:tc>
      </w:tr>
      <w:tr>
        <w:trPr>
          <w:trHeight w:val="216"/>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0"/>
              </w:rPr>
              <w:t>Executive Vice President, Chief Financial</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Officer &amp; Treasurer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Second Quarter 2018 Results</w:t>
      </w:r>
    </w:p>
    <w:p>
      <w:pPr>
        <w:spacing w:after="0" w:line="21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HOUSTON, July 27, 2018 (GLOBE NEWSWIRE) -- Civeo Corporation (NYSE:CVEO) today reported financial and operating results for the second quarter ended June 30,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Successfully closed and integrated Noralta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60"/>
        <w:spacing w:after="0" w:line="251" w:lineRule="auto"/>
        <w:rPr>
          <w:sz w:val="20"/>
          <w:szCs w:val="20"/>
          <w:color w:val="auto"/>
        </w:rPr>
      </w:pPr>
      <w:r>
        <w:rPr>
          <w:rFonts w:ascii="Arial" w:cs="Arial" w:eastAsia="Arial" w:hAnsi="Arial"/>
          <w:sz w:val="22"/>
          <w:szCs w:val="22"/>
          <w:color w:val="auto"/>
        </w:rPr>
        <w:t>Generated $11.1 million in operating cash flow and $8.6 million in free cash flow, an increase of over 50% versus the second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880"/>
        <w:spacing w:after="0" w:line="274" w:lineRule="auto"/>
        <w:rPr>
          <w:sz w:val="20"/>
          <w:szCs w:val="20"/>
          <w:color w:val="auto"/>
        </w:rPr>
      </w:pPr>
      <w:r>
        <w:rPr>
          <w:rFonts w:ascii="Arial" w:cs="Arial" w:eastAsia="Arial" w:hAnsi="Arial"/>
          <w:sz w:val="21"/>
          <w:szCs w:val="21"/>
          <w:color w:val="auto"/>
        </w:rPr>
        <w:t>Awarded four accommodation contracts for the Coastal GasLink Pipeline Project, a LNG-related pipeline in British Columbia, with total revenues expected to be approximately C$100 million over 2019-2021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Repaid $11.5 million of debt during the quarter subsequent to the closing of the Noralta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“In the second quarter, we closed a transformative Canadian acquisition, continued to rebound in Australia and turned around the U.S. operations. We successfully closed the Noralta acquisition and completed the integration of Noralta into our Canadian operations. We expect to have accomplished our objectives with regard to the previously estimated C$10 million in annualized synergies by year end 2018,” stated Bradley J. Dodson, President and Chief Executive Officer.</w:t>
      </w:r>
    </w:p>
    <w:p>
      <w:pPr>
        <w:spacing w:after="0" w:line="174"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“We were pleased to deliver results highlighted by sequential improvement in both revenue and Adjusted EBITDA. In Australia, increased occupancy in the Bowen Basin villages related to customers’ maintenance activities generated improved EBITDA. In the U.S. market, we achieved positive Adjusted EBITDA primarily driven by our new Louisiana location and strong E&amp;P activity in West Texas. Revenue in the Canadian segment was lower than our projections due to shorter than expected turnaround work in the quarter. We are also pleased to announce the award of the four contracts for the British Columbia LNG-related Coastal GasLink Pipeline Project. The contracts are subject to a positive final investment decision from the LNG Canada joint venture which is expected later in 2018.”</w:t>
      </w:r>
    </w:p>
    <w:p>
      <w:pPr>
        <w:spacing w:after="0" w:line="191"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Mr. Dodson concluded, “Looking to the second half of the year, we are confident in our ability to continue to generate free cash flow through our base business and recent acquisitions in the US and Canada, while enhancing our capital structure to take advantage of an improved commodity price environment, delivering best-in-class service to our customers, and creating value for all of our stakeholders.”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 2018 Results</w:t>
      </w:r>
    </w:p>
    <w:p>
      <w:pPr>
        <w:spacing w:after="0" w:line="206"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In the second quarter of 2018, Civeo generated revenues of $130.2 million and reported a net income attributable to Civeo Corporation of $0.2 million, or $0.00 per share, and a net loss attributable to Civeo Corporation common shareholders of $48.3 million, or $0.29 per share. The second quarter net loss was largely driven by the recognition of the accounting impact of a non-cash beneficial conversion feature on the outstanding preferred shares totaling $48.5 million, or $0.29 per share. The beneficial conversion feature existed because the fair value of the Civeo common shares into which the preferred shares are convertible was greater than the effective conversion price at the closing of the Noralta acquisition. During the second quarter of 2018, Civeo produced operating cash flow of $11.1 million, Adjusted EBITDA of $24.5 million and free cash flow of $8.6 million.</w:t>
      </w:r>
    </w:p>
    <w:p>
      <w:pPr>
        <w:spacing w:after="0" w:line="153"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(EBITDA is a non-GAAP financial measure that is defined as net income (loss) attributable to Civeo Corporation plus interest, taxes, depreciation and amortization, and Adjusted EBITDA is defined as EBITDA adjusted to exclude impairment charges and certain other costs.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88"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By comparison, in the second quarter of 2017, Civeo generated revenues of $92.0 million and reported a net loss of $14.8 million, or $0.11 per share. During the second quarter of 2017, Civeo generated operating cash flow of $4.6 million, Adjusted EBITDA of $18.6 million and free cash flow of $3.0 million.</w:t>
      </w:r>
    </w:p>
    <w:p>
      <w:pPr>
        <w:spacing w:after="0" w:line="186"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The increase in Adjusted EBITDA was primarily driven by the addition of Noralta’s operations in Canada, as well as higher activity levels in Australia and the United States. The increase in net loss in the second quarter of 2018 compared to 2017 was primarily due to $48.5 million from the accounting impact of the non-cash beneficial conversion feature on the preferred shares which were issued as consideration in the Noralta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(Unless otherwise noted, the following discussion compares the quarterly results for the second quarter of 2018 to the results for the second quarter of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ectPr>
          <w:pgSz w:w="11900" w:h="16838" w:orient="portrait"/>
          <w:cols w:equalWidth="0" w:num="1">
            <w:col w:w="11420"/>
          </w:cols>
          <w:pgMar w:left="240" w:top="112" w:right="239" w:bottom="20" w:gutter="0" w:footer="0" w:header="0"/>
        </w:sectPr>
      </w:pPr>
    </w:p>
    <w:bookmarkStart w:id="4" w:name="page5"/>
    <w:bookmarkEnd w:id="4"/>
    <w:p>
      <w:pPr>
        <w:ind w:right="80"/>
        <w:spacing w:after="0" w:line="249" w:lineRule="auto"/>
        <w:rPr>
          <w:sz w:val="20"/>
          <w:szCs w:val="20"/>
          <w:color w:val="auto"/>
        </w:rPr>
      </w:pPr>
      <w:r>
        <w:rPr>
          <w:rFonts w:ascii="Arial" w:cs="Arial" w:eastAsia="Arial" w:hAnsi="Arial"/>
          <w:sz w:val="21"/>
          <w:szCs w:val="21"/>
          <w:color w:val="auto"/>
        </w:rPr>
        <w:t>During the second quarter of 2018, the Canadian segment generated revenues of $86.5 million, operating loss of $6.7 million and Adjusted EBITDA of $18.3 million, compared to revenues of $57.7 million, operating loss of $9.6 million and Adjusted EBITDA of $14.7 million in the second quarter of 2017. The second quarter of 2018 results reflect the impact of a strengthened Canadian dollar relative to the U.S. dollar, which increased revenues by $3.7 million. On a constant currency basis, revenues increased $25.1 million primarily due to the addition of Noralta’s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Revenue for the Australian segment was $30.6 million, operating loss was $1.1 million and Adjusted EBITDA was $11.5 million in the second quarter of 2018, compared to revenues of $28.6 million, operating loss of $3.4 million and Adjusted EBITDA of $10.8 million in the second quarter of 2017. The increase in revenue and Adjusted EBITDA for the quarter was primarily due to higher occupancy levels in the Bowen Basin villages driven by increased maintenance work by our customers.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U.S. segment generated revenues of $13.1 million, operating loss of $1.8 million and Adjusted EBITDA of $2.0 million in the second quarter of 2018, compared to revenues of $5.7 million, operating loss of $3.6 million and an Adjusted EBITDA loss of $1.1 million in the second quarter of 2017. The revenue and Adjusted EBITDA increase was primarily due to higher E&amp;P activity in the Bakken, Rockies, and Texas markets as well as a full quarter of benefit from our acquired location in Louisiana.</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As of June 30, 2018, Civeo had total liquidity of approximately $83.0 million, consisting of $78.2 million available under its revolving credit facilities and $4.8 million of cash on hand.</w:t>
      </w:r>
    </w:p>
    <w:p>
      <w:pPr>
        <w:spacing w:after="0" w:line="17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Civeo’s total debt outstanding on June 30, 2018 was $430.2 million, up $109.4 million since March 31, 2018, due to borrowings to fund the Noralta acquisition.</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During the second quarter of 2018, Civeo spent $3.2 million in capital expenditures, up from $2.2 million during the second quarter of 2017. Capital expenditures for both periods were primarily for routine maintenance.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 and Full Year 2018 Guidance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the third quarter of 2018, Civeo expects revenues of $122 million to $127 million and EBITDA of $24 million to $27 million.</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For the full year of 2018, Civeo expects revenues of $478 million to $495 million and EBITDA of $85 million to $92 million.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Civeo expects capital expenditures of approximately $20 to $25 million for the full year 2018.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Civeo will host a conference call to discuss its second quarter 2018 financial results today at 11:00 a.m. Eastern time. This call is being webcast and can be accessed at Civeo's website at www.civeo.com Participants may also join the conference call by dialing (800)-239-9838 in the United States or (323)-794-2551 internationally and using the conference ID 7673058 . A replay will be available after the call by dialing (844) 512-2921 in the United States or (412) 317-6671 internationally and using the conference ID 7673058#.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operates a total of 30 lodges and villages in operation in Canada and Australia, with an aggregate of approximately 32,000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Civeo’s future plans, priorities and borrowing needs; growth opportunities; optimism about activity, market demand and commodity price environment in 2018; expected benefits of the Coastal GasLink contracts and third quarter and full year 2018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development of new projects, including whether such projects will continue in the future, and other factors discussed in the "Management’s Discussion and Analysis of</w:t>
      </w:r>
    </w:p>
    <w:p>
      <w:pPr>
        <w:sectPr>
          <w:pgSz w:w="11900" w:h="16838" w:orient="portrait"/>
          <w:cols w:equalWidth="0" w:num="1">
            <w:col w:w="11400"/>
          </w:cols>
          <w:pgMar w:left="240" w:top="118" w:right="259" w:bottom="0" w:gutter="0" w:footer="0" w:header="0"/>
        </w:sectPr>
      </w:pPr>
    </w:p>
    <w:bookmarkStart w:id="5" w:name="page6"/>
    <w:bookmarkEnd w:id="5"/>
    <w:p>
      <w:pPr>
        <w:ind w:right="80"/>
        <w:spacing w:after="0" w:line="236" w:lineRule="auto"/>
        <w:rPr>
          <w:sz w:val="20"/>
          <w:szCs w:val="20"/>
          <w:color w:val="auto"/>
        </w:rPr>
      </w:pPr>
      <w:r>
        <w:rPr>
          <w:rFonts w:ascii="Arial" w:cs="Arial" w:eastAsia="Arial" w:hAnsi="Arial"/>
          <w:sz w:val="22"/>
          <w:szCs w:val="22"/>
          <w:color w:val="auto"/>
        </w:rPr>
        <w:t>Financial Condition and Results of Operations" and "Risk Factors" sections of Civeo’s annual report on Form 10-K for the year ended December 31, 2017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10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400" w:type="dxa"/>
            <w:vAlign w:val="bottom"/>
            <w:gridSpan w:val="5"/>
          </w:tcPr>
          <w:p>
            <w:pPr>
              <w:jc w:val="right"/>
              <w:spacing w:after="0"/>
              <w:rPr>
                <w:sz w:val="20"/>
                <w:szCs w:val="20"/>
                <w:color w:val="auto"/>
              </w:rPr>
            </w:pPr>
            <w:r>
              <w:rPr>
                <w:rFonts w:ascii="Arial" w:cs="Arial" w:eastAsia="Arial" w:hAnsi="Arial"/>
                <w:sz w:val="22"/>
                <w:szCs w:val="22"/>
                <w:b w:val="1"/>
                <w:bCs w:val="1"/>
                <w:color w:val="auto"/>
              </w:rPr>
              <w:t>SIX MONTHS ENDED</w:t>
            </w:r>
          </w:p>
        </w:tc>
      </w:tr>
      <w:tr>
        <w:trPr>
          <w:trHeight w:val="270"/>
        </w:trPr>
        <w:tc>
          <w:tcPr>
            <w:tcW w:w="6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4"/>
          </w:tcPr>
          <w:p>
            <w:pPr>
              <w:jc w:val="right"/>
              <w:ind w:right="65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60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w w:val="85"/>
              </w:rPr>
              <w:t>2018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r>
      <w:tr>
        <w:trPr>
          <w:trHeight w:val="532"/>
        </w:trPr>
        <w:tc>
          <w:tcPr>
            <w:tcW w:w="6060" w:type="dxa"/>
            <w:vAlign w:val="bottom"/>
          </w:tcPr>
          <w:p>
            <w:pPr>
              <w:spacing w:after="0"/>
              <w:rPr>
                <w:sz w:val="20"/>
                <w:szCs w:val="20"/>
                <w:color w:val="auto"/>
              </w:rPr>
            </w:pPr>
            <w:r>
              <w:rPr>
                <w:rFonts w:ascii="Arial" w:cs="Arial" w:eastAsia="Arial" w:hAnsi="Arial"/>
                <w:sz w:val="22"/>
                <w:szCs w:val="22"/>
                <w:color w:val="auto"/>
              </w:rPr>
              <w:t>Revenues</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130,177</w:t>
            </w:r>
          </w:p>
        </w:tc>
        <w:tc>
          <w:tcPr>
            <w:tcW w:w="100" w:type="dxa"/>
            <w:vAlign w:val="bottom"/>
          </w:tcPr>
          <w:p>
            <w:pPr>
              <w:spacing w:after="0"/>
              <w:rPr>
                <w:sz w:val="24"/>
                <w:szCs w:val="24"/>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92,010</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231,681</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w w:val="98"/>
              </w:rPr>
              <w:t>183,439</w:t>
            </w:r>
          </w:p>
        </w:tc>
      </w:tr>
      <w:tr>
        <w:trPr>
          <w:trHeight w:val="536"/>
        </w:trPr>
        <w:tc>
          <w:tcPr>
            <w:tcW w:w="6060" w:type="dxa"/>
            <w:vAlign w:val="bottom"/>
          </w:tcPr>
          <w:p>
            <w:pPr>
              <w:spacing w:after="0"/>
              <w:rPr>
                <w:sz w:val="20"/>
                <w:szCs w:val="20"/>
                <w:color w:val="auto"/>
              </w:rPr>
            </w:pPr>
            <w:r>
              <w:rPr>
                <w:rFonts w:ascii="Arial" w:cs="Arial" w:eastAsia="Arial" w:hAnsi="Arial"/>
                <w:sz w:val="22"/>
                <w:szCs w:val="22"/>
                <w:color w:val="auto"/>
              </w:rPr>
              <w:t>Costs and expenses: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6060" w:type="dxa"/>
            <w:vAlign w:val="bottom"/>
          </w:tcPr>
          <w:p>
            <w:pPr>
              <w:ind w:left="100"/>
              <w:spacing w:after="0"/>
              <w:rPr>
                <w:sz w:val="20"/>
                <w:szCs w:val="20"/>
                <w:color w:val="auto"/>
              </w:rPr>
            </w:pPr>
            <w:r>
              <w:rPr>
                <w:rFonts w:ascii="Arial" w:cs="Arial" w:eastAsia="Arial" w:hAnsi="Arial"/>
                <w:sz w:val="22"/>
                <w:szCs w:val="22"/>
                <w:color w:val="auto"/>
              </w:rPr>
              <w:t>Cost of sales and services</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88,737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59,484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166,065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98"/>
              </w:rPr>
              <w:t>121,156</w:t>
            </w:r>
          </w:p>
        </w:tc>
      </w:tr>
      <w:tr>
        <w:trPr>
          <w:trHeight w:val="270"/>
        </w:trPr>
        <w:tc>
          <w:tcPr>
            <w:tcW w:w="6060" w:type="dxa"/>
            <w:vAlign w:val="bottom"/>
          </w:tcPr>
          <w:p>
            <w:pPr>
              <w:ind w:left="100"/>
              <w:spacing w:after="0"/>
              <w:rPr>
                <w:sz w:val="20"/>
                <w:szCs w:val="20"/>
                <w:color w:val="auto"/>
              </w:rPr>
            </w:pPr>
            <w:r>
              <w:rPr>
                <w:rFonts w:ascii="Arial" w:cs="Arial" w:eastAsia="Arial" w:hAnsi="Arial"/>
                <w:sz w:val="22"/>
                <w:szCs w:val="22"/>
                <w:color w:val="auto"/>
              </w:rPr>
              <w:t>Selling, general and administrative expenses</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22,539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14,060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39,426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28,270</w:t>
            </w:r>
          </w:p>
        </w:tc>
      </w:tr>
      <w:tr>
        <w:trPr>
          <w:trHeight w:val="270"/>
        </w:trPr>
        <w:tc>
          <w:tcPr>
            <w:tcW w:w="6060" w:type="dxa"/>
            <w:vAlign w:val="bottom"/>
          </w:tcPr>
          <w:p>
            <w:pPr>
              <w:ind w:left="100"/>
              <w:spacing w:after="0"/>
              <w:rPr>
                <w:sz w:val="20"/>
                <w:szCs w:val="20"/>
                <w:color w:val="auto"/>
              </w:rPr>
            </w:pPr>
            <w:r>
              <w:rPr>
                <w:rFonts w:ascii="Arial" w:cs="Arial" w:eastAsia="Arial" w:hAnsi="Arial"/>
                <w:sz w:val="22"/>
                <w:szCs w:val="22"/>
                <w:color w:val="auto"/>
              </w:rPr>
              <w:t>Depreciation and amortization expense</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34,270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31,554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65,034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64,383</w:t>
            </w:r>
          </w:p>
        </w:tc>
      </w:tr>
      <w:tr>
        <w:trPr>
          <w:trHeight w:val="270"/>
        </w:trPr>
        <w:tc>
          <w:tcPr>
            <w:tcW w:w="6060" w:type="dxa"/>
            <w:vAlign w:val="bottom"/>
          </w:tcPr>
          <w:p>
            <w:pPr>
              <w:ind w:left="100"/>
              <w:spacing w:after="0"/>
              <w:rPr>
                <w:sz w:val="20"/>
                <w:szCs w:val="20"/>
                <w:color w:val="auto"/>
              </w:rPr>
            </w:pPr>
            <w:r>
              <w:rPr>
                <w:rFonts w:ascii="Arial" w:cs="Arial" w:eastAsia="Arial" w:hAnsi="Arial"/>
                <w:sz w:val="22"/>
                <w:szCs w:val="22"/>
                <w:color w:val="auto"/>
              </w:rPr>
              <w:t>Impairment expense</w:t>
            </w:r>
          </w:p>
        </w:tc>
        <w:tc>
          <w:tcPr>
            <w:tcW w:w="44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28,661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52"/>
              <w:spacing w:after="0"/>
              <w:rPr>
                <w:sz w:val="20"/>
                <w:szCs w:val="20"/>
                <w:color w:val="auto"/>
              </w:rPr>
            </w:pPr>
            <w:r>
              <w:rPr>
                <w:rFonts w:ascii="Arial" w:cs="Arial" w:eastAsia="Arial" w:hAnsi="Arial"/>
                <w:sz w:val="22"/>
                <w:szCs w:val="22"/>
                <w:color w:val="auto"/>
              </w:rPr>
              <w:t>-</w:t>
            </w:r>
          </w:p>
        </w:tc>
      </w:tr>
      <w:tr>
        <w:trPr>
          <w:trHeight w:val="276"/>
        </w:trPr>
        <w:tc>
          <w:tcPr>
            <w:tcW w:w="6060" w:type="dxa"/>
            <w:vAlign w:val="bottom"/>
          </w:tcPr>
          <w:p>
            <w:pPr>
              <w:ind w:left="100"/>
              <w:spacing w:after="0"/>
              <w:rPr>
                <w:sz w:val="20"/>
                <w:szCs w:val="20"/>
                <w:color w:val="auto"/>
              </w:rPr>
            </w:pPr>
            <w:r>
              <w:rPr>
                <w:rFonts w:ascii="Arial" w:cs="Arial" w:eastAsia="Arial" w:hAnsi="Arial"/>
                <w:sz w:val="22"/>
                <w:szCs w:val="22"/>
                <w:color w:val="auto"/>
              </w:rPr>
              <w:t>Other operating expense</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729</w:t>
            </w:r>
          </w:p>
        </w:tc>
      </w:tr>
      <w:tr>
        <w:trPr>
          <w:trHeight w:val="265"/>
        </w:trPr>
        <w:tc>
          <w:tcPr>
            <w:tcW w:w="60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145,678</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8"/>
              </w:rPr>
              <w:t>105,377</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299,697</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214,538</w:t>
            </w:r>
          </w:p>
        </w:tc>
      </w:tr>
      <w:tr>
        <w:trPr>
          <w:trHeight w:val="268"/>
        </w:trPr>
        <w:tc>
          <w:tcPr>
            <w:tcW w:w="6060" w:type="dxa"/>
            <w:vAlign w:val="bottom"/>
          </w:tcPr>
          <w:p>
            <w:pPr>
              <w:spacing w:after="0"/>
              <w:rPr>
                <w:sz w:val="20"/>
                <w:szCs w:val="20"/>
                <w:color w:val="auto"/>
              </w:rPr>
            </w:pPr>
            <w:r>
              <w:rPr>
                <w:rFonts w:ascii="Arial" w:cs="Arial" w:eastAsia="Arial" w:hAnsi="Arial"/>
                <w:sz w:val="22"/>
                <w:szCs w:val="22"/>
                <w:color w:val="auto"/>
              </w:rPr>
              <w:t>Operating loss</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(15,501)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(13,367)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(68,016)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(31,099)</w:t>
            </w:r>
          </w:p>
        </w:tc>
      </w:tr>
      <w:tr>
        <w:trPr>
          <w:trHeight w:val="528"/>
        </w:trPr>
        <w:tc>
          <w:tcPr>
            <w:tcW w:w="6060" w:type="dxa"/>
            <w:vAlign w:val="bottom"/>
          </w:tcPr>
          <w:p>
            <w:pPr>
              <w:spacing w:after="0"/>
              <w:rPr>
                <w:sz w:val="20"/>
                <w:szCs w:val="20"/>
                <w:color w:val="auto"/>
              </w:rPr>
            </w:pPr>
            <w:r>
              <w:rPr>
                <w:rFonts w:ascii="Arial" w:cs="Arial" w:eastAsia="Arial" w:hAnsi="Arial"/>
                <w:sz w:val="22"/>
                <w:szCs w:val="22"/>
                <w:color w:val="auto"/>
              </w:rPr>
              <w:t>Interest expense, net of capitalized interest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(7,103)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(4,752)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(12,925)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(10,256)</w:t>
            </w:r>
          </w:p>
        </w:tc>
      </w:tr>
      <w:tr>
        <w:trPr>
          <w:trHeight w:val="270"/>
        </w:trPr>
        <w:tc>
          <w:tcPr>
            <w:tcW w:w="606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(748)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(842)</w:t>
            </w:r>
          </w:p>
        </w:tc>
      </w:tr>
      <w:tr>
        <w:trPr>
          <w:trHeight w:val="270"/>
        </w:trPr>
        <w:tc>
          <w:tcPr>
            <w:tcW w:w="6060" w:type="dxa"/>
            <w:vAlign w:val="bottom"/>
          </w:tcPr>
          <w:p>
            <w:pPr>
              <w:spacing w:after="0"/>
              <w:rPr>
                <w:sz w:val="20"/>
                <w:szCs w:val="20"/>
                <w:color w:val="auto"/>
              </w:rPr>
            </w:pPr>
            <w:r>
              <w:rPr>
                <w:rFonts w:ascii="Arial" w:cs="Arial" w:eastAsia="Arial" w:hAnsi="Arial"/>
                <w:sz w:val="22"/>
                <w:szCs w:val="22"/>
                <w:color w:val="auto"/>
              </w:rPr>
              <w:t>Interest income</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10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5"/>
        </w:trPr>
        <w:tc>
          <w:tcPr>
            <w:tcW w:w="6060" w:type="dxa"/>
            <w:vAlign w:val="bottom"/>
          </w:tcPr>
          <w:p>
            <w:pPr>
              <w:spacing w:after="0"/>
              <w:rPr>
                <w:sz w:val="20"/>
                <w:szCs w:val="20"/>
                <w:color w:val="auto"/>
              </w:rPr>
            </w:pPr>
            <w:r>
              <w:rPr>
                <w:rFonts w:ascii="Arial" w:cs="Arial" w:eastAsia="Arial" w:hAnsi="Arial"/>
                <w:sz w:val="22"/>
                <w:szCs w:val="22"/>
                <w:color w:val="auto"/>
              </w:rPr>
              <w:t>Other income</w:t>
            </w: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252</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476</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730</w:t>
            </w:r>
          </w:p>
        </w:tc>
      </w:tr>
      <w:tr>
        <w:trPr>
          <w:trHeight w:val="259"/>
        </w:trPr>
        <w:tc>
          <w:tcPr>
            <w:tcW w:w="6060" w:type="dxa"/>
            <w:vAlign w:val="bottom"/>
          </w:tcPr>
          <w:p>
            <w:pPr>
              <w:ind w:left="100"/>
              <w:spacing w:after="0"/>
              <w:rPr>
                <w:sz w:val="20"/>
                <w:szCs w:val="20"/>
                <w:color w:val="auto"/>
              </w:rPr>
            </w:pPr>
            <w:r>
              <w:rPr>
                <w:rFonts w:ascii="Arial" w:cs="Arial" w:eastAsia="Arial" w:hAnsi="Arial"/>
                <w:sz w:val="22"/>
                <w:szCs w:val="22"/>
                <w:color w:val="auto"/>
              </w:rPr>
              <w:t>Loss before income taxes</w:t>
            </w: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7"/>
              </w:rPr>
              <w:t>(23,082)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(17,633)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(79,102)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(41,447)</w:t>
            </w:r>
          </w:p>
        </w:tc>
      </w:tr>
      <w:tr>
        <w:trPr>
          <w:trHeight w:val="275"/>
        </w:trPr>
        <w:tc>
          <w:tcPr>
            <w:tcW w:w="6060" w:type="dxa"/>
            <w:vAlign w:val="bottom"/>
          </w:tcPr>
          <w:p>
            <w:pPr>
              <w:spacing w:after="0"/>
              <w:rPr>
                <w:sz w:val="20"/>
                <w:szCs w:val="20"/>
                <w:color w:val="auto"/>
              </w:rPr>
            </w:pPr>
            <w:r>
              <w:rPr>
                <w:rFonts w:ascii="Arial" w:cs="Arial" w:eastAsia="Arial" w:hAnsi="Arial"/>
                <w:sz w:val="22"/>
                <w:szCs w:val="22"/>
                <w:color w:val="auto"/>
              </w:rPr>
              <w:t>Income tax benefit</w:t>
            </w: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23,371</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2,916</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24,056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5,864</w:t>
            </w:r>
          </w:p>
        </w:tc>
      </w:tr>
      <w:tr>
        <w:trPr>
          <w:trHeight w:val="259"/>
        </w:trPr>
        <w:tc>
          <w:tcPr>
            <w:tcW w:w="6060" w:type="dxa"/>
            <w:vAlign w:val="bottom"/>
          </w:tcPr>
          <w:p>
            <w:pPr>
              <w:spacing w:after="0"/>
              <w:rPr>
                <w:sz w:val="20"/>
                <w:szCs w:val="20"/>
                <w:color w:val="auto"/>
              </w:rPr>
            </w:pPr>
            <w:r>
              <w:rPr>
                <w:rFonts w:ascii="Arial" w:cs="Arial" w:eastAsia="Arial" w:hAnsi="Arial"/>
                <w:sz w:val="22"/>
                <w:szCs w:val="22"/>
                <w:color w:val="auto"/>
              </w:rPr>
              <w:t>Net income (loss)</w:t>
            </w: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289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(14,717)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(55,046)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(35,583)</w:t>
            </w:r>
          </w:p>
        </w:tc>
      </w:tr>
      <w:tr>
        <w:trPr>
          <w:trHeight w:val="275"/>
        </w:trPr>
        <w:tc>
          <w:tcPr>
            <w:tcW w:w="6060" w:type="dxa"/>
            <w:vAlign w:val="bottom"/>
          </w:tcPr>
          <w:p>
            <w:pPr>
              <w:ind w:left="100"/>
              <w:spacing w:after="0"/>
              <w:rPr>
                <w:sz w:val="20"/>
                <w:szCs w:val="20"/>
                <w:color w:val="auto"/>
              </w:rPr>
            </w:pPr>
            <w:r>
              <w:rPr>
                <w:rFonts w:ascii="Arial" w:cs="Arial" w:eastAsia="Arial" w:hAnsi="Arial"/>
                <w:sz w:val="22"/>
                <w:szCs w:val="22"/>
                <w:color w:val="auto"/>
              </w:rPr>
              <w:t>Less: Net income attributable to noncontrolling interest</w:t>
            </w: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99</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220</w:t>
            </w:r>
          </w:p>
        </w:tc>
      </w:tr>
      <w:tr>
        <w:trPr>
          <w:trHeight w:val="259"/>
        </w:trPr>
        <w:tc>
          <w:tcPr>
            <w:tcW w:w="6060" w:type="dxa"/>
            <w:vAlign w:val="bottom"/>
          </w:tcPr>
          <w:p>
            <w:pPr>
              <w:spacing w:after="0"/>
              <w:rPr>
                <w:sz w:val="20"/>
                <w:szCs w:val="20"/>
                <w:color w:val="auto"/>
              </w:rPr>
            </w:pPr>
            <w:r>
              <w:rPr>
                <w:rFonts w:ascii="Arial" w:cs="Arial" w:eastAsia="Arial" w:hAnsi="Arial"/>
                <w:sz w:val="22"/>
                <w:szCs w:val="22"/>
                <w:color w:val="auto"/>
              </w:rPr>
              <w:t>Net income (loss) attributable to Civeo Corporation</w:t>
            </w: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167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(14,816)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(55,290)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(35,803)</w:t>
            </w:r>
          </w:p>
        </w:tc>
      </w:tr>
      <w:tr>
        <w:trPr>
          <w:trHeight w:val="276"/>
        </w:trPr>
        <w:tc>
          <w:tcPr>
            <w:tcW w:w="6060" w:type="dxa"/>
            <w:vAlign w:val="bottom"/>
          </w:tcPr>
          <w:p>
            <w:pPr>
              <w:ind w:left="100"/>
              <w:spacing w:after="0"/>
              <w:rPr>
                <w:sz w:val="20"/>
                <w:szCs w:val="20"/>
                <w:color w:val="auto"/>
              </w:rPr>
            </w:pPr>
            <w:r>
              <w:rPr>
                <w:rFonts w:ascii="Arial" w:cs="Arial" w:eastAsia="Arial" w:hAnsi="Arial"/>
                <w:sz w:val="22"/>
                <w:szCs w:val="22"/>
                <w:color w:val="auto"/>
              </w:rPr>
              <w:t>Less: Dividends attributable to Class A preferred shares</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48,488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48,488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r>
      <w:tr>
        <w:trPr>
          <w:trHeight w:val="265"/>
        </w:trPr>
        <w:tc>
          <w:tcPr>
            <w:tcW w:w="6060" w:type="dxa"/>
            <w:vAlign w:val="bottom"/>
          </w:tcPr>
          <w:p>
            <w:pPr>
              <w:spacing w:after="0"/>
              <w:rPr>
                <w:sz w:val="20"/>
                <w:szCs w:val="20"/>
                <w:color w:val="auto"/>
              </w:rPr>
            </w:pPr>
            <w:r>
              <w:rPr>
                <w:rFonts w:ascii="Arial" w:cs="Arial" w:eastAsia="Arial" w:hAnsi="Arial"/>
                <w:sz w:val="22"/>
                <w:szCs w:val="22"/>
                <w:color w:val="auto"/>
                <w:w w:val="96"/>
              </w:rPr>
              <w:t>Net loss attributable to Civeo Corporation common shareholders</w:t>
            </w: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(48,321)</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(14,816)</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(103,778)</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(35,803)</w:t>
            </w:r>
          </w:p>
        </w:tc>
      </w:tr>
      <w:tr>
        <w:trPr>
          <w:trHeight w:val="21"/>
        </w:trPr>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26"/>
        </w:trPr>
        <w:tc>
          <w:tcPr>
            <w:tcW w:w="6500" w:type="dxa"/>
            <w:vAlign w:val="bottom"/>
            <w:gridSpan w:val="2"/>
          </w:tcPr>
          <w:p>
            <w:pPr>
              <w:spacing w:after="0"/>
              <w:rPr>
                <w:sz w:val="20"/>
                <w:szCs w:val="20"/>
                <w:color w:val="auto"/>
              </w:rPr>
            </w:pPr>
            <w:r>
              <w:rPr>
                <w:rFonts w:ascii="Arial" w:cs="Arial" w:eastAsia="Arial" w:hAnsi="Arial"/>
                <w:sz w:val="22"/>
                <w:szCs w:val="22"/>
                <w:color w:val="auto"/>
                <w:w w:val="88"/>
              </w:rPr>
              <w:t>Net loss per share attributable to Civeo Corporation common shareholders: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6060" w:type="dxa"/>
            <w:vAlign w:val="bottom"/>
          </w:tcPr>
          <w:p>
            <w:pPr>
              <w:ind w:left="100"/>
              <w:spacing w:after="0"/>
              <w:rPr>
                <w:sz w:val="20"/>
                <w:szCs w:val="20"/>
                <w:color w:val="auto"/>
              </w:rPr>
            </w:pPr>
            <w:r>
              <w:rPr>
                <w:rFonts w:ascii="Arial" w:cs="Arial" w:eastAsia="Arial" w:hAnsi="Arial"/>
                <w:sz w:val="22"/>
                <w:szCs w:val="22"/>
                <w:color w:val="auto"/>
              </w:rPr>
              <w:t>Basic</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(0.29)</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(0.11)</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(0.70)</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(0.28)</w:t>
            </w:r>
          </w:p>
        </w:tc>
      </w:tr>
      <w:tr>
        <w:trPr>
          <w:trHeight w:val="275"/>
        </w:trPr>
        <w:tc>
          <w:tcPr>
            <w:tcW w:w="6060" w:type="dxa"/>
            <w:vAlign w:val="bottom"/>
          </w:tcPr>
          <w:p>
            <w:pPr>
              <w:ind w:left="100"/>
              <w:spacing w:after="0"/>
              <w:rPr>
                <w:sz w:val="20"/>
                <w:szCs w:val="20"/>
                <w:color w:val="auto"/>
              </w:rPr>
            </w:pPr>
            <w:r>
              <w:rPr>
                <w:rFonts w:ascii="Arial" w:cs="Arial" w:eastAsia="Arial" w:hAnsi="Arial"/>
                <w:sz w:val="22"/>
                <w:szCs w:val="22"/>
                <w:color w:val="auto"/>
              </w:rPr>
              <w:t>Diluted</w:t>
            </w: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(0.29)</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(0.11)</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(0.70)</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(0.28)</w:t>
            </w:r>
          </w:p>
        </w:tc>
      </w:tr>
      <w:tr>
        <w:trPr>
          <w:trHeight w:val="536"/>
        </w:trPr>
        <w:tc>
          <w:tcPr>
            <w:tcW w:w="6060" w:type="dxa"/>
            <w:vAlign w:val="bottom"/>
          </w:tcPr>
          <w:p>
            <w:pPr>
              <w:spacing w:after="0"/>
              <w:rPr>
                <w:sz w:val="20"/>
                <w:szCs w:val="20"/>
                <w:color w:val="auto"/>
              </w:rPr>
            </w:pPr>
            <w:r>
              <w:rPr>
                <w:rFonts w:ascii="Arial" w:cs="Arial" w:eastAsia="Arial" w:hAnsi="Arial"/>
                <w:sz w:val="22"/>
                <w:szCs w:val="22"/>
                <w:color w:val="auto"/>
              </w:rPr>
              <w:t>Weighted average number of common shares outstanding:</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6060" w:type="dxa"/>
            <w:vAlign w:val="bottom"/>
          </w:tcPr>
          <w:p>
            <w:pPr>
              <w:ind w:left="100"/>
              <w:spacing w:after="0"/>
              <w:rPr>
                <w:sz w:val="20"/>
                <w:szCs w:val="20"/>
                <w:color w:val="auto"/>
              </w:rPr>
            </w:pPr>
            <w:r>
              <w:rPr>
                <w:rFonts w:ascii="Arial" w:cs="Arial" w:eastAsia="Arial" w:hAnsi="Arial"/>
                <w:sz w:val="22"/>
                <w:szCs w:val="22"/>
                <w:color w:val="auto"/>
              </w:rPr>
              <w:t>Basic</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165,373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130,692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148,595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98"/>
              </w:rPr>
              <w:t>125,796</w:t>
            </w:r>
          </w:p>
        </w:tc>
      </w:tr>
      <w:tr>
        <w:trPr>
          <w:trHeight w:val="275"/>
        </w:trPr>
        <w:tc>
          <w:tcPr>
            <w:tcW w:w="6060" w:type="dxa"/>
            <w:vAlign w:val="bottom"/>
          </w:tcPr>
          <w:p>
            <w:pPr>
              <w:ind w:left="100"/>
              <w:spacing w:after="0"/>
              <w:rPr>
                <w:sz w:val="20"/>
                <w:szCs w:val="20"/>
                <w:color w:val="auto"/>
              </w:rPr>
            </w:pPr>
            <w:r>
              <w:rPr>
                <w:rFonts w:ascii="Arial" w:cs="Arial" w:eastAsia="Arial" w:hAnsi="Arial"/>
                <w:sz w:val="22"/>
                <w:szCs w:val="22"/>
                <w:color w:val="auto"/>
              </w:rPr>
              <w:t>Diluted</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w w:val="93"/>
              </w:rPr>
              <w:t>165,373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130,692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148,595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98"/>
              </w:rPr>
              <w:t>125,796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92"/>
              </w:rPr>
              <w:t>JUNE 30,</w:t>
            </w:r>
          </w:p>
        </w:tc>
        <w:tc>
          <w:tcPr>
            <w:tcW w:w="420" w:type="dxa"/>
            <w:vAlign w:val="bottom"/>
          </w:tcPr>
          <w:p>
            <w:pPr>
              <w:spacing w:after="0"/>
              <w:rPr>
                <w:sz w:val="21"/>
                <w:szCs w:val="21"/>
                <w:color w:val="auto"/>
              </w:rPr>
            </w:pPr>
          </w:p>
        </w:tc>
        <w:tc>
          <w:tcPr>
            <w:tcW w:w="2100" w:type="dxa"/>
            <w:vAlign w:val="bottom"/>
          </w:tcPr>
          <w:p>
            <w:pPr>
              <w:jc w:val="right"/>
              <w:ind w:right="352"/>
              <w:spacing w:after="0"/>
              <w:rPr>
                <w:sz w:val="20"/>
                <w:szCs w:val="20"/>
                <w:color w:val="auto"/>
              </w:rPr>
            </w:pPr>
            <w:r>
              <w:rPr>
                <w:rFonts w:ascii="Arial" w:cs="Arial" w:eastAsia="Arial" w:hAnsi="Arial"/>
                <w:sz w:val="22"/>
                <w:szCs w:val="22"/>
                <w:b w:val="1"/>
                <w:bCs w:val="1"/>
                <w:color w:val="auto"/>
                <w:w w:val="99"/>
              </w:rPr>
              <w:t>DECEMBER 31,</w:t>
            </w:r>
          </w:p>
        </w:tc>
        <w:tc>
          <w:tcPr>
            <w:tcW w:w="0" w:type="dxa"/>
            <w:vAlign w:val="bottom"/>
          </w:tcPr>
          <w:p>
            <w:pPr>
              <w:spacing w:after="0"/>
              <w:rPr>
                <w:sz w:val="1"/>
                <w:szCs w:val="1"/>
                <w:color w:val="auto"/>
              </w:rPr>
            </w:pPr>
          </w:p>
        </w:tc>
      </w:tr>
      <w:tr>
        <w:trPr>
          <w:trHeight w:val="281"/>
        </w:trPr>
        <w:tc>
          <w:tcPr>
            <w:tcW w:w="6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192"/>
              <w:spacing w:after="0"/>
              <w:rPr>
                <w:sz w:val="20"/>
                <w:szCs w:val="20"/>
                <w:color w:val="auto"/>
              </w:rPr>
            </w:pPr>
            <w:r>
              <w:rPr>
                <w:rFonts w:ascii="Arial" w:cs="Arial" w:eastAsia="Arial" w:hAnsi="Arial"/>
                <w:sz w:val="22"/>
                <w:szCs w:val="22"/>
                <w:b w:val="1"/>
                <w:bCs w:val="1"/>
                <w:color w:val="auto"/>
                <w:w w:val="89"/>
              </w:rPr>
              <w:t>2018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91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278"/>
        </w:trPr>
        <w:tc>
          <w:tcPr>
            <w:tcW w:w="648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340" w:type="dxa"/>
            <w:vAlign w:val="bottom"/>
          </w:tcPr>
          <w:p>
            <w:pPr>
              <w:spacing w:after="0"/>
              <w:rPr>
                <w:sz w:val="24"/>
                <w:szCs w:val="24"/>
                <w:color w:val="auto"/>
              </w:rPr>
            </w:pPr>
          </w:p>
        </w:tc>
        <w:tc>
          <w:tcPr>
            <w:tcW w:w="1940" w:type="dxa"/>
            <w:vAlign w:val="bottom"/>
          </w:tcPr>
          <w:p>
            <w:pPr>
              <w:jc w:val="center"/>
              <w:ind w:right="232"/>
              <w:spacing w:after="0"/>
              <w:rPr>
                <w:sz w:val="20"/>
                <w:szCs w:val="20"/>
                <w:color w:val="auto"/>
              </w:rPr>
            </w:pPr>
            <w:r>
              <w:rPr>
                <w:rFonts w:ascii="Arial" w:cs="Arial" w:eastAsia="Arial" w:hAnsi="Arial"/>
                <w:sz w:val="22"/>
                <w:szCs w:val="22"/>
                <w:b w:val="1"/>
                <w:bCs w:val="1"/>
                <w:color w:val="auto"/>
                <w:w w:val="99"/>
              </w:rPr>
              <w:t>(UNAUDITED)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4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1940" w:type="dxa"/>
            <w:vAlign w:val="bottom"/>
          </w:tcPr>
          <w:p>
            <w:pPr>
              <w:jc w:val="right"/>
              <w:spacing w:after="0"/>
              <w:rPr>
                <w:sz w:val="20"/>
                <w:szCs w:val="20"/>
                <w:color w:val="auto"/>
              </w:rPr>
            </w:pPr>
            <w:r>
              <w:rPr>
                <w:rFonts w:ascii="Arial" w:cs="Arial" w:eastAsia="Arial" w:hAnsi="Arial"/>
                <w:sz w:val="22"/>
                <w:szCs w:val="22"/>
                <w:color w:val="auto"/>
              </w:rPr>
              <w:t>4,786</w:t>
            </w: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2100" w:type="dxa"/>
            <w:vAlign w:val="bottom"/>
          </w:tcPr>
          <w:p>
            <w:pPr>
              <w:jc w:val="right"/>
              <w:spacing w:after="0"/>
              <w:rPr>
                <w:sz w:val="20"/>
                <w:szCs w:val="20"/>
                <w:color w:val="auto"/>
              </w:rPr>
            </w:pPr>
            <w:r>
              <w:rPr>
                <w:rFonts w:ascii="Arial" w:cs="Arial" w:eastAsia="Arial" w:hAnsi="Arial"/>
                <w:sz w:val="22"/>
                <w:szCs w:val="22"/>
                <w:color w:val="auto"/>
              </w:rPr>
              <w:t>32,647</w:t>
            </w: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3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75,789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66,823</w:t>
            </w:r>
          </w:p>
        </w:tc>
        <w:tc>
          <w:tcPr>
            <w:tcW w:w="0" w:type="dxa"/>
            <w:vAlign w:val="bottom"/>
          </w:tcPr>
          <w:p>
            <w:pPr>
              <w:spacing w:after="0"/>
              <w:rPr>
                <w:sz w:val="1"/>
                <w:szCs w:val="1"/>
                <w:color w:val="auto"/>
              </w:rPr>
            </w:pPr>
          </w:p>
        </w:tc>
      </w:tr>
      <w:tr>
        <w:trPr>
          <w:trHeight w:val="275"/>
        </w:trPr>
        <w:tc>
          <w:tcPr>
            <w:tcW w:w="648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3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4,720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7,246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80" w:type="dxa"/>
            <w:vAlign w:val="bottom"/>
          </w:tcPr>
          <w:p>
            <w:pPr>
              <w:ind w:left="200"/>
              <w:spacing w:after="0"/>
              <w:rPr>
                <w:sz w:val="20"/>
                <w:szCs w:val="20"/>
                <w:color w:val="auto"/>
              </w:rPr>
            </w:pPr>
            <w:r>
              <w:rPr>
                <w:rFonts w:ascii="Arial" w:cs="Arial" w:eastAsia="Arial" w:hAnsi="Arial"/>
                <w:sz w:val="22"/>
                <w:szCs w:val="22"/>
                <w:color w:val="auto"/>
              </w:rPr>
              <w:t>Assets held for sale</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12,519</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9,462</w:t>
            </w:r>
          </w:p>
        </w:tc>
        <w:tc>
          <w:tcPr>
            <w:tcW w:w="0" w:type="dxa"/>
            <w:vAlign w:val="bottom"/>
          </w:tcPr>
          <w:p>
            <w:pPr>
              <w:spacing w:after="0"/>
              <w:rPr>
                <w:sz w:val="1"/>
                <w:szCs w:val="1"/>
                <w:color w:val="auto"/>
              </w:rPr>
            </w:pPr>
          </w:p>
        </w:tc>
      </w:tr>
      <w:tr>
        <w:trPr>
          <w:trHeight w:val="275"/>
        </w:trPr>
        <w:tc>
          <w:tcPr>
            <w:tcW w:w="6480" w:type="dxa"/>
            <w:vAlign w:val="bottom"/>
          </w:tcPr>
          <w:p>
            <w:pPr>
              <w:ind w:left="200"/>
              <w:spacing w:after="0"/>
              <w:rPr>
                <w:sz w:val="20"/>
                <w:szCs w:val="20"/>
                <w:color w:val="auto"/>
              </w:rPr>
            </w:pPr>
            <w:r>
              <w:rPr>
                <w:rFonts w:ascii="Arial" w:cs="Arial" w:eastAsia="Arial" w:hAnsi="Arial"/>
                <w:sz w:val="22"/>
                <w:szCs w:val="22"/>
                <w:color w:val="auto"/>
              </w:rPr>
              <w:t>Prepaid expenses and other current assets</w:t>
            </w:r>
          </w:p>
        </w:tc>
        <w:tc>
          <w:tcPr>
            <w:tcW w:w="8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32,381</w:t>
            </w:r>
          </w:p>
        </w:tc>
        <w:tc>
          <w:tcPr>
            <w:tcW w:w="1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16,034</w:t>
            </w:r>
          </w:p>
        </w:tc>
        <w:tc>
          <w:tcPr>
            <w:tcW w:w="0" w:type="dxa"/>
            <w:vAlign w:val="bottom"/>
          </w:tcPr>
          <w:p>
            <w:pPr>
              <w:spacing w:after="0"/>
              <w:rPr>
                <w:sz w:val="1"/>
                <w:szCs w:val="1"/>
                <w:color w:val="auto"/>
              </w:rPr>
            </w:pPr>
          </w:p>
        </w:tc>
      </w:tr>
      <w:tr>
        <w:trPr>
          <w:trHeight w:val="272"/>
        </w:trPr>
        <w:tc>
          <w:tcPr>
            <w:tcW w:w="6480" w:type="dxa"/>
            <w:vAlign w:val="bottom"/>
          </w:tcPr>
          <w:p>
            <w:pPr>
              <w:ind w:left="400"/>
              <w:spacing w:after="0"/>
              <w:rPr>
                <w:sz w:val="20"/>
                <w:szCs w:val="20"/>
                <w:color w:val="auto"/>
              </w:rPr>
            </w:pPr>
            <w:r>
              <w:rPr>
                <w:rFonts w:ascii="Arial" w:cs="Arial" w:eastAsia="Arial" w:hAnsi="Arial"/>
                <w:sz w:val="22"/>
                <w:szCs w:val="22"/>
                <w:color w:val="auto"/>
              </w:rPr>
              <w:t>Total current assets</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130,195</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132,212</w:t>
            </w:r>
          </w:p>
        </w:tc>
        <w:tc>
          <w:tcPr>
            <w:tcW w:w="0" w:type="dxa"/>
            <w:vAlign w:val="bottom"/>
          </w:tcPr>
          <w:p>
            <w:pPr>
              <w:spacing w:after="0"/>
              <w:rPr>
                <w:sz w:val="1"/>
                <w:szCs w:val="1"/>
                <w:color w:val="auto"/>
              </w:rPr>
            </w:pPr>
          </w:p>
        </w:tc>
      </w:tr>
      <w:tr>
        <w:trPr>
          <w:trHeight w:val="528"/>
        </w:trPr>
        <w:tc>
          <w:tcPr>
            <w:tcW w:w="648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8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734,242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693,833</w:t>
            </w: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22"/>
                <w:szCs w:val="22"/>
                <w:color w:val="auto"/>
              </w:rPr>
              <w:t>Goodwill, net</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117,307</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133,964</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22,753</w:t>
            </w:r>
          </w:p>
        </w:tc>
        <w:tc>
          <w:tcPr>
            <w:tcW w:w="0" w:type="dxa"/>
            <w:vAlign w:val="bottom"/>
          </w:tcPr>
          <w:p>
            <w:pPr>
              <w:spacing w:after="0"/>
              <w:rPr>
                <w:sz w:val="1"/>
                <w:szCs w:val="1"/>
                <w:color w:val="auto"/>
              </w:rPr>
            </w:pPr>
          </w:p>
        </w:tc>
      </w:tr>
      <w:tr>
        <w:trPr>
          <w:trHeight w:val="276"/>
        </w:trPr>
        <w:tc>
          <w:tcPr>
            <w:tcW w:w="648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2,240</w:t>
            </w: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5,114</w:t>
            </w:r>
          </w:p>
        </w:tc>
        <w:tc>
          <w:tcPr>
            <w:tcW w:w="0" w:type="dxa"/>
            <w:vAlign w:val="bottom"/>
          </w:tcPr>
          <w:p>
            <w:pPr>
              <w:spacing w:after="0"/>
              <w:rPr>
                <w:sz w:val="1"/>
                <w:szCs w:val="1"/>
                <w:color w:val="auto"/>
              </w:rPr>
            </w:pPr>
          </w:p>
        </w:tc>
      </w:tr>
      <w:tr>
        <w:trPr>
          <w:trHeight w:val="265"/>
        </w:trPr>
        <w:tc>
          <w:tcPr>
            <w:tcW w:w="6480" w:type="dxa"/>
            <w:vAlign w:val="bottom"/>
          </w:tcPr>
          <w:p>
            <w:pPr>
              <w:ind w:left="400"/>
              <w:spacing w:after="0"/>
              <w:rPr>
                <w:sz w:val="20"/>
                <w:szCs w:val="20"/>
                <w:color w:val="auto"/>
              </w:rPr>
            </w:pPr>
            <w:r>
              <w:rPr>
                <w:rFonts w:ascii="Arial" w:cs="Arial" w:eastAsia="Arial" w:hAnsi="Arial"/>
                <w:sz w:val="22"/>
                <w:szCs w:val="22"/>
                <w:color w:val="auto"/>
              </w:rPr>
              <w:t>Total assets</w:t>
            </w: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1,117,948</w:t>
            </w:r>
          </w:p>
        </w:tc>
        <w:tc>
          <w:tcPr>
            <w:tcW w:w="120" w:type="dxa"/>
            <w:vAlign w:val="bottom"/>
          </w:tcPr>
          <w:p>
            <w:pPr>
              <w:spacing w:after="0"/>
              <w:rPr>
                <w:sz w:val="23"/>
                <w:szCs w:val="23"/>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853,912</w:t>
            </w:r>
          </w:p>
        </w:tc>
        <w:tc>
          <w:tcPr>
            <w:tcW w:w="0" w:type="dxa"/>
            <w:vAlign w:val="bottom"/>
          </w:tcPr>
          <w:p>
            <w:pPr>
              <w:spacing w:after="0"/>
              <w:rPr>
                <w:sz w:val="1"/>
                <w:szCs w:val="1"/>
                <w:color w:val="auto"/>
              </w:rPr>
            </w:pPr>
          </w:p>
        </w:tc>
      </w:tr>
      <w:tr>
        <w:trPr>
          <w:trHeight w:val="21"/>
        </w:trPr>
        <w:tc>
          <w:tcPr>
            <w:tcW w:w="648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Accounts payable</w:t>
            </w:r>
          </w:p>
        </w:tc>
        <w:tc>
          <w:tcPr>
            <w:tcW w:w="84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29,797</w:t>
            </w:r>
          </w:p>
        </w:tc>
        <w:tc>
          <w:tcPr>
            <w:tcW w:w="120" w:type="dxa"/>
            <w:vAlign w:val="bottom"/>
          </w:tcPr>
          <w:p>
            <w:pPr>
              <w:spacing w:after="0"/>
              <w:rPr>
                <w:sz w:val="23"/>
                <w:szCs w:val="23"/>
                <w:color w:val="auto"/>
              </w:rPr>
            </w:pPr>
          </w:p>
        </w:tc>
        <w:tc>
          <w:tcPr>
            <w:tcW w:w="1080" w:type="dxa"/>
            <w:vAlign w:val="bottom"/>
          </w:tcPr>
          <w:p>
            <w:pPr>
              <w:jc w:val="right"/>
              <w:ind w:right="612"/>
              <w:spacing w:after="0"/>
              <w:rPr>
                <w:sz w:val="20"/>
                <w:szCs w:val="20"/>
                <w:color w:val="auto"/>
              </w:rPr>
            </w:pPr>
            <w:r>
              <w:rPr>
                <w:rFonts w:ascii="Arial" w:cs="Arial" w:eastAsia="Arial" w:hAnsi="Arial"/>
                <w:sz w:val="22"/>
                <w:szCs w:val="22"/>
                <w:color w:val="auto"/>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27,812</w:t>
            </w: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Accrued liabilities</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17,265</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22,208</w:t>
            </w: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Income taxes</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1,568</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1,728</w:t>
            </w: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Current portion of long-term debt</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27,643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16,596</w:t>
            </w: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Deferred revenue</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3,123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5,442</w:t>
            </w:r>
          </w:p>
        </w:tc>
        <w:tc>
          <w:tcPr>
            <w:tcW w:w="0" w:type="dxa"/>
            <w:vAlign w:val="bottom"/>
          </w:tcPr>
          <w:p>
            <w:pPr>
              <w:spacing w:after="0"/>
              <w:rPr>
                <w:sz w:val="1"/>
                <w:szCs w:val="1"/>
                <w:color w:val="auto"/>
              </w:rPr>
            </w:pPr>
          </w:p>
        </w:tc>
      </w:tr>
      <w:tr>
        <w:trPr>
          <w:trHeight w:val="275"/>
        </w:trPr>
        <w:tc>
          <w:tcPr>
            <w:tcW w:w="6480" w:type="dxa"/>
            <w:vAlign w:val="bottom"/>
          </w:tcPr>
          <w:p>
            <w:pPr>
              <w:ind w:left="200"/>
              <w:spacing w:after="0"/>
              <w:rPr>
                <w:sz w:val="20"/>
                <w:szCs w:val="20"/>
                <w:color w:val="auto"/>
              </w:rPr>
            </w:pPr>
            <w:r>
              <w:rPr>
                <w:rFonts w:ascii="Arial" w:cs="Arial" w:eastAsia="Arial" w:hAnsi="Arial"/>
                <w:sz w:val="22"/>
                <w:szCs w:val="22"/>
                <w:color w:val="auto"/>
              </w:rPr>
              <w:t>Other current liabilities</w:t>
            </w:r>
          </w:p>
        </w:tc>
        <w:tc>
          <w:tcPr>
            <w:tcW w:w="8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4,520</w:t>
            </w:r>
          </w:p>
        </w:tc>
        <w:tc>
          <w:tcPr>
            <w:tcW w:w="1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1,843</w:t>
            </w:r>
          </w:p>
        </w:tc>
        <w:tc>
          <w:tcPr>
            <w:tcW w:w="0" w:type="dxa"/>
            <w:vAlign w:val="bottom"/>
          </w:tcPr>
          <w:p>
            <w:pPr>
              <w:spacing w:after="0"/>
              <w:rPr>
                <w:sz w:val="1"/>
                <w:szCs w:val="1"/>
                <w:color w:val="auto"/>
              </w:rPr>
            </w:pPr>
          </w:p>
        </w:tc>
      </w:tr>
      <w:tr>
        <w:trPr>
          <w:trHeight w:val="272"/>
        </w:trPr>
        <w:tc>
          <w:tcPr>
            <w:tcW w:w="6480" w:type="dxa"/>
            <w:vAlign w:val="bottom"/>
          </w:tcPr>
          <w:p>
            <w:pPr>
              <w:ind w:left="400"/>
              <w:spacing w:after="0"/>
              <w:rPr>
                <w:sz w:val="20"/>
                <w:szCs w:val="20"/>
                <w:color w:val="auto"/>
              </w:rPr>
            </w:pPr>
            <w:r>
              <w:rPr>
                <w:rFonts w:ascii="Arial" w:cs="Arial" w:eastAsia="Arial" w:hAnsi="Arial"/>
                <w:sz w:val="22"/>
                <w:szCs w:val="22"/>
                <w:color w:val="auto"/>
              </w:rPr>
              <w:t>Total current liabilities</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83,916</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75,629</w:t>
            </w:r>
          </w:p>
        </w:tc>
        <w:tc>
          <w:tcPr>
            <w:tcW w:w="0" w:type="dxa"/>
            <w:vAlign w:val="bottom"/>
          </w:tcPr>
          <w:p>
            <w:pPr>
              <w:spacing w:after="0"/>
              <w:rPr>
                <w:sz w:val="1"/>
                <w:szCs w:val="1"/>
                <w:color w:val="auto"/>
              </w:rPr>
            </w:pPr>
          </w:p>
        </w:tc>
      </w:tr>
      <w:tr>
        <w:trPr>
          <w:trHeight w:val="528"/>
        </w:trPr>
        <w:tc>
          <w:tcPr>
            <w:tcW w:w="6480" w:type="dxa"/>
            <w:vAlign w:val="bottom"/>
          </w:tcPr>
          <w:p>
            <w:pPr>
              <w:spacing w:after="0"/>
              <w:rPr>
                <w:sz w:val="20"/>
                <w:szCs w:val="20"/>
                <w:color w:val="auto"/>
              </w:rPr>
            </w:pPr>
            <w:r>
              <w:rPr>
                <w:rFonts w:ascii="Arial" w:cs="Arial" w:eastAsia="Arial" w:hAnsi="Arial"/>
                <w:sz w:val="22"/>
                <w:szCs w:val="22"/>
                <w:color w:val="auto"/>
              </w:rPr>
              <w:t>Long-term debt</w:t>
            </w:r>
          </w:p>
        </w:tc>
        <w:tc>
          <w:tcPr>
            <w:tcW w:w="8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399,520</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277,990</w:t>
            </w: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22"/>
                <w:szCs w:val="22"/>
                <w:color w:val="auto"/>
              </w:rPr>
              <w:t>Deferred income taxes</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29,003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64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8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30,044</w:t>
            </w:r>
          </w:p>
        </w:tc>
        <w:tc>
          <w:tcPr>
            <w:tcW w:w="1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23,926</w:t>
            </w:r>
          </w:p>
        </w:tc>
        <w:tc>
          <w:tcPr>
            <w:tcW w:w="0" w:type="dxa"/>
            <w:vAlign w:val="bottom"/>
          </w:tcPr>
          <w:p>
            <w:pPr>
              <w:spacing w:after="0"/>
              <w:rPr>
                <w:sz w:val="1"/>
                <w:szCs w:val="1"/>
                <w:color w:val="auto"/>
              </w:rPr>
            </w:pPr>
          </w:p>
        </w:tc>
      </w:tr>
      <w:tr>
        <w:trPr>
          <w:trHeight w:val="272"/>
        </w:trPr>
        <w:tc>
          <w:tcPr>
            <w:tcW w:w="6480" w:type="dxa"/>
            <w:vAlign w:val="bottom"/>
          </w:tcPr>
          <w:p>
            <w:pPr>
              <w:ind w:left="400"/>
              <w:spacing w:after="0"/>
              <w:rPr>
                <w:sz w:val="20"/>
                <w:szCs w:val="20"/>
                <w:color w:val="auto"/>
              </w:rPr>
            </w:pPr>
            <w:r>
              <w:rPr>
                <w:rFonts w:ascii="Arial" w:cs="Arial" w:eastAsia="Arial" w:hAnsi="Arial"/>
                <w:sz w:val="22"/>
                <w:szCs w:val="22"/>
                <w:color w:val="auto"/>
              </w:rPr>
              <w:t>Total liabilities</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542,483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377,545</w:t>
            </w:r>
          </w:p>
        </w:tc>
        <w:tc>
          <w:tcPr>
            <w:tcW w:w="0" w:type="dxa"/>
            <w:vAlign w:val="bottom"/>
          </w:tcPr>
          <w:p>
            <w:pPr>
              <w:spacing w:after="0"/>
              <w:rPr>
                <w:sz w:val="1"/>
                <w:szCs w:val="1"/>
                <w:color w:val="auto"/>
              </w:rPr>
            </w:pPr>
          </w:p>
        </w:tc>
      </w:tr>
      <w:tr>
        <w:trPr>
          <w:trHeight w:val="528"/>
        </w:trPr>
        <w:tc>
          <w:tcPr>
            <w:tcW w:w="6480" w:type="dxa"/>
            <w:vAlign w:val="bottom"/>
          </w:tcPr>
          <w:p>
            <w:pPr>
              <w:spacing w:after="0"/>
              <w:rPr>
                <w:sz w:val="20"/>
                <w:szCs w:val="20"/>
                <w:color w:val="auto"/>
              </w:rPr>
            </w:pPr>
            <w:r>
              <w:rPr>
                <w:rFonts w:ascii="Arial" w:cs="Arial" w:eastAsia="Arial" w:hAnsi="Arial"/>
                <w:sz w:val="22"/>
                <w:szCs w:val="22"/>
                <w:color w:val="auto"/>
              </w:rPr>
              <w:t>Shareholders' equity:</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22"/>
                <w:szCs w:val="22"/>
                <w:color w:val="auto"/>
              </w:rPr>
              <w:t>Total Civeo Corporation shareholders' equity</w:t>
            </w:r>
          </w:p>
        </w:tc>
        <w:tc>
          <w:tcPr>
            <w:tcW w:w="8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575,346</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476,250</w:t>
            </w:r>
          </w:p>
        </w:tc>
        <w:tc>
          <w:tcPr>
            <w:tcW w:w="0" w:type="dxa"/>
            <w:vAlign w:val="bottom"/>
          </w:tcPr>
          <w:p>
            <w:pPr>
              <w:spacing w:after="0"/>
              <w:rPr>
                <w:sz w:val="1"/>
                <w:szCs w:val="1"/>
                <w:color w:val="auto"/>
              </w:rPr>
            </w:pPr>
          </w:p>
        </w:tc>
      </w:tr>
      <w:tr>
        <w:trPr>
          <w:trHeight w:val="275"/>
        </w:trPr>
        <w:tc>
          <w:tcPr>
            <w:tcW w:w="6480" w:type="dxa"/>
            <w:vAlign w:val="bottom"/>
          </w:tcPr>
          <w:p>
            <w:pPr>
              <w:ind w:left="200"/>
              <w:spacing w:after="0"/>
              <w:rPr>
                <w:sz w:val="20"/>
                <w:szCs w:val="20"/>
                <w:color w:val="auto"/>
              </w:rPr>
            </w:pPr>
            <w:r>
              <w:rPr>
                <w:rFonts w:ascii="Arial" w:cs="Arial" w:eastAsia="Arial" w:hAnsi="Arial"/>
                <w:sz w:val="22"/>
                <w:szCs w:val="22"/>
                <w:color w:val="auto"/>
              </w:rPr>
              <w:t>Noncontrolling interest</w:t>
            </w:r>
          </w:p>
        </w:tc>
        <w:tc>
          <w:tcPr>
            <w:tcW w:w="8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w:t>
            </w:r>
          </w:p>
        </w:tc>
        <w:tc>
          <w:tcPr>
            <w:tcW w:w="1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67"/>
        </w:trPr>
        <w:tc>
          <w:tcPr>
            <w:tcW w:w="6480" w:type="dxa"/>
            <w:vAlign w:val="bottom"/>
          </w:tcPr>
          <w:p>
            <w:pPr>
              <w:ind w:left="260"/>
              <w:spacing w:after="0"/>
              <w:rPr>
                <w:sz w:val="20"/>
                <w:szCs w:val="20"/>
                <w:color w:val="auto"/>
              </w:rPr>
            </w:pPr>
            <w:r>
              <w:rPr>
                <w:rFonts w:ascii="Arial" w:cs="Arial" w:eastAsia="Arial" w:hAnsi="Arial"/>
                <w:sz w:val="22"/>
                <w:szCs w:val="22"/>
                <w:color w:val="auto"/>
              </w:rPr>
              <w:t>Total shareholders' equity</w:t>
            </w:r>
          </w:p>
        </w:tc>
        <w:tc>
          <w:tcPr>
            <w:tcW w:w="8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575,465</w:t>
            </w:r>
          </w:p>
        </w:tc>
        <w:tc>
          <w:tcPr>
            <w:tcW w:w="1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476,367</w:t>
            </w:r>
          </w:p>
        </w:tc>
        <w:tc>
          <w:tcPr>
            <w:tcW w:w="0" w:type="dxa"/>
            <w:vAlign w:val="bottom"/>
          </w:tcPr>
          <w:p>
            <w:pPr>
              <w:spacing w:after="0"/>
              <w:rPr>
                <w:sz w:val="1"/>
                <w:szCs w:val="1"/>
                <w:color w:val="auto"/>
              </w:rPr>
            </w:pPr>
          </w:p>
        </w:tc>
      </w:tr>
      <w:tr>
        <w:trPr>
          <w:trHeight w:val="264"/>
        </w:trPr>
        <w:tc>
          <w:tcPr>
            <w:tcW w:w="6480" w:type="dxa"/>
            <w:vAlign w:val="bottom"/>
          </w:tcPr>
          <w:p>
            <w:pPr>
              <w:ind w:left="400"/>
              <w:spacing w:after="0"/>
              <w:rPr>
                <w:sz w:val="20"/>
                <w:szCs w:val="20"/>
                <w:color w:val="auto"/>
              </w:rPr>
            </w:pPr>
            <w:r>
              <w:rPr>
                <w:rFonts w:ascii="Arial" w:cs="Arial" w:eastAsia="Arial" w:hAnsi="Arial"/>
                <w:sz w:val="22"/>
                <w:szCs w:val="22"/>
                <w:color w:val="auto"/>
              </w:rPr>
              <w:t>Total liabilities and shareholders' equity</w:t>
            </w: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1,117,948</w:t>
            </w: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853,912</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4"/>
          </w:tcPr>
          <w:p>
            <w:pPr>
              <w:jc w:val="center"/>
              <w:ind w:right="11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8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gridSpan w:val="3"/>
          </w:tcPr>
          <w:p>
            <w:pPr>
              <w:jc w:val="center"/>
              <w:ind w:left="592"/>
              <w:spacing w:after="0"/>
              <w:rPr>
                <w:sz w:val="20"/>
                <w:szCs w:val="20"/>
                <w:color w:val="auto"/>
              </w:rPr>
            </w:pPr>
            <w:r>
              <w:rPr>
                <w:rFonts w:ascii="Arial" w:cs="Arial" w:eastAsia="Arial" w:hAnsi="Arial"/>
                <w:sz w:val="22"/>
                <w:szCs w:val="22"/>
                <w:b w:val="1"/>
                <w:bCs w:val="1"/>
                <w:color w:val="auto"/>
                <w:w w:val="92"/>
              </w:rPr>
              <w:t>JUNE 30,</w:t>
            </w:r>
          </w:p>
        </w:tc>
        <w:tc>
          <w:tcPr>
            <w:tcW w:w="900" w:type="dxa"/>
            <w:vAlign w:val="bottom"/>
          </w:tcPr>
          <w:p>
            <w:pPr>
              <w:spacing w:after="0"/>
              <w:rPr>
                <w:sz w:val="23"/>
                <w:szCs w:val="23"/>
                <w:color w:val="auto"/>
              </w:rPr>
            </w:pPr>
          </w:p>
        </w:tc>
      </w:tr>
      <w:tr>
        <w:trPr>
          <w:trHeight w:val="281"/>
        </w:trPr>
        <w:tc>
          <w:tcPr>
            <w:tcW w:w="8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w w:val="93"/>
              </w:rPr>
              <w:t>2017</w:t>
            </w:r>
          </w:p>
        </w:tc>
      </w:tr>
      <w:tr>
        <w:trPr>
          <w:trHeight w:val="529"/>
        </w:trPr>
        <w:tc>
          <w:tcPr>
            <w:tcW w:w="85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8500" w:type="dxa"/>
            <w:vAlign w:val="bottom"/>
          </w:tcPr>
          <w:p>
            <w:pPr>
              <w:spacing w:after="0"/>
              <w:rPr>
                <w:sz w:val="20"/>
                <w:szCs w:val="20"/>
                <w:color w:val="auto"/>
              </w:rPr>
            </w:pPr>
            <w:r>
              <w:rPr>
                <w:rFonts w:ascii="Arial" w:cs="Arial" w:eastAsia="Arial" w:hAnsi="Arial"/>
                <w:sz w:val="22"/>
                <w:szCs w:val="22"/>
                <w:color w:val="auto"/>
              </w:rPr>
              <w:t>Net loss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(55,046)</w:t>
            </w:r>
          </w:p>
        </w:tc>
        <w:tc>
          <w:tcPr>
            <w:tcW w:w="100" w:type="dxa"/>
            <w:vAlign w:val="bottom"/>
          </w:tcPr>
          <w:p>
            <w:pPr>
              <w:spacing w:after="0"/>
              <w:rPr>
                <w:sz w:val="23"/>
                <w:szCs w:val="23"/>
                <w:color w:val="auto"/>
              </w:rPr>
            </w:pPr>
          </w:p>
        </w:tc>
        <w:tc>
          <w:tcPr>
            <w:tcW w:w="4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(35,583)</w:t>
            </w:r>
          </w:p>
        </w:tc>
      </w:tr>
      <w:tr>
        <w:trPr>
          <w:trHeight w:val="270"/>
        </w:trPr>
        <w:tc>
          <w:tcPr>
            <w:tcW w:w="8500" w:type="dxa"/>
            <w:vAlign w:val="bottom"/>
          </w:tcPr>
          <w:p>
            <w:pPr>
              <w:spacing w:after="0"/>
              <w:rPr>
                <w:sz w:val="20"/>
                <w:szCs w:val="20"/>
                <w:color w:val="auto"/>
              </w:rPr>
            </w:pPr>
            <w:r>
              <w:rPr>
                <w:rFonts w:ascii="Arial" w:cs="Arial" w:eastAsia="Arial" w:hAnsi="Arial"/>
                <w:sz w:val="22"/>
                <w:szCs w:val="22"/>
                <w:color w:val="auto"/>
              </w:rPr>
              <w:t>Adjustments to reconcile net loss to net cash provided by operating activities: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Depreciation and amortization</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65,034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64,383</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Impairment charges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28,661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Loss on extinguishment of debt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748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842</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Deferred income tax benefit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(23,661)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(6,732)</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Non-cash compensation charge</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5,013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3,750</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Gains on disposals of assets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(2,332)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(854)</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Benefit for loss on receivables, net of recoveries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3,065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2,147</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Changes in operating assets and liabilities: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8500" w:type="dxa"/>
            <w:vAlign w:val="bottom"/>
          </w:tcPr>
          <w:p>
            <w:pPr>
              <w:ind w:left="240"/>
              <w:spacing w:after="0"/>
              <w:rPr>
                <w:sz w:val="20"/>
                <w:szCs w:val="20"/>
                <w:color w:val="auto"/>
              </w:rPr>
            </w:pPr>
            <w:r>
              <w:rPr>
                <w:rFonts w:ascii="Arial" w:cs="Arial" w:eastAsia="Arial" w:hAnsi="Arial"/>
                <w:sz w:val="22"/>
                <w:szCs w:val="22"/>
                <w:color w:val="auto"/>
              </w:rPr>
              <w:t>Accounts receivable</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10,661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(1,639)</w:t>
            </w:r>
          </w:p>
        </w:tc>
      </w:tr>
      <w:tr>
        <w:trPr>
          <w:trHeight w:val="270"/>
        </w:trPr>
        <w:tc>
          <w:tcPr>
            <w:tcW w:w="8500" w:type="dxa"/>
            <w:vAlign w:val="bottom"/>
          </w:tcPr>
          <w:p>
            <w:pPr>
              <w:ind w:left="240"/>
              <w:spacing w:after="0"/>
              <w:rPr>
                <w:sz w:val="20"/>
                <w:szCs w:val="20"/>
                <w:color w:val="auto"/>
              </w:rPr>
            </w:pPr>
            <w:r>
              <w:rPr>
                <w:rFonts w:ascii="Arial" w:cs="Arial" w:eastAsia="Arial" w:hAnsi="Arial"/>
                <w:sz w:val="22"/>
                <w:szCs w:val="22"/>
                <w:color w:val="auto"/>
              </w:rPr>
              <w:t>Inventories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3,111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(664)</w:t>
            </w:r>
          </w:p>
        </w:tc>
      </w:tr>
      <w:tr>
        <w:trPr>
          <w:trHeight w:val="270"/>
        </w:trPr>
        <w:tc>
          <w:tcPr>
            <w:tcW w:w="8500" w:type="dxa"/>
            <w:vAlign w:val="bottom"/>
          </w:tcPr>
          <w:p>
            <w:pPr>
              <w:ind w:left="240"/>
              <w:spacing w:after="0"/>
              <w:rPr>
                <w:sz w:val="20"/>
                <w:szCs w:val="20"/>
                <w:color w:val="auto"/>
              </w:rPr>
            </w:pPr>
            <w:r>
              <w:rPr>
                <w:rFonts w:ascii="Arial" w:cs="Arial" w:eastAsia="Arial" w:hAnsi="Arial"/>
                <w:sz w:val="22"/>
                <w:szCs w:val="22"/>
                <w:color w:val="auto"/>
              </w:rPr>
              <w:t>Accounts payable and accrued liabilities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(16,668)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(4,499)</w:t>
            </w:r>
          </w:p>
        </w:tc>
      </w:tr>
      <w:tr>
        <w:trPr>
          <w:trHeight w:val="270"/>
        </w:trPr>
        <w:tc>
          <w:tcPr>
            <w:tcW w:w="8500" w:type="dxa"/>
            <w:vAlign w:val="bottom"/>
          </w:tcPr>
          <w:p>
            <w:pPr>
              <w:ind w:left="240"/>
              <w:spacing w:after="0"/>
              <w:rPr>
                <w:sz w:val="20"/>
                <w:szCs w:val="20"/>
                <w:color w:val="auto"/>
              </w:rPr>
            </w:pPr>
            <w:r>
              <w:rPr>
                <w:rFonts w:ascii="Arial" w:cs="Arial" w:eastAsia="Arial" w:hAnsi="Arial"/>
                <w:sz w:val="22"/>
                <w:szCs w:val="22"/>
                <w:color w:val="auto"/>
              </w:rPr>
              <w:t>Taxes payable</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639</w:t>
            </w:r>
          </w:p>
        </w:tc>
      </w:tr>
      <w:tr>
        <w:trPr>
          <w:trHeight w:val="275"/>
        </w:trPr>
        <w:tc>
          <w:tcPr>
            <w:tcW w:w="8500" w:type="dxa"/>
            <w:vAlign w:val="bottom"/>
          </w:tcPr>
          <w:p>
            <w:pPr>
              <w:ind w:left="240"/>
              <w:spacing w:after="0"/>
              <w:rPr>
                <w:sz w:val="20"/>
                <w:szCs w:val="20"/>
                <w:color w:val="auto"/>
              </w:rPr>
            </w:pPr>
            <w:r>
              <w:rPr>
                <w:rFonts w:ascii="Arial" w:cs="Arial" w:eastAsia="Arial" w:hAnsi="Arial"/>
                <w:sz w:val="22"/>
                <w:szCs w:val="22"/>
                <w:color w:val="auto"/>
              </w:rPr>
              <w:t>Other current assets and liabilities, net</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(3,301)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(7,332)</w:t>
            </w:r>
          </w:p>
        </w:tc>
      </w:tr>
      <w:tr>
        <w:trPr>
          <w:trHeight w:val="272"/>
        </w:trPr>
        <w:tc>
          <w:tcPr>
            <w:tcW w:w="850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13,977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14,401</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Cash flows from investing activities:</w:t>
      </w:r>
    </w:p>
    <w:p>
      <w:pPr>
        <w:sectPr>
          <w:pgSz w:w="11900" w:h="16838" w:orient="portrait"/>
          <w:cols w:equalWidth="0" w:num="1">
            <w:col w:w="11400"/>
          </w:cols>
          <w:pgMar w:left="260" w:top="118"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1"/>
        </w:trPr>
        <w:tc>
          <w:tcPr>
            <w:tcW w:w="8500" w:type="dxa"/>
            <w:vAlign w:val="bottom"/>
          </w:tcPr>
          <w:p>
            <w:pPr>
              <w:ind w:left="100"/>
              <w:spacing w:after="0"/>
              <w:rPr>
                <w:sz w:val="20"/>
                <w:szCs w:val="20"/>
                <w:color w:val="auto"/>
              </w:rPr>
            </w:pPr>
            <w:r>
              <w:rPr>
                <w:rFonts w:ascii="Arial" w:cs="Arial" w:eastAsia="Arial" w:hAnsi="Arial"/>
                <w:sz w:val="22"/>
                <w:szCs w:val="22"/>
                <w:color w:val="auto"/>
              </w:rPr>
              <w:t>Payments related to acquisitions, net of cash acquired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(185,200)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(5,943)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(6,037)</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3,438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1,160</w:t>
            </w:r>
          </w:p>
        </w:tc>
      </w:tr>
      <w:tr>
        <w:trPr>
          <w:trHeight w:val="275"/>
        </w:trPr>
        <w:tc>
          <w:tcPr>
            <w:tcW w:w="850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375</w:t>
            </w:r>
          </w:p>
        </w:tc>
      </w:tr>
      <w:tr>
        <w:trPr>
          <w:trHeight w:val="272"/>
        </w:trPr>
        <w:tc>
          <w:tcPr>
            <w:tcW w:w="850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(187,595)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(4,502)</w:t>
            </w:r>
          </w:p>
        </w:tc>
      </w:tr>
      <w:tr>
        <w:trPr>
          <w:trHeight w:val="528"/>
        </w:trPr>
        <w:tc>
          <w:tcPr>
            <w:tcW w:w="850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Proceeds from issuance of common stock</w:t>
            </w:r>
          </w:p>
        </w:tc>
        <w:tc>
          <w:tcPr>
            <w:tcW w:w="3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64,817</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Term loan repayments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(11,068)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(8,000)</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Revolving credit borrowings (repayments), net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162,056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(39,937)</w:t>
            </w:r>
          </w:p>
        </w:tc>
      </w:tr>
      <w:tr>
        <w:trPr>
          <w:trHeight w:val="270"/>
        </w:trPr>
        <w:tc>
          <w:tcPr>
            <w:tcW w:w="8500" w:type="dxa"/>
            <w:vAlign w:val="bottom"/>
          </w:tcPr>
          <w:p>
            <w:pPr>
              <w:ind w:left="100"/>
              <w:spacing w:after="0"/>
              <w:rPr>
                <w:sz w:val="20"/>
                <w:szCs w:val="20"/>
                <w:color w:val="auto"/>
              </w:rPr>
            </w:pPr>
            <w:r>
              <w:rPr>
                <w:rFonts w:ascii="Arial" w:cs="Arial" w:eastAsia="Arial" w:hAnsi="Arial"/>
                <w:sz w:val="22"/>
                <w:szCs w:val="22"/>
                <w:color w:val="auto"/>
              </w:rPr>
              <w:t>Debt issuance costs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(2,742)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(1,795)</w:t>
            </w:r>
          </w:p>
        </w:tc>
      </w:tr>
      <w:tr>
        <w:trPr>
          <w:trHeight w:val="275"/>
        </w:trPr>
        <w:tc>
          <w:tcPr>
            <w:tcW w:w="8500" w:type="dxa"/>
            <w:vAlign w:val="bottom"/>
          </w:tcPr>
          <w:p>
            <w:pPr>
              <w:ind w:left="100"/>
              <w:spacing w:after="0"/>
              <w:rPr>
                <w:sz w:val="20"/>
                <w:szCs w:val="20"/>
                <w:color w:val="auto"/>
              </w:rPr>
            </w:pPr>
            <w:r>
              <w:rPr>
                <w:rFonts w:ascii="Arial" w:cs="Arial" w:eastAsia="Arial" w:hAnsi="Arial"/>
                <w:sz w:val="22"/>
                <w:szCs w:val="22"/>
                <w:color w:val="auto"/>
              </w:rPr>
              <w:t>Other</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w:t>
            </w:r>
          </w:p>
        </w:tc>
      </w:tr>
      <w:tr>
        <w:trPr>
          <w:trHeight w:val="272"/>
        </w:trPr>
        <w:tc>
          <w:tcPr>
            <w:tcW w:w="8500" w:type="dxa"/>
            <w:vAlign w:val="bottom"/>
          </w:tcPr>
          <w:p>
            <w:pPr>
              <w:ind w:left="400"/>
              <w:spacing w:after="0"/>
              <w:rPr>
                <w:sz w:val="20"/>
                <w:szCs w:val="20"/>
                <w:color w:val="auto"/>
              </w:rPr>
            </w:pPr>
            <w:r>
              <w:rPr>
                <w:rFonts w:ascii="Arial" w:cs="Arial" w:eastAsia="Arial" w:hAnsi="Arial"/>
                <w:sz w:val="22"/>
                <w:szCs w:val="22"/>
                <w:color w:val="auto"/>
              </w:rPr>
              <w:t>Net cash flows provided by financing activities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147,614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14,792</w:t>
            </w:r>
          </w:p>
        </w:tc>
      </w:tr>
      <w:tr>
        <w:trPr>
          <w:trHeight w:val="532"/>
        </w:trPr>
        <w:tc>
          <w:tcPr>
            <w:tcW w:w="850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(1,857)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850</w:t>
            </w:r>
          </w:p>
        </w:tc>
      </w:tr>
      <w:tr>
        <w:trPr>
          <w:trHeight w:val="272"/>
        </w:trPr>
        <w:tc>
          <w:tcPr>
            <w:tcW w:w="850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(27,861)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25,541</w:t>
            </w:r>
          </w:p>
        </w:tc>
      </w:tr>
      <w:tr>
        <w:trPr>
          <w:trHeight w:val="532"/>
        </w:trPr>
        <w:tc>
          <w:tcPr>
            <w:tcW w:w="850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32,647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1,785</w:t>
            </w:r>
          </w:p>
        </w:tc>
      </w:tr>
      <w:tr>
        <w:trPr>
          <w:trHeight w:val="274"/>
        </w:trPr>
        <w:tc>
          <w:tcPr>
            <w:tcW w:w="85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64"/>
        </w:trPr>
        <w:tc>
          <w:tcPr>
            <w:tcW w:w="850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4,786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27,326</w:t>
            </w:r>
          </w:p>
        </w:tc>
      </w:tr>
      <w:tr>
        <w:trPr>
          <w:trHeight w:val="21"/>
        </w:trPr>
        <w:tc>
          <w:tcPr>
            <w:tcW w:w="8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SEGMENT DATA</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5"/>
          </w:tcPr>
          <w:p>
            <w:pPr>
              <w:ind w:left="140"/>
              <w:spacing w:after="0"/>
              <w:rPr>
                <w:sz w:val="20"/>
                <w:szCs w:val="20"/>
                <w:color w:val="auto"/>
              </w:rPr>
            </w:pPr>
            <w:r>
              <w:rPr>
                <w:rFonts w:ascii="Arial" w:cs="Arial" w:eastAsia="Arial" w:hAnsi="Arial"/>
                <w:sz w:val="22"/>
                <w:szCs w:val="22"/>
                <w:b w:val="1"/>
                <w:bCs w:val="1"/>
                <w:color w:val="auto"/>
              </w:rPr>
              <w:t>THREE MONTHS ENDED</w:t>
            </w:r>
          </w:p>
        </w:tc>
        <w:tc>
          <w:tcPr>
            <w:tcW w:w="300" w:type="dxa"/>
            <w:vAlign w:val="bottom"/>
          </w:tcPr>
          <w:p>
            <w:pPr>
              <w:spacing w:after="0"/>
              <w:rPr>
                <w:sz w:val="21"/>
                <w:szCs w:val="21"/>
                <w:color w:val="auto"/>
              </w:rPr>
            </w:pPr>
          </w:p>
        </w:tc>
        <w:tc>
          <w:tcPr>
            <w:tcW w:w="2800" w:type="dxa"/>
            <w:vAlign w:val="bottom"/>
            <w:gridSpan w:val="4"/>
          </w:tcPr>
          <w:p>
            <w:pPr>
              <w:jc w:val="right"/>
              <w:ind w:right="352"/>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80" w:type="dxa"/>
            <w:vAlign w:val="bottom"/>
            <w:gridSpan w:val="3"/>
          </w:tcPr>
          <w:p>
            <w:pPr>
              <w:jc w:val="right"/>
              <w:ind w:right="92"/>
              <w:spacing w:after="0"/>
              <w:rPr>
                <w:sz w:val="20"/>
                <w:szCs w:val="20"/>
                <w:color w:val="auto"/>
              </w:rPr>
            </w:pPr>
            <w:r>
              <w:rPr>
                <w:rFonts w:ascii="Arial" w:cs="Arial" w:eastAsia="Arial" w:hAnsi="Arial"/>
                <w:sz w:val="22"/>
                <w:szCs w:val="22"/>
                <w:b w:val="1"/>
                <w:bCs w:val="1"/>
                <w:color w:val="auto"/>
              </w:rPr>
              <w:t>JUNE 30,</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w w:val="93"/>
              </w:rPr>
              <w:t>2017</w:t>
            </w:r>
          </w:p>
        </w:tc>
        <w:tc>
          <w:tcPr>
            <w:tcW w:w="0" w:type="dxa"/>
            <w:vAlign w:val="bottom"/>
          </w:tcPr>
          <w:p>
            <w:pPr>
              <w:spacing w:after="0"/>
              <w:rPr>
                <w:sz w:val="1"/>
                <w:szCs w:val="1"/>
                <w:color w:val="auto"/>
              </w:rPr>
            </w:pPr>
          </w:p>
        </w:tc>
      </w:tr>
      <w:tr>
        <w:trPr>
          <w:trHeight w:val="259"/>
        </w:trPr>
        <w:tc>
          <w:tcPr>
            <w:tcW w:w="4440" w:type="dxa"/>
            <w:vAlign w:val="bottom"/>
          </w:tcPr>
          <w:p>
            <w:pPr>
              <w:spacing w:after="0"/>
              <w:rPr>
                <w:sz w:val="20"/>
                <w:szCs w:val="20"/>
                <w:color w:val="auto"/>
              </w:rPr>
            </w:pPr>
            <w:r>
              <w:rPr>
                <w:rFonts w:ascii="Arial" w:cs="Arial" w:eastAsia="Arial" w:hAnsi="Arial"/>
                <w:sz w:val="22"/>
                <w:szCs w:val="22"/>
                <w:color w:val="auto"/>
              </w:rPr>
              <w:t>Revenues</w:t>
            </w: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86,518</w:t>
            </w:r>
          </w:p>
        </w:tc>
        <w:tc>
          <w:tcPr>
            <w:tcW w:w="12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57,668</w:t>
            </w:r>
          </w:p>
        </w:tc>
        <w:tc>
          <w:tcPr>
            <w:tcW w:w="12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149,908</w:t>
            </w:r>
          </w:p>
        </w:tc>
        <w:tc>
          <w:tcPr>
            <w:tcW w:w="100" w:type="dxa"/>
            <w:vAlign w:val="bottom"/>
          </w:tcPr>
          <w:p>
            <w:pPr>
              <w:spacing w:after="0"/>
              <w:rPr>
                <w:sz w:val="23"/>
                <w:szCs w:val="23"/>
                <w:color w:val="auto"/>
              </w:rPr>
            </w:pPr>
          </w:p>
        </w:tc>
        <w:tc>
          <w:tcPr>
            <w:tcW w:w="5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118,174</w:t>
            </w: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30,577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28,607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58,452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55,623</w:t>
            </w:r>
          </w:p>
        </w:tc>
        <w:tc>
          <w:tcPr>
            <w:tcW w:w="0" w:type="dxa"/>
            <w:vAlign w:val="bottom"/>
          </w:tcPr>
          <w:p>
            <w:pPr>
              <w:spacing w:after="0"/>
              <w:rPr>
                <w:sz w:val="1"/>
                <w:szCs w:val="1"/>
                <w:color w:val="auto"/>
              </w:rPr>
            </w:pPr>
          </w:p>
        </w:tc>
      </w:tr>
      <w:tr>
        <w:trPr>
          <w:trHeight w:val="276"/>
        </w:trPr>
        <w:tc>
          <w:tcPr>
            <w:tcW w:w="44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13,082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5,735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23,321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9,642</w:t>
            </w:r>
          </w:p>
        </w:tc>
        <w:tc>
          <w:tcPr>
            <w:tcW w:w="0" w:type="dxa"/>
            <w:vAlign w:val="bottom"/>
          </w:tcPr>
          <w:p>
            <w:pPr>
              <w:spacing w:after="0"/>
              <w:rPr>
                <w:sz w:val="1"/>
                <w:szCs w:val="1"/>
                <w:color w:val="auto"/>
              </w:rPr>
            </w:pPr>
          </w:p>
        </w:tc>
      </w:tr>
      <w:tr>
        <w:trPr>
          <w:trHeight w:val="265"/>
        </w:trPr>
        <w:tc>
          <w:tcPr>
            <w:tcW w:w="4440" w:type="dxa"/>
            <w:vAlign w:val="bottom"/>
          </w:tcPr>
          <w:p>
            <w:pPr>
              <w:ind w:left="240"/>
              <w:spacing w:after="0"/>
              <w:rPr>
                <w:sz w:val="20"/>
                <w:szCs w:val="20"/>
                <w:color w:val="auto"/>
              </w:rPr>
            </w:pPr>
            <w:r>
              <w:rPr>
                <w:rFonts w:ascii="Arial" w:cs="Arial" w:eastAsia="Arial" w:hAnsi="Arial"/>
                <w:sz w:val="22"/>
                <w:szCs w:val="22"/>
                <w:color w:val="auto"/>
              </w:rPr>
              <w:t>Total revenues</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130,177</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92,010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231,681</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183,439</w:t>
            </w:r>
          </w:p>
        </w:tc>
        <w:tc>
          <w:tcPr>
            <w:tcW w:w="0" w:type="dxa"/>
            <w:vAlign w:val="bottom"/>
          </w:tcPr>
          <w:p>
            <w:pPr>
              <w:spacing w:after="0"/>
              <w:rPr>
                <w:sz w:val="1"/>
                <w:szCs w:val="1"/>
                <w:color w:val="auto"/>
              </w:rPr>
            </w:pPr>
          </w:p>
        </w:tc>
      </w:tr>
      <w:tr>
        <w:trPr>
          <w:trHeight w:val="21"/>
        </w:trPr>
        <w:tc>
          <w:tcPr>
            <w:tcW w:w="444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16,650</w:t>
            </w:r>
          </w:p>
        </w:tc>
        <w:tc>
          <w:tcPr>
            <w:tcW w:w="12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14,709</w:t>
            </w:r>
          </w:p>
        </w:tc>
        <w:tc>
          <w:tcPr>
            <w:tcW w:w="12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(3,002)</w:t>
            </w:r>
          </w:p>
        </w:tc>
        <w:tc>
          <w:tcPr>
            <w:tcW w:w="100" w:type="dxa"/>
            <w:vAlign w:val="bottom"/>
          </w:tcPr>
          <w:p>
            <w:pPr>
              <w:spacing w:after="0"/>
              <w:rPr>
                <w:sz w:val="23"/>
                <w:szCs w:val="23"/>
                <w:color w:val="auto"/>
              </w:rPr>
            </w:pPr>
          </w:p>
        </w:tc>
        <w:tc>
          <w:tcPr>
            <w:tcW w:w="5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27,898</w:t>
            </w: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11,529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10,810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20,636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21,431</w:t>
            </w: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1,983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1,244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(2,345)</w:t>
            </w:r>
          </w:p>
        </w:tc>
        <w:tc>
          <w:tcPr>
            <w:tcW w:w="0" w:type="dxa"/>
            <w:vAlign w:val="bottom"/>
          </w:tcPr>
          <w:p>
            <w:pPr>
              <w:spacing w:after="0"/>
              <w:rPr>
                <w:sz w:val="1"/>
                <w:szCs w:val="1"/>
                <w:color w:val="auto"/>
              </w:rPr>
            </w:pPr>
          </w:p>
        </w:tc>
      </w:tr>
      <w:tr>
        <w:trPr>
          <w:trHeight w:val="276"/>
        </w:trPr>
        <w:tc>
          <w:tcPr>
            <w:tcW w:w="444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(11,263)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(19,593)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(13,190)</w:t>
            </w:r>
          </w:p>
        </w:tc>
        <w:tc>
          <w:tcPr>
            <w:tcW w:w="0" w:type="dxa"/>
            <w:vAlign w:val="bottom"/>
          </w:tcPr>
          <w:p>
            <w:pPr>
              <w:spacing w:after="0"/>
              <w:rPr>
                <w:sz w:val="1"/>
                <w:szCs w:val="1"/>
                <w:color w:val="auto"/>
              </w:rPr>
            </w:pPr>
          </w:p>
        </w:tc>
      </w:tr>
      <w:tr>
        <w:trPr>
          <w:trHeight w:val="265"/>
        </w:trPr>
        <w:tc>
          <w:tcPr>
            <w:tcW w:w="4440" w:type="dxa"/>
            <w:vAlign w:val="bottom"/>
          </w:tcPr>
          <w:p>
            <w:pPr>
              <w:ind w:left="240"/>
              <w:spacing w:after="0"/>
              <w:rPr>
                <w:sz w:val="20"/>
                <w:szCs w:val="20"/>
                <w:color w:val="auto"/>
              </w:rPr>
            </w:pPr>
            <w:r>
              <w:rPr>
                <w:rFonts w:ascii="Arial" w:cs="Arial" w:eastAsia="Arial" w:hAnsi="Arial"/>
                <w:sz w:val="22"/>
                <w:szCs w:val="22"/>
                <w:color w:val="auto"/>
              </w:rPr>
              <w:t>Total EBITDA</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18,899</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18,564</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(715)</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33,794</w:t>
            </w:r>
          </w:p>
        </w:tc>
        <w:tc>
          <w:tcPr>
            <w:tcW w:w="0" w:type="dxa"/>
            <w:vAlign w:val="bottom"/>
          </w:tcPr>
          <w:p>
            <w:pPr>
              <w:spacing w:after="0"/>
              <w:rPr>
                <w:sz w:val="1"/>
                <w:szCs w:val="1"/>
                <w:color w:val="auto"/>
              </w:rPr>
            </w:pPr>
          </w:p>
        </w:tc>
      </w:tr>
      <w:tr>
        <w:trPr>
          <w:trHeight w:val="21"/>
        </w:trPr>
        <w:tc>
          <w:tcPr>
            <w:tcW w:w="444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18,297</w:t>
            </w:r>
          </w:p>
        </w:tc>
        <w:tc>
          <w:tcPr>
            <w:tcW w:w="12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14,709</w:t>
            </w:r>
          </w:p>
        </w:tc>
        <w:tc>
          <w:tcPr>
            <w:tcW w:w="12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27,574</w:t>
            </w:r>
          </w:p>
        </w:tc>
        <w:tc>
          <w:tcPr>
            <w:tcW w:w="100" w:type="dxa"/>
            <w:vAlign w:val="bottom"/>
          </w:tcPr>
          <w:p>
            <w:pPr>
              <w:spacing w:after="0"/>
              <w:rPr>
                <w:sz w:val="23"/>
                <w:szCs w:val="23"/>
                <w:color w:val="auto"/>
              </w:rPr>
            </w:pPr>
          </w:p>
        </w:tc>
        <w:tc>
          <w:tcPr>
            <w:tcW w:w="5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27,898</w:t>
            </w: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11,529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10,810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20,636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21,431</w:t>
            </w: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560" w:type="dxa"/>
            <w:vAlign w:val="bottom"/>
          </w:tcPr>
          <w:p>
            <w:pPr>
              <w:jc w:val="right"/>
              <w:ind w:right="52"/>
              <w:spacing w:after="0"/>
              <w:rPr>
                <w:sz w:val="20"/>
                <w:szCs w:val="20"/>
                <w:color w:val="auto"/>
              </w:rPr>
            </w:pPr>
            <w:r>
              <w:rPr>
                <w:rFonts w:ascii="Arial" w:cs="Arial" w:eastAsia="Arial" w:hAnsi="Arial"/>
                <w:sz w:val="22"/>
                <w:szCs w:val="22"/>
                <w:color w:val="auto"/>
              </w:rPr>
              <w:t>1,983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1,244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(2,345)</w:t>
            </w:r>
          </w:p>
        </w:tc>
        <w:tc>
          <w:tcPr>
            <w:tcW w:w="0" w:type="dxa"/>
            <w:vAlign w:val="bottom"/>
          </w:tcPr>
          <w:p>
            <w:pPr>
              <w:spacing w:after="0"/>
              <w:rPr>
                <w:sz w:val="1"/>
                <w:szCs w:val="1"/>
                <w:color w:val="auto"/>
              </w:rPr>
            </w:pPr>
          </w:p>
        </w:tc>
      </w:tr>
      <w:tr>
        <w:trPr>
          <w:trHeight w:val="276"/>
        </w:trPr>
        <w:tc>
          <w:tcPr>
            <w:tcW w:w="444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(7,299)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(14,931)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(13,190)</w:t>
            </w:r>
          </w:p>
        </w:tc>
        <w:tc>
          <w:tcPr>
            <w:tcW w:w="0" w:type="dxa"/>
            <w:vAlign w:val="bottom"/>
          </w:tcPr>
          <w:p>
            <w:pPr>
              <w:spacing w:after="0"/>
              <w:rPr>
                <w:sz w:val="1"/>
                <w:szCs w:val="1"/>
                <w:color w:val="auto"/>
              </w:rPr>
            </w:pPr>
          </w:p>
        </w:tc>
      </w:tr>
      <w:tr>
        <w:trPr>
          <w:trHeight w:val="265"/>
        </w:trPr>
        <w:tc>
          <w:tcPr>
            <w:tcW w:w="4440" w:type="dxa"/>
            <w:vAlign w:val="bottom"/>
          </w:tcPr>
          <w:p>
            <w:pPr>
              <w:ind w:left="240"/>
              <w:spacing w:after="0"/>
              <w:rPr>
                <w:sz w:val="20"/>
                <w:szCs w:val="20"/>
                <w:color w:val="auto"/>
              </w:rPr>
            </w:pPr>
            <w:r>
              <w:rPr>
                <w:rFonts w:ascii="Arial" w:cs="Arial" w:eastAsia="Arial" w:hAnsi="Arial"/>
                <w:sz w:val="22"/>
                <w:szCs w:val="22"/>
                <w:color w:val="auto"/>
              </w:rPr>
              <w:t>Total adjusted EBITDA</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24,510</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18,564</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34,523</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33,794</w:t>
            </w:r>
          </w:p>
        </w:tc>
        <w:tc>
          <w:tcPr>
            <w:tcW w:w="0" w:type="dxa"/>
            <w:vAlign w:val="bottom"/>
          </w:tcPr>
          <w:p>
            <w:pPr>
              <w:spacing w:after="0"/>
              <w:rPr>
                <w:sz w:val="1"/>
                <w:szCs w:val="1"/>
                <w:color w:val="auto"/>
              </w:rPr>
            </w:pPr>
          </w:p>
        </w:tc>
      </w:tr>
      <w:tr>
        <w:trPr>
          <w:trHeight w:val="21"/>
        </w:trPr>
        <w:tc>
          <w:tcPr>
            <w:tcW w:w="444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(6,718)</w:t>
            </w:r>
          </w:p>
        </w:tc>
        <w:tc>
          <w:tcPr>
            <w:tcW w:w="12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(9,586)</w:t>
            </w:r>
          </w:p>
        </w:tc>
        <w:tc>
          <w:tcPr>
            <w:tcW w:w="12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(46,648)</w:t>
            </w:r>
          </w:p>
        </w:tc>
        <w:tc>
          <w:tcPr>
            <w:tcW w:w="100" w:type="dxa"/>
            <w:vAlign w:val="bottom"/>
          </w:tcPr>
          <w:p>
            <w:pPr>
              <w:spacing w:after="0"/>
              <w:rPr>
                <w:sz w:val="23"/>
                <w:szCs w:val="23"/>
                <w:color w:val="auto"/>
              </w:rPr>
            </w:pPr>
          </w:p>
        </w:tc>
        <w:tc>
          <w:tcPr>
            <w:tcW w:w="50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(14,592)</w:t>
            </w: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(1,099)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(3,416)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(4,265)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(4,617)</w:t>
            </w:r>
          </w:p>
        </w:tc>
        <w:tc>
          <w:tcPr>
            <w:tcW w:w="0" w:type="dxa"/>
            <w:vAlign w:val="bottom"/>
          </w:tcPr>
          <w:p>
            <w:pPr>
              <w:spacing w:after="0"/>
              <w:rPr>
                <w:sz w:val="1"/>
                <w:szCs w:val="1"/>
                <w:color w:val="auto"/>
              </w:rPr>
            </w:pPr>
          </w:p>
        </w:tc>
      </w:tr>
      <w:tr>
        <w:trPr>
          <w:trHeight w:val="270"/>
        </w:trPr>
        <w:tc>
          <w:tcPr>
            <w:tcW w:w="44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(1,832)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(3,604)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(5,096)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(6,406)</w:t>
            </w:r>
          </w:p>
        </w:tc>
        <w:tc>
          <w:tcPr>
            <w:tcW w:w="0" w:type="dxa"/>
            <w:vAlign w:val="bottom"/>
          </w:tcPr>
          <w:p>
            <w:pPr>
              <w:spacing w:after="0"/>
              <w:rPr>
                <w:sz w:val="1"/>
                <w:szCs w:val="1"/>
                <w:color w:val="auto"/>
              </w:rPr>
            </w:pPr>
          </w:p>
        </w:tc>
      </w:tr>
      <w:tr>
        <w:trPr>
          <w:trHeight w:val="276"/>
        </w:trPr>
        <w:tc>
          <w:tcPr>
            <w:tcW w:w="444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(5,852)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3,239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(12,007)</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(5,484)</w:t>
            </w:r>
          </w:p>
        </w:tc>
        <w:tc>
          <w:tcPr>
            <w:tcW w:w="0" w:type="dxa"/>
            <w:vAlign w:val="bottom"/>
          </w:tcPr>
          <w:p>
            <w:pPr>
              <w:spacing w:after="0"/>
              <w:rPr>
                <w:sz w:val="1"/>
                <w:szCs w:val="1"/>
                <w:color w:val="auto"/>
              </w:rPr>
            </w:pPr>
          </w:p>
        </w:tc>
      </w:tr>
      <w:tr>
        <w:trPr>
          <w:trHeight w:val="265"/>
        </w:trPr>
        <w:tc>
          <w:tcPr>
            <w:tcW w:w="4440" w:type="dxa"/>
            <w:vAlign w:val="bottom"/>
          </w:tcPr>
          <w:p>
            <w:pPr>
              <w:ind w:left="240"/>
              <w:spacing w:after="0"/>
              <w:rPr>
                <w:sz w:val="20"/>
                <w:szCs w:val="20"/>
                <w:color w:val="auto"/>
              </w:rPr>
            </w:pPr>
            <w:r>
              <w:rPr>
                <w:rFonts w:ascii="Arial" w:cs="Arial" w:eastAsia="Arial" w:hAnsi="Arial"/>
                <w:sz w:val="22"/>
                <w:szCs w:val="22"/>
                <w:color w:val="auto"/>
              </w:rPr>
              <w:t>Total operating loss</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(15,501)</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(13,367)</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(68,016)</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(31,099)</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ectPr>
          <w:pgSz w:w="11900" w:h="16838" w:orient="portrait"/>
          <w:cols w:equalWidth="0" w:num="1">
            <w:col w:w="11280"/>
          </w:cols>
          <w:pgMar w:left="260" w:top="118" w:right="359" w:bottom="0" w:gutter="0" w:footer="0" w:header="0"/>
        </w:sectPr>
      </w:pPr>
    </w:p>
    <w:bookmarkStart w:id="8" w:name="page9"/>
    <w:bookmarkEnd w:id="8"/>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6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2017</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r>
        <w:trPr>
          <w:trHeight w:val="528"/>
        </w:trPr>
        <w:tc>
          <w:tcPr>
            <w:tcW w:w="6020" w:type="dxa"/>
            <w:vAlign w:val="bottom"/>
          </w:tcPr>
          <w:p>
            <w:pPr>
              <w:spacing w:after="0"/>
              <w:rPr>
                <w:sz w:val="20"/>
                <w:szCs w:val="20"/>
                <w:color w:val="auto"/>
              </w:rPr>
            </w:pPr>
            <w:r>
              <w:rPr>
                <w:rFonts w:ascii="Arial" w:cs="Arial" w:eastAsia="Arial" w:hAnsi="Arial"/>
                <w:sz w:val="22"/>
                <w:szCs w:val="22"/>
                <w:color w:val="auto"/>
              </w:rPr>
              <w:t>EBITDA (1)</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18,899</w:t>
            </w:r>
          </w:p>
        </w:tc>
        <w:tc>
          <w:tcPr>
            <w:tcW w:w="100" w:type="dxa"/>
            <w:vAlign w:val="bottom"/>
          </w:tcPr>
          <w:p>
            <w:pPr>
              <w:spacing w:after="0"/>
              <w:rPr>
                <w:sz w:val="24"/>
                <w:szCs w:val="24"/>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18,564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(715)</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33,794</w:t>
            </w:r>
          </w:p>
        </w:tc>
      </w:tr>
      <w:tr>
        <w:trPr>
          <w:trHeight w:val="270"/>
        </w:trPr>
        <w:tc>
          <w:tcPr>
            <w:tcW w:w="6020" w:type="dxa"/>
            <w:vAlign w:val="bottom"/>
          </w:tcPr>
          <w:p>
            <w:pPr>
              <w:spacing w:after="0"/>
              <w:rPr>
                <w:sz w:val="20"/>
                <w:szCs w:val="20"/>
                <w:color w:val="auto"/>
              </w:rPr>
            </w:pPr>
            <w:r>
              <w:rPr>
                <w:rFonts w:ascii="Arial" w:cs="Arial" w:eastAsia="Arial" w:hAnsi="Arial"/>
                <w:sz w:val="22"/>
                <w:szCs w:val="22"/>
                <w:color w:val="auto"/>
              </w:rPr>
              <w:t>Adjusted EBITDA (1)</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24,510</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18,564</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34,523</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33,794</w:t>
            </w:r>
          </w:p>
        </w:tc>
      </w:tr>
      <w:tr>
        <w:trPr>
          <w:trHeight w:val="275"/>
        </w:trPr>
        <w:tc>
          <w:tcPr>
            <w:tcW w:w="6020" w:type="dxa"/>
            <w:vAlign w:val="bottom"/>
          </w:tcPr>
          <w:p>
            <w:pPr>
              <w:spacing w:after="0"/>
              <w:rPr>
                <w:sz w:val="20"/>
                <w:szCs w:val="20"/>
                <w:color w:val="auto"/>
              </w:rPr>
            </w:pPr>
            <w:r>
              <w:rPr>
                <w:rFonts w:ascii="Arial" w:cs="Arial" w:eastAsia="Arial" w:hAnsi="Arial"/>
                <w:sz w:val="22"/>
                <w:szCs w:val="22"/>
                <w:color w:val="auto"/>
              </w:rPr>
              <w:t>Free Cash Flow (2)</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8,612</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2,981</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11,472</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9,524</w:t>
            </w:r>
          </w:p>
        </w:tc>
      </w:tr>
    </w:tbl>
    <w:p>
      <w:pPr>
        <w:spacing w:after="0" w:line="266" w:lineRule="exact"/>
        <w:rPr>
          <w:sz w:val="20"/>
          <w:szCs w:val="20"/>
          <w:color w:val="auto"/>
        </w:rPr>
      </w:pPr>
    </w:p>
    <w:p>
      <w:pPr>
        <w:ind w:right="120" w:firstLine="2"/>
        <w:spacing w:after="0" w:line="272"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 of Noralta.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562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2017</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r>
        <w:trPr>
          <w:trHeight w:val="528"/>
        </w:trPr>
        <w:tc>
          <w:tcPr>
            <w:tcW w:w="5620" w:type="dxa"/>
            <w:vAlign w:val="bottom"/>
          </w:tcPr>
          <w:p>
            <w:pPr>
              <w:spacing w:after="0"/>
              <w:rPr>
                <w:sz w:val="20"/>
                <w:szCs w:val="20"/>
                <w:color w:val="auto"/>
              </w:rPr>
            </w:pPr>
            <w:r>
              <w:rPr>
                <w:rFonts w:ascii="Arial" w:cs="Arial" w:eastAsia="Arial" w:hAnsi="Arial"/>
                <w:sz w:val="22"/>
                <w:szCs w:val="22"/>
                <w:color w:val="auto"/>
              </w:rPr>
              <w:t>Net income (loss) attributable to Civeo Corporation</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167</w:t>
            </w:r>
          </w:p>
        </w:tc>
        <w:tc>
          <w:tcPr>
            <w:tcW w:w="100" w:type="dxa"/>
            <w:vAlign w:val="bottom"/>
          </w:tcPr>
          <w:p>
            <w:pPr>
              <w:spacing w:after="0"/>
              <w:rPr>
                <w:sz w:val="24"/>
                <w:szCs w:val="24"/>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(14,816)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(55,290)</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(35,803)</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(23,371)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(2,916)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(24,056)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(5,864)</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34,270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31,554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65,034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64,383</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748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842</w:t>
            </w:r>
          </w:p>
        </w:tc>
      </w:tr>
      <w:tr>
        <w:trPr>
          <w:trHeight w:val="275"/>
        </w:trPr>
        <w:tc>
          <w:tcPr>
            <w:tcW w:w="562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7,103</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4,752</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12,925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10,256</w:t>
            </w:r>
          </w:p>
        </w:tc>
      </w:tr>
      <w:tr>
        <w:trPr>
          <w:trHeight w:val="267"/>
        </w:trPr>
        <w:tc>
          <w:tcPr>
            <w:tcW w:w="5620" w:type="dxa"/>
            <w:vAlign w:val="bottom"/>
          </w:tcPr>
          <w:p>
            <w:pPr>
              <w:ind w:left="10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18,899</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18,564</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(715)</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33,794</w:t>
            </w:r>
          </w:p>
        </w:tc>
      </w:tr>
      <w:tr>
        <w:trPr>
          <w:trHeight w:val="256"/>
        </w:trPr>
        <w:tc>
          <w:tcPr>
            <w:tcW w:w="562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5620" w:type="dxa"/>
            <w:vAlign w:val="bottom"/>
          </w:tcPr>
          <w:p>
            <w:pPr>
              <w:ind w:left="100"/>
              <w:spacing w:after="0"/>
              <w:rPr>
                <w:sz w:val="20"/>
                <w:szCs w:val="20"/>
                <w:color w:val="auto"/>
              </w:rPr>
            </w:pPr>
            <w:r>
              <w:rPr>
                <w:rFonts w:ascii="Arial" w:cs="Arial" w:eastAsia="Arial" w:hAnsi="Arial"/>
                <w:sz w:val="22"/>
                <w:szCs w:val="22"/>
                <w:color w:val="auto"/>
              </w:rPr>
              <w:t>Impairment expense (a)</w:t>
            </w:r>
          </w:p>
        </w:tc>
        <w:tc>
          <w:tcPr>
            <w:tcW w:w="30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28,661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6"/>
        </w:trPr>
        <w:tc>
          <w:tcPr>
            <w:tcW w:w="5620" w:type="dxa"/>
            <w:vAlign w:val="bottom"/>
          </w:tcPr>
          <w:p>
            <w:pPr>
              <w:ind w:left="100"/>
              <w:spacing w:after="0"/>
              <w:rPr>
                <w:sz w:val="20"/>
                <w:szCs w:val="20"/>
                <w:color w:val="auto"/>
              </w:rPr>
            </w:pPr>
            <w:r>
              <w:rPr>
                <w:rFonts w:ascii="Arial" w:cs="Arial" w:eastAsia="Arial" w:hAnsi="Arial"/>
                <w:sz w:val="22"/>
                <w:szCs w:val="22"/>
                <w:color w:val="auto"/>
              </w:rPr>
              <w:t>Noralta transaction costs (b)</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5,611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6,577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r>
      <w:tr>
        <w:trPr>
          <w:trHeight w:val="265"/>
        </w:trPr>
        <w:tc>
          <w:tcPr>
            <w:tcW w:w="5620" w:type="dxa"/>
            <w:vAlign w:val="bottom"/>
          </w:tcPr>
          <w:p>
            <w:pPr>
              <w:ind w:left="10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24,510</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18,564</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34,523</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33,794</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320" w:firstLine="2"/>
        <w:spacing w:after="0" w:line="328" w:lineRule="auto"/>
        <w:tabs>
          <w:tab w:leader="none" w:pos="294" w:val="left"/>
        </w:tabs>
        <w:numPr>
          <w:ilvl w:val="0"/>
          <w:numId w:val="4"/>
        </w:numPr>
        <w:rPr>
          <w:rFonts w:ascii="Arial" w:cs="Arial" w:eastAsia="Arial" w:hAnsi="Arial"/>
          <w:sz w:val="19"/>
          <w:szCs w:val="19"/>
          <w:color w:val="auto"/>
        </w:rPr>
      </w:pPr>
      <w:r>
        <w:rPr>
          <w:rFonts w:ascii="Arial" w:cs="Arial" w:eastAsia="Arial" w:hAnsi="Arial"/>
          <w:sz w:val="19"/>
          <w:szCs w:val="19"/>
          <w:color w:val="auto"/>
        </w:rPr>
        <w:t>Relates to the first quarter 2018 impairment of assets in Canada. We recorded a pre-tax loss of $28.7 million ($20.9 million after-tax, or $0.14 per diluted share), which is included in Impairment expense on the unaudited statements of operations.</w:t>
      </w:r>
    </w:p>
    <w:p>
      <w:pPr>
        <w:spacing w:after="0" w:line="186" w:lineRule="exact"/>
        <w:rPr>
          <w:rFonts w:ascii="Arial" w:cs="Arial" w:eastAsia="Arial" w:hAnsi="Arial"/>
          <w:sz w:val="19"/>
          <w:szCs w:val="19"/>
          <w:color w:val="auto"/>
        </w:rPr>
      </w:pPr>
    </w:p>
    <w:p>
      <w:pPr>
        <w:ind w:right="180" w:firstLine="2"/>
        <w:spacing w:after="0" w:line="246" w:lineRule="auto"/>
        <w:tabs>
          <w:tab w:leader="none" w:pos="306" w:val="left"/>
        </w:tabs>
        <w:numPr>
          <w:ilvl w:val="0"/>
          <w:numId w:val="4"/>
        </w:numPr>
        <w:rPr>
          <w:rFonts w:ascii="Arial" w:cs="Arial" w:eastAsia="Arial" w:hAnsi="Arial"/>
          <w:sz w:val="21"/>
          <w:szCs w:val="21"/>
          <w:color w:val="auto"/>
        </w:rPr>
      </w:pPr>
      <w:r>
        <w:rPr>
          <w:rFonts w:ascii="Arial" w:cs="Arial" w:eastAsia="Arial" w:hAnsi="Arial"/>
          <w:sz w:val="21"/>
          <w:szCs w:val="21"/>
          <w:color w:val="auto"/>
        </w:rPr>
        <w:t>Relates to costs incurred associated with Civeo's acquisition of Noralta Lodge Ltd. For the six month period ended June 30, 2018, the $6.6 million of costs in 2018 ($5.9 million after-tax, or $0.04, per diluted share), are reflected in the Canada ($1.9 million) and Corporate and eliminations ($4.7 million) reportable segments and are included in Costs of sales and services ($0.2 million) and Selling, general and administrative expenses ($6.4 million) on the unaudited statements of operations. For the three month period ended June 30, 2018, the $5.6 million of costs in 2018 ($5.1 million after-tax, or $0.03, per diluted share), are reflected in the Canada ($1.6 million) and Corporate and eliminations ($4.0 million) reportable segments and are included in Costs of sales and services ($0.2 million) and Selling, general and administrative expenses ($5.4 million) on the unaudited statements of operations.</w:t>
      </w:r>
    </w:p>
    <w:p>
      <w:pPr>
        <w:spacing w:after="0" w:line="262" w:lineRule="exact"/>
        <w:rPr>
          <w:sz w:val="20"/>
          <w:szCs w:val="20"/>
          <w:color w:val="auto"/>
        </w:rPr>
      </w:pPr>
    </w:p>
    <w:p>
      <w:pPr>
        <w:ind w:right="180" w:firstLine="2"/>
        <w:spacing w:after="0" w:line="328"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term Free Cash Flow is defined as net cash flows provided by operating activities less capital expenditures plus proceeds from asset sales. Free Cash Flow is not a measure of financial performance under generally accepted accounting principles and</w:t>
      </w:r>
    </w:p>
    <w:p>
      <w:pPr>
        <w:sectPr>
          <w:pgSz w:w="11900" w:h="16946" w:orient="portrait"/>
          <w:cols w:equalWidth="0" w:num="1">
            <w:col w:w="11320"/>
          </w:cols>
          <w:pgMar w:left="260" w:top="1057" w:right="319" w:bottom="0" w:gutter="0" w:footer="0" w:header="0"/>
        </w:sectPr>
      </w:pPr>
    </w:p>
    <w:bookmarkStart w:id="9" w:name="page10"/>
    <w:bookmarkEnd w:id="9"/>
    <w:p>
      <w:pPr>
        <w:ind w:right="60"/>
        <w:spacing w:after="0" w:line="247" w:lineRule="auto"/>
        <w:rPr>
          <w:sz w:val="20"/>
          <w:szCs w:val="20"/>
          <w:color w:val="auto"/>
        </w:rPr>
      </w:pPr>
      <w:r>
        <w:rPr>
          <w:rFonts w:ascii="Arial" w:cs="Arial" w:eastAsia="Arial" w:hAnsi="Arial"/>
          <w:sz w:val="21"/>
          <w:szCs w:val="21"/>
          <w:color w:val="auto"/>
        </w:rPr>
        <w:t>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260"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570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1"/>
                <w:szCs w:val="21"/>
                <w:color w:val="auto"/>
              </w:rPr>
            </w:pPr>
          </w:p>
        </w:tc>
        <w:tc>
          <w:tcPr>
            <w:tcW w:w="2340" w:type="dxa"/>
            <w:vAlign w:val="bottom"/>
            <w:gridSpan w:val="4"/>
          </w:tcPr>
          <w:p>
            <w:pPr>
              <w:jc w:val="right"/>
              <w:ind w:right="3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JUNE 30,</w:t>
            </w:r>
          </w:p>
        </w:tc>
      </w:tr>
      <w:tr>
        <w:trPr>
          <w:trHeight w:val="282"/>
        </w:trPr>
        <w:tc>
          <w:tcPr>
            <w:tcW w:w="5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2017</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r>
        <w:trPr>
          <w:trHeight w:val="528"/>
        </w:trPr>
        <w:tc>
          <w:tcPr>
            <w:tcW w:w="570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11,139</w:t>
            </w:r>
          </w:p>
        </w:tc>
        <w:tc>
          <w:tcPr>
            <w:tcW w:w="100" w:type="dxa"/>
            <w:vAlign w:val="bottom"/>
          </w:tcPr>
          <w:p>
            <w:pPr>
              <w:spacing w:after="0"/>
              <w:rPr>
                <w:sz w:val="24"/>
                <w:szCs w:val="24"/>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4,553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13,977</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14,401</w:t>
            </w:r>
          </w:p>
        </w:tc>
      </w:tr>
      <w:tr>
        <w:trPr>
          <w:trHeight w:val="270"/>
        </w:trPr>
        <w:tc>
          <w:tcPr>
            <w:tcW w:w="570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(3,247)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(2,154)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(5,943)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(6,037)</w:t>
            </w:r>
          </w:p>
        </w:tc>
      </w:tr>
      <w:tr>
        <w:trPr>
          <w:trHeight w:val="275"/>
        </w:trPr>
        <w:tc>
          <w:tcPr>
            <w:tcW w:w="5700" w:type="dxa"/>
            <w:vAlign w:val="bottom"/>
          </w:tcPr>
          <w:p>
            <w:pPr>
              <w:ind w:left="120"/>
              <w:spacing w:after="0"/>
              <w:rPr>
                <w:sz w:val="20"/>
                <w:szCs w:val="20"/>
                <w:color w:val="auto"/>
              </w:rPr>
            </w:pPr>
            <w:r>
              <w:rPr>
                <w:rFonts w:ascii="Arial" w:cs="Arial" w:eastAsia="Arial" w:hAnsi="Arial"/>
                <w:sz w:val="22"/>
                <w:szCs w:val="22"/>
                <w:color w:val="auto"/>
                <w:w w:val="96"/>
              </w:rPr>
              <w:t>Proceeds from disposition of property, plant and equipment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720</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582</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3,438</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1,160</w:t>
            </w:r>
          </w:p>
        </w:tc>
      </w:tr>
      <w:tr>
        <w:trPr>
          <w:trHeight w:val="267"/>
        </w:trPr>
        <w:tc>
          <w:tcPr>
            <w:tcW w:w="5700" w:type="dxa"/>
            <w:vAlign w:val="bottom"/>
          </w:tcPr>
          <w:p>
            <w:pPr>
              <w:ind w:left="120"/>
              <w:spacing w:after="0"/>
              <w:rPr>
                <w:sz w:val="20"/>
                <w:szCs w:val="20"/>
                <w:color w:val="auto"/>
              </w:rPr>
            </w:pPr>
            <w:r>
              <w:rPr>
                <w:rFonts w:ascii="Arial" w:cs="Arial" w:eastAsia="Arial" w:hAnsi="Arial"/>
                <w:sz w:val="22"/>
                <w:szCs w:val="22"/>
                <w:color w:val="auto"/>
              </w:rPr>
              <w:t>Free Cash Flow</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8,612</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2,981</w:t>
            </w: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11,472</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9,524</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 - GUIDANCE</w:t>
      </w:r>
    </w:p>
    <w:p>
      <w:pPr>
        <w:ind w:left="510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320"/>
          </w:cols>
          <w:pgMar w:left="260" w:top="118" w:right="319" w:bottom="0" w:gutter="0" w:footer="0" w:header="0"/>
        </w:sectPr>
      </w:pPr>
    </w:p>
    <w:p>
      <w:pPr>
        <w:spacing w:after="0" w:line="200" w:lineRule="exact"/>
        <w:rPr>
          <w:sz w:val="20"/>
          <w:szCs w:val="20"/>
          <w:color w:val="auto"/>
        </w:rPr>
      </w:pPr>
    </w:p>
    <w:p>
      <w:pPr>
        <w:spacing w:after="0" w:line="306"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THREE MONTHS ENDING SEPTEMBER 30, 2018</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YEAR ENDING</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2018</w:t>
      </w:r>
    </w:p>
    <w:p>
      <w:pPr>
        <w:spacing w:after="0" w:line="38" w:lineRule="exact"/>
        <w:rPr>
          <w:sz w:val="20"/>
          <w:szCs w:val="20"/>
          <w:color w:val="auto"/>
        </w:rPr>
      </w:pPr>
    </w:p>
    <w:p>
      <w:pPr>
        <w:sectPr>
          <w:pgSz w:w="11900" w:h="16838" w:orient="portrait"/>
          <w:cols w:equalWidth="0" w:num="2">
            <w:col w:w="8600" w:space="500"/>
            <w:col w:w="2220"/>
          </w:cols>
          <w:pgMar w:left="260" w:top="118" w:right="319" w:bottom="0" w:gutter="0" w:footer="0" w:header="0"/>
          <w:type w:val="continuous"/>
        </w:sectPr>
      </w:pPr>
    </w:p>
    <w:p>
      <w:pPr>
        <w:spacing w:after="0"/>
        <w:rPr>
          <w:sz w:val="20"/>
          <w:szCs w:val="20"/>
          <w:color w:val="auto"/>
        </w:rPr>
      </w:pPr>
      <w:r>
        <w:rPr>
          <w:rFonts w:ascii="Arial" w:cs="Arial" w:eastAsia="Arial" w:hAnsi="Arial"/>
          <w:sz w:val="19"/>
          <w:szCs w:val="19"/>
          <w:color w:val="auto"/>
        </w:rPr>
        <w:t>EBITDA Range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800" w:val="left"/>
        </w:tabs>
        <w:rPr>
          <w:sz w:val="20"/>
          <w:szCs w:val="20"/>
          <w:color w:val="auto"/>
        </w:rPr>
      </w:pPr>
      <w:r>
        <w:rPr>
          <w:rFonts w:ascii="Arial" w:cs="Arial" w:eastAsia="Arial" w:hAnsi="Arial"/>
          <w:sz w:val="22"/>
          <w:szCs w:val="22"/>
          <w:color w:val="auto"/>
        </w:rPr>
        <w:t>27.0</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tabs>
          <w:tab w:leader="none" w:pos="660" w:val="left"/>
        </w:tabs>
        <w:rPr>
          <w:sz w:val="20"/>
          <w:szCs w:val="20"/>
          <w:color w:val="auto"/>
        </w:rPr>
      </w:pPr>
      <w:r>
        <w:rPr>
          <w:rFonts w:ascii="Arial" w:cs="Arial" w:eastAsia="Arial" w:hAnsi="Arial"/>
          <w:sz w:val="22"/>
          <w:szCs w:val="22"/>
          <w:color w:val="auto"/>
        </w:rPr>
        <w:t>85.0</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92.0</w:t>
      </w:r>
    </w:p>
    <w:p>
      <w:pPr>
        <w:spacing w:after="0" w:line="234" w:lineRule="exact"/>
        <w:rPr>
          <w:sz w:val="20"/>
          <w:szCs w:val="20"/>
          <w:color w:val="auto"/>
        </w:rPr>
      </w:pPr>
    </w:p>
    <w:p>
      <w:pPr>
        <w:sectPr>
          <w:pgSz w:w="11900" w:h="16838" w:orient="portrait"/>
          <w:cols w:equalWidth="0" w:num="6">
            <w:col w:w="2980" w:space="720"/>
            <w:col w:w="880" w:space="720"/>
            <w:col w:w="2160" w:space="720"/>
            <w:col w:w="940" w:space="420"/>
            <w:col w:w="780" w:space="480"/>
            <w:col w:w="520"/>
          </w:cols>
          <w:pgMar w:left="260" w:top="118" w:right="319" w:bottom="0" w:gutter="0" w:footer="0" w:header="0"/>
          <w:type w:val="continuous"/>
        </w:sectPr>
      </w:pPr>
    </w:p>
    <w:p>
      <w:pPr>
        <w:spacing w:after="0" w:line="83" w:lineRule="exact"/>
        <w:rPr>
          <w:sz w:val="20"/>
          <w:szCs w:val="20"/>
          <w:color w:val="auto"/>
        </w:rPr>
      </w:pPr>
    </w:p>
    <w:p>
      <w:pPr>
        <w:ind w:right="60" w:firstLine="2"/>
        <w:spacing w:after="0" w:line="328" w:lineRule="auto"/>
        <w:tabs>
          <w:tab w:leader="none" w:pos="30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3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gridSpan w:val="4"/>
          </w:tcPr>
          <w:p>
            <w:pPr>
              <w:jc w:val="center"/>
              <w:ind w:right="232"/>
              <w:spacing w:after="0"/>
              <w:rPr>
                <w:sz w:val="20"/>
                <w:szCs w:val="20"/>
                <w:color w:val="auto"/>
              </w:rPr>
            </w:pPr>
            <w:r>
              <w:rPr>
                <w:rFonts w:ascii="Arial" w:cs="Arial" w:eastAsia="Arial" w:hAnsi="Arial"/>
                <w:sz w:val="22"/>
                <w:szCs w:val="22"/>
                <w:b w:val="1"/>
                <w:bCs w:val="1"/>
                <w:color w:val="auto"/>
              </w:rPr>
              <w:t>YEAR ENDING</w:t>
            </w:r>
          </w:p>
        </w:tc>
      </w:tr>
      <w:tr>
        <w:trPr>
          <w:trHeight w:val="270"/>
        </w:trPr>
        <w:tc>
          <w:tcPr>
            <w:tcW w:w="3040" w:type="dxa"/>
            <w:vAlign w:val="bottom"/>
          </w:tcPr>
          <w:p>
            <w:pPr>
              <w:spacing w:after="0"/>
              <w:rPr>
                <w:sz w:val="23"/>
                <w:szCs w:val="23"/>
                <w:color w:val="auto"/>
              </w:rPr>
            </w:pPr>
          </w:p>
        </w:tc>
        <w:tc>
          <w:tcPr>
            <w:tcW w:w="5520" w:type="dxa"/>
            <w:vAlign w:val="bottom"/>
            <w:gridSpan w:val="6"/>
          </w:tcPr>
          <w:p>
            <w:pPr>
              <w:ind w:left="260"/>
              <w:spacing w:after="0"/>
              <w:rPr>
                <w:sz w:val="20"/>
                <w:szCs w:val="20"/>
                <w:color w:val="auto"/>
              </w:rPr>
            </w:pPr>
            <w:r>
              <w:rPr>
                <w:rFonts w:ascii="Arial" w:cs="Arial" w:eastAsia="Arial" w:hAnsi="Arial"/>
                <w:sz w:val="22"/>
                <w:szCs w:val="22"/>
                <w:b w:val="1"/>
                <w:bCs w:val="1"/>
                <w:color w:val="auto"/>
              </w:rPr>
              <w:t>THREE MONTHS ENDING SEPTEMBER 30, 2018</w:t>
            </w:r>
          </w:p>
        </w:tc>
        <w:tc>
          <w:tcPr>
            <w:tcW w:w="2360" w:type="dxa"/>
            <w:vAlign w:val="bottom"/>
            <w:gridSpan w:val="5"/>
          </w:tcPr>
          <w:p>
            <w:pPr>
              <w:jc w:val="center"/>
              <w:spacing w:after="0"/>
              <w:rPr>
                <w:sz w:val="20"/>
                <w:szCs w:val="20"/>
                <w:color w:val="auto"/>
              </w:rPr>
            </w:pPr>
            <w:r>
              <w:rPr>
                <w:rFonts w:ascii="Arial" w:cs="Arial" w:eastAsia="Arial" w:hAnsi="Arial"/>
                <w:sz w:val="22"/>
                <w:szCs w:val="22"/>
                <w:b w:val="1"/>
                <w:bCs w:val="1"/>
                <w:color w:val="auto"/>
                <w:w w:val="94"/>
              </w:rPr>
              <w:t>DECEMBER 31, 2018</w:t>
            </w:r>
          </w:p>
        </w:tc>
      </w:tr>
      <w:tr>
        <w:trPr>
          <w:trHeight w:val="281"/>
        </w:trPr>
        <w:tc>
          <w:tcPr>
            <w:tcW w:w="3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80" w:type="dxa"/>
            <w:vAlign w:val="bottom"/>
            <w:gridSpan w:val="3"/>
          </w:tcPr>
          <w:p>
            <w:pPr>
              <w:jc w:val="right"/>
              <w:ind w:right="632"/>
              <w:spacing w:after="0"/>
              <w:rPr>
                <w:sz w:val="20"/>
                <w:szCs w:val="20"/>
                <w:color w:val="auto"/>
              </w:rPr>
            </w:pPr>
            <w:r>
              <w:rPr>
                <w:rFonts w:ascii="Arial" w:cs="Arial" w:eastAsia="Arial" w:hAnsi="Arial"/>
                <w:sz w:val="22"/>
                <w:szCs w:val="22"/>
                <w:b w:val="1"/>
                <w:bCs w:val="1"/>
                <w:color w:val="auto"/>
              </w:rPr>
              <w:t>(estimated)</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88"/>
              </w:rPr>
              <w:t>(estimated)</w:t>
            </w:r>
          </w:p>
        </w:tc>
        <w:tc>
          <w:tcPr>
            <w:tcW w:w="640" w:type="dxa"/>
            <w:vAlign w:val="bottom"/>
          </w:tcPr>
          <w:p>
            <w:pPr>
              <w:spacing w:after="0"/>
              <w:rPr>
                <w:sz w:val="24"/>
                <w:szCs w:val="24"/>
                <w:color w:val="auto"/>
              </w:rPr>
            </w:pPr>
          </w:p>
        </w:tc>
      </w:tr>
      <w:tr>
        <w:trPr>
          <w:trHeight w:val="536"/>
        </w:trPr>
        <w:tc>
          <w:tcPr>
            <w:tcW w:w="3040" w:type="dxa"/>
            <w:vAlign w:val="bottom"/>
          </w:tcPr>
          <w:p>
            <w:pPr>
              <w:spacing w:after="0"/>
              <w:rPr>
                <w:sz w:val="20"/>
                <w:szCs w:val="20"/>
                <w:color w:val="auto"/>
              </w:rPr>
            </w:pPr>
            <w:r>
              <w:rPr>
                <w:rFonts w:ascii="Arial" w:cs="Arial" w:eastAsia="Arial" w:hAnsi="Arial"/>
                <w:sz w:val="22"/>
                <w:szCs w:val="22"/>
                <w:color w:val="auto"/>
              </w:rPr>
              <w:t>Net loss</w:t>
            </w:r>
          </w:p>
        </w:tc>
        <w:tc>
          <w:tcPr>
            <w:tcW w:w="1080" w:type="dxa"/>
            <w:vAlign w:val="bottom"/>
          </w:tcPr>
          <w:p>
            <w:pPr>
              <w:ind w:left="260"/>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(16.0)</w:t>
            </w:r>
          </w:p>
        </w:tc>
        <w:tc>
          <w:tcPr>
            <w:tcW w:w="260" w:type="dxa"/>
            <w:vAlign w:val="bottom"/>
          </w:tcPr>
          <w:p>
            <w:pPr>
              <w:spacing w:after="0"/>
              <w:rPr>
                <w:sz w:val="24"/>
                <w:szCs w:val="24"/>
                <w:color w:val="auto"/>
              </w:rPr>
            </w:pPr>
          </w:p>
        </w:tc>
        <w:tc>
          <w:tcPr>
            <w:tcW w:w="114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(12.5)</w:t>
            </w:r>
          </w:p>
        </w:tc>
        <w:tc>
          <w:tcPr>
            <w:tcW w:w="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(49.0)</w:t>
            </w:r>
          </w:p>
        </w:tc>
        <w:tc>
          <w:tcPr>
            <w:tcW w:w="120" w:type="dxa"/>
            <w:vAlign w:val="bottom"/>
          </w:tcPr>
          <w:p>
            <w:pPr>
              <w:spacing w:after="0"/>
              <w:rPr>
                <w:sz w:val="24"/>
                <w:szCs w:val="24"/>
                <w:color w:val="auto"/>
              </w:rPr>
            </w:pPr>
          </w:p>
        </w:tc>
        <w:tc>
          <w:tcPr>
            <w:tcW w:w="52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640" w:type="dxa"/>
            <w:vAlign w:val="bottom"/>
          </w:tcPr>
          <w:p>
            <w:pPr>
              <w:jc w:val="right"/>
              <w:spacing w:after="0"/>
              <w:rPr>
                <w:sz w:val="20"/>
                <w:szCs w:val="20"/>
                <w:color w:val="auto"/>
              </w:rPr>
            </w:pPr>
            <w:r>
              <w:rPr>
                <w:rFonts w:ascii="Arial" w:cs="Arial" w:eastAsia="Arial" w:hAnsi="Arial"/>
                <w:sz w:val="22"/>
                <w:szCs w:val="22"/>
                <w:color w:val="auto"/>
                <w:w w:val="97"/>
              </w:rPr>
              <w:t>(41.0)</w:t>
            </w:r>
          </w:p>
        </w:tc>
      </w:tr>
      <w:tr>
        <w:trPr>
          <w:trHeight w:val="270"/>
        </w:trPr>
        <w:tc>
          <w:tcPr>
            <w:tcW w:w="304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1080" w:type="dxa"/>
            <w:vAlign w:val="bottom"/>
          </w:tcPr>
          <w:p>
            <w:pPr>
              <w:spacing w:after="0"/>
              <w:rPr>
                <w:sz w:val="23"/>
                <w:szCs w:val="23"/>
                <w:color w:val="auto"/>
              </w:rPr>
            </w:pP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(0.5)</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jc w:val="right"/>
              <w:ind w:right="132"/>
              <w:spacing w:after="0"/>
              <w:rPr>
                <w:sz w:val="20"/>
                <w:szCs w:val="20"/>
                <w:color w:val="auto"/>
              </w:rPr>
            </w:pPr>
            <w:r>
              <w:rPr>
                <w:rFonts w:ascii="Arial" w:cs="Arial" w:eastAsia="Arial" w:hAnsi="Arial"/>
                <w:sz w:val="22"/>
                <w:szCs w:val="22"/>
                <w:color w:val="auto"/>
              </w:rPr>
              <w:t>(1.0)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(24.5)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w w:val="97"/>
              </w:rPr>
              <w:t>(25.5)</w:t>
            </w:r>
          </w:p>
        </w:tc>
      </w:tr>
      <w:tr>
        <w:trPr>
          <w:trHeight w:val="270"/>
        </w:trPr>
        <w:tc>
          <w:tcPr>
            <w:tcW w:w="30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080" w:type="dxa"/>
            <w:vAlign w:val="bottom"/>
          </w:tcPr>
          <w:p>
            <w:pPr>
              <w:spacing w:after="0"/>
              <w:rPr>
                <w:sz w:val="23"/>
                <w:szCs w:val="23"/>
                <w:color w:val="auto"/>
              </w:rPr>
            </w:pPr>
          </w:p>
        </w:tc>
        <w:tc>
          <w:tcPr>
            <w:tcW w:w="1480" w:type="dxa"/>
            <w:vAlign w:val="bottom"/>
          </w:tcPr>
          <w:p>
            <w:pPr>
              <w:jc w:val="right"/>
              <w:ind w:right="212"/>
              <w:spacing w:after="0"/>
              <w:rPr>
                <w:sz w:val="20"/>
                <w:szCs w:val="20"/>
                <w:color w:val="auto"/>
              </w:rPr>
            </w:pPr>
            <w:r>
              <w:rPr>
                <w:rFonts w:ascii="Arial" w:cs="Arial" w:eastAsia="Arial" w:hAnsi="Arial"/>
                <w:sz w:val="22"/>
                <w:szCs w:val="22"/>
                <w:color w:val="auto"/>
              </w:rPr>
              <w:t>34.5</w:t>
            </w: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jc w:val="right"/>
              <w:ind w:right="212"/>
              <w:spacing w:after="0"/>
              <w:rPr>
                <w:sz w:val="20"/>
                <w:szCs w:val="20"/>
                <w:color w:val="auto"/>
              </w:rPr>
            </w:pPr>
            <w:r>
              <w:rPr>
                <w:rFonts w:ascii="Arial" w:cs="Arial" w:eastAsia="Arial" w:hAnsi="Arial"/>
                <w:sz w:val="22"/>
                <w:szCs w:val="22"/>
                <w:color w:val="auto"/>
              </w:rPr>
              <w:t>34.5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22"/>
                <w:szCs w:val="22"/>
                <w:color w:val="auto"/>
              </w:rPr>
              <w:t>133.5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22"/>
                <w:szCs w:val="22"/>
                <w:color w:val="auto"/>
                <w:w w:val="87"/>
              </w:rPr>
              <w:t>133.5</w:t>
            </w:r>
          </w:p>
        </w:tc>
      </w:tr>
      <w:tr>
        <w:trPr>
          <w:trHeight w:val="276"/>
        </w:trPr>
        <w:tc>
          <w:tcPr>
            <w:tcW w:w="3040" w:type="dxa"/>
            <w:vAlign w:val="bottom"/>
          </w:tcPr>
          <w:p>
            <w:pPr>
              <w:spacing w:after="0"/>
              <w:rPr>
                <w:sz w:val="20"/>
                <w:szCs w:val="20"/>
                <w:color w:val="auto"/>
              </w:rPr>
            </w:pPr>
            <w:r>
              <w:rPr>
                <w:rFonts w:ascii="Arial" w:cs="Arial" w:eastAsia="Arial" w:hAnsi="Arial"/>
                <w:sz w:val="22"/>
                <w:szCs w:val="22"/>
                <w:color w:val="auto"/>
              </w:rPr>
              <w:t>Interest expense</w:t>
            </w: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6.0</w:t>
            </w:r>
          </w:p>
        </w:tc>
        <w:tc>
          <w:tcPr>
            <w:tcW w:w="2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6.0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25.0</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25.0</w:t>
            </w:r>
          </w:p>
        </w:tc>
      </w:tr>
      <w:tr>
        <w:trPr>
          <w:trHeight w:val="265"/>
        </w:trPr>
        <w:tc>
          <w:tcPr>
            <w:tcW w:w="3040" w:type="dxa"/>
            <w:vAlign w:val="bottom"/>
          </w:tcPr>
          <w:p>
            <w:pPr>
              <w:ind w:left="100"/>
              <w:spacing w:after="0"/>
              <w:rPr>
                <w:sz w:val="20"/>
                <w:szCs w:val="20"/>
                <w:color w:val="auto"/>
              </w:rPr>
            </w:pPr>
            <w:r>
              <w:rPr>
                <w:rFonts w:ascii="Arial" w:cs="Arial" w:eastAsia="Arial" w:hAnsi="Arial"/>
                <w:sz w:val="22"/>
                <w:szCs w:val="22"/>
                <w:color w:val="auto"/>
              </w:rPr>
              <w:t>EBITDA</w:t>
            </w: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w:t>
            </w: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24.0</w:t>
            </w:r>
          </w:p>
        </w:tc>
        <w:tc>
          <w:tcPr>
            <w:tcW w:w="260" w:type="dxa"/>
            <w:vAlign w:val="bottom"/>
          </w:tcPr>
          <w:p>
            <w:pPr>
              <w:spacing w:after="0"/>
              <w:rPr>
                <w:sz w:val="23"/>
                <w:szCs w:val="23"/>
                <w:color w:val="auto"/>
              </w:rPr>
            </w:pP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27.0</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85.0</w:t>
            </w:r>
          </w:p>
        </w:tc>
        <w:tc>
          <w:tcPr>
            <w:tcW w:w="120" w:type="dxa"/>
            <w:vAlign w:val="bottom"/>
          </w:tcPr>
          <w:p>
            <w:pPr>
              <w:spacing w:after="0"/>
              <w:rPr>
                <w:sz w:val="23"/>
                <w:szCs w:val="23"/>
                <w:color w:val="auto"/>
              </w:rPr>
            </w:pPr>
          </w:p>
        </w:tc>
        <w:tc>
          <w:tcPr>
            <w:tcW w:w="5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92.0</w:t>
            </w:r>
          </w:p>
        </w:tc>
      </w:tr>
      <w:tr>
        <w:trPr>
          <w:trHeight w:val="21"/>
        </w:trPr>
        <w:tc>
          <w:tcPr>
            <w:tcW w:w="3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180"/>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2880" w:type="dxa"/>
            <w:vAlign w:val="bottom"/>
            <w:gridSpan w:val="4"/>
          </w:tcPr>
          <w:p>
            <w:pPr>
              <w:jc w:val="center"/>
              <w:ind w:right="80"/>
              <w:spacing w:after="0"/>
              <w:rPr>
                <w:sz w:val="20"/>
                <w:szCs w:val="20"/>
                <w:color w:val="auto"/>
              </w:rPr>
            </w:pPr>
            <w:r>
              <w:rPr>
                <w:rFonts w:ascii="Arial" w:cs="Arial" w:eastAsia="Arial" w:hAnsi="Arial"/>
                <w:sz w:val="22"/>
                <w:szCs w:val="22"/>
                <w:b w:val="1"/>
                <w:bCs w:val="1"/>
                <w:color w:val="auto"/>
              </w:rPr>
              <w:t>THREE MONTHS ENDED</w:t>
            </w:r>
          </w:p>
        </w:tc>
        <w:tc>
          <w:tcPr>
            <w:tcW w:w="260" w:type="dxa"/>
            <w:vAlign w:val="bottom"/>
          </w:tcPr>
          <w:p>
            <w:pPr>
              <w:spacing w:after="0"/>
              <w:rPr>
                <w:sz w:val="21"/>
                <w:szCs w:val="21"/>
                <w:color w:val="auto"/>
              </w:rPr>
            </w:pPr>
          </w:p>
        </w:tc>
        <w:tc>
          <w:tcPr>
            <w:tcW w:w="2720" w:type="dxa"/>
            <w:vAlign w:val="bottom"/>
            <w:gridSpan w:val="4"/>
          </w:tcPr>
          <w:p>
            <w:pPr>
              <w:jc w:val="center"/>
              <w:ind w:right="152"/>
              <w:spacing w:after="0"/>
              <w:rPr>
                <w:sz w:val="20"/>
                <w:szCs w:val="20"/>
                <w:color w:val="auto"/>
              </w:rPr>
            </w:pPr>
            <w:r>
              <w:rPr>
                <w:rFonts w:ascii="Arial" w:cs="Arial" w:eastAsia="Arial" w:hAnsi="Arial"/>
                <w:sz w:val="22"/>
                <w:szCs w:val="22"/>
                <w:b w:val="1"/>
                <w:bCs w:val="1"/>
                <w:color w:val="auto"/>
                <w:w w:val="99"/>
              </w:rPr>
              <w:t>SIX MONTHS ENDED</w:t>
            </w:r>
          </w:p>
        </w:tc>
      </w:tr>
      <w:tr>
        <w:trPr>
          <w:trHeight w:val="270"/>
        </w:trPr>
        <w:tc>
          <w:tcPr>
            <w:tcW w:w="5300" w:type="dxa"/>
            <w:vAlign w:val="bottom"/>
          </w:tcPr>
          <w:p>
            <w:pPr>
              <w:spacing w:after="0"/>
              <w:rPr>
                <w:sz w:val="23"/>
                <w:szCs w:val="23"/>
                <w:color w:val="auto"/>
              </w:rPr>
            </w:pPr>
          </w:p>
        </w:tc>
        <w:tc>
          <w:tcPr>
            <w:tcW w:w="2880" w:type="dxa"/>
            <w:vAlign w:val="bottom"/>
            <w:gridSpan w:val="4"/>
          </w:tcPr>
          <w:p>
            <w:pPr>
              <w:jc w:val="center"/>
              <w:ind w:right="80"/>
              <w:spacing w:after="0"/>
              <w:rPr>
                <w:sz w:val="20"/>
                <w:szCs w:val="20"/>
                <w:color w:val="auto"/>
              </w:rPr>
            </w:pPr>
            <w:r>
              <w:rPr>
                <w:rFonts w:ascii="Arial" w:cs="Arial" w:eastAsia="Arial" w:hAnsi="Arial"/>
                <w:sz w:val="22"/>
                <w:szCs w:val="22"/>
                <w:b w:val="1"/>
                <w:bCs w:val="1"/>
                <w:color w:val="auto"/>
                <w:w w:val="92"/>
              </w:rPr>
              <w:t>JUNE 30,</w:t>
            </w:r>
          </w:p>
        </w:tc>
        <w:tc>
          <w:tcPr>
            <w:tcW w:w="260" w:type="dxa"/>
            <w:vAlign w:val="bottom"/>
          </w:tcPr>
          <w:p>
            <w:pPr>
              <w:spacing w:after="0"/>
              <w:rPr>
                <w:sz w:val="23"/>
                <w:szCs w:val="23"/>
                <w:color w:val="auto"/>
              </w:rPr>
            </w:pPr>
          </w:p>
        </w:tc>
        <w:tc>
          <w:tcPr>
            <w:tcW w:w="1700" w:type="dxa"/>
            <w:vAlign w:val="bottom"/>
            <w:gridSpan w:val="3"/>
          </w:tcPr>
          <w:p>
            <w:pPr>
              <w:jc w:val="center"/>
              <w:ind w:left="652"/>
              <w:spacing w:after="0"/>
              <w:rPr>
                <w:sz w:val="20"/>
                <w:szCs w:val="20"/>
                <w:color w:val="auto"/>
              </w:rPr>
            </w:pPr>
            <w:r>
              <w:rPr>
                <w:rFonts w:ascii="Arial" w:cs="Arial" w:eastAsia="Arial" w:hAnsi="Arial"/>
                <w:sz w:val="22"/>
                <w:szCs w:val="22"/>
                <w:b w:val="1"/>
                <w:bCs w:val="1"/>
                <w:color w:val="auto"/>
                <w:w w:val="94"/>
              </w:rPr>
              <w:t>JUNE 30,</w:t>
            </w:r>
          </w:p>
        </w:tc>
        <w:tc>
          <w:tcPr>
            <w:tcW w:w="1020" w:type="dxa"/>
            <w:vAlign w:val="bottom"/>
          </w:tcPr>
          <w:p>
            <w:pPr>
              <w:spacing w:after="0"/>
              <w:rPr>
                <w:sz w:val="23"/>
                <w:szCs w:val="23"/>
                <w:color w:val="auto"/>
              </w:rPr>
            </w:pPr>
          </w:p>
        </w:tc>
      </w:tr>
      <w:tr>
        <w:trPr>
          <w:trHeight w:val="281"/>
        </w:trPr>
        <w:tc>
          <w:tcPr>
            <w:tcW w:w="5300" w:type="dxa"/>
            <w:vAlign w:val="bottom"/>
          </w:tcPr>
          <w:p>
            <w:pPr>
              <w:spacing w:after="0"/>
              <w:rPr>
                <w:sz w:val="24"/>
                <w:szCs w:val="24"/>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85"/>
              </w:rPr>
              <w:t>2017</w:t>
            </w:r>
          </w:p>
        </w:tc>
      </w:tr>
      <w:tr>
        <w:trPr>
          <w:trHeight w:val="529"/>
        </w:trPr>
        <w:tc>
          <w:tcPr>
            <w:tcW w:w="530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Revenues</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Accomodation revenue (1)</w:t>
            </w:r>
          </w:p>
        </w:tc>
        <w:tc>
          <w:tcPr>
            <w:tcW w:w="1340" w:type="dxa"/>
            <w:vAlign w:val="bottom"/>
          </w:tcPr>
          <w:p>
            <w:pPr>
              <w:jc w:val="right"/>
              <w:ind w:right="132"/>
              <w:spacing w:after="0"/>
              <w:rPr>
                <w:sz w:val="20"/>
                <w:szCs w:val="20"/>
                <w:color w:val="auto"/>
              </w:rPr>
            </w:pPr>
            <w:r>
              <w:rPr>
                <w:rFonts w:ascii="Arial" w:cs="Arial" w:eastAsia="Arial" w:hAnsi="Arial"/>
                <w:sz w:val="22"/>
                <w:szCs w:val="22"/>
                <w:color w:val="auto"/>
              </w:rPr>
              <w:t>$    80,620</w:t>
            </w:r>
          </w:p>
        </w:tc>
        <w:tc>
          <w:tcPr>
            <w:tcW w:w="80" w:type="dxa"/>
            <w:vAlign w:val="bottom"/>
          </w:tcPr>
          <w:p>
            <w:pPr>
              <w:spacing w:after="0"/>
              <w:rPr>
                <w:sz w:val="23"/>
                <w:szCs w:val="23"/>
                <w:color w:val="auto"/>
              </w:rPr>
            </w:pPr>
          </w:p>
        </w:tc>
        <w:tc>
          <w:tcPr>
            <w:tcW w:w="1380" w:type="dxa"/>
            <w:vAlign w:val="bottom"/>
          </w:tcPr>
          <w:p>
            <w:pPr>
              <w:jc w:val="right"/>
              <w:ind w:right="170"/>
              <w:spacing w:after="0"/>
              <w:rPr>
                <w:sz w:val="20"/>
                <w:szCs w:val="20"/>
                <w:color w:val="auto"/>
              </w:rPr>
            </w:pPr>
            <w:r>
              <w:rPr>
                <w:rFonts w:ascii="Arial" w:cs="Arial" w:eastAsia="Arial" w:hAnsi="Arial"/>
                <w:sz w:val="22"/>
                <w:szCs w:val="22"/>
                <w:color w:val="auto"/>
                <w:w w:val="86"/>
              </w:rPr>
              <w:t>$53,637</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131,267</w:t>
            </w:r>
          </w:p>
        </w:tc>
        <w:tc>
          <w:tcPr>
            <w:tcW w:w="8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w w:val="95"/>
              </w:rPr>
              <w:t>109,867</w:t>
            </w: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Mobile facility rental revenue (2)</w:t>
            </w:r>
          </w:p>
        </w:tc>
        <w:tc>
          <w:tcPr>
            <w:tcW w:w="1340" w:type="dxa"/>
            <w:vAlign w:val="bottom"/>
          </w:tcPr>
          <w:p>
            <w:pPr>
              <w:jc w:val="right"/>
              <w:ind w:right="132"/>
              <w:spacing w:after="0"/>
              <w:rPr>
                <w:sz w:val="20"/>
                <w:szCs w:val="20"/>
                <w:color w:val="auto"/>
              </w:rPr>
            </w:pPr>
            <w:r>
              <w:rPr>
                <w:rFonts w:ascii="Arial" w:cs="Arial" w:eastAsia="Arial" w:hAnsi="Arial"/>
                <w:sz w:val="22"/>
                <w:szCs w:val="22"/>
                <w:color w:val="auto"/>
              </w:rPr>
              <w:t>2,107</w:t>
            </w:r>
          </w:p>
        </w:tc>
        <w:tc>
          <w:tcPr>
            <w:tcW w:w="80" w:type="dxa"/>
            <w:vAlign w:val="bottom"/>
          </w:tcPr>
          <w:p>
            <w:pPr>
              <w:spacing w:after="0"/>
              <w:rPr>
                <w:sz w:val="23"/>
                <w:szCs w:val="23"/>
                <w:color w:val="auto"/>
              </w:rPr>
            </w:pPr>
          </w:p>
        </w:tc>
        <w:tc>
          <w:tcPr>
            <w:tcW w:w="1380" w:type="dxa"/>
            <w:vAlign w:val="bottom"/>
          </w:tcPr>
          <w:p>
            <w:pPr>
              <w:jc w:val="right"/>
              <w:ind w:right="170"/>
              <w:spacing w:after="0"/>
              <w:rPr>
                <w:sz w:val="20"/>
                <w:szCs w:val="20"/>
                <w:color w:val="auto"/>
              </w:rPr>
            </w:pPr>
            <w:r>
              <w:rPr>
                <w:rFonts w:ascii="Arial" w:cs="Arial" w:eastAsia="Arial" w:hAnsi="Arial"/>
                <w:sz w:val="22"/>
                <w:szCs w:val="22"/>
                <w:color w:val="auto"/>
              </w:rPr>
              <w:t>243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9,901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802</w:t>
            </w:r>
          </w:p>
        </w:tc>
      </w:tr>
      <w:tr>
        <w:trPr>
          <w:trHeight w:val="275"/>
        </w:trPr>
        <w:tc>
          <w:tcPr>
            <w:tcW w:w="5300" w:type="dxa"/>
            <w:vAlign w:val="bottom"/>
          </w:tcPr>
          <w:p>
            <w:pPr>
              <w:ind w:left="100"/>
              <w:spacing w:after="0"/>
              <w:rPr>
                <w:sz w:val="20"/>
                <w:szCs w:val="20"/>
                <w:color w:val="auto"/>
              </w:rPr>
            </w:pPr>
            <w:r>
              <w:rPr>
                <w:rFonts w:ascii="Arial" w:cs="Arial" w:eastAsia="Arial" w:hAnsi="Arial"/>
                <w:sz w:val="22"/>
                <w:szCs w:val="22"/>
                <w:color w:val="auto"/>
              </w:rPr>
              <w:t>Catering and other services revenue (3)</w:t>
            </w:r>
          </w:p>
        </w:tc>
        <w:tc>
          <w:tcPr>
            <w:tcW w:w="1340" w:type="dxa"/>
            <w:vAlign w:val="bottom"/>
          </w:tcPr>
          <w:p>
            <w:pPr>
              <w:jc w:val="right"/>
              <w:ind w:right="132"/>
              <w:spacing w:after="0"/>
              <w:rPr>
                <w:sz w:val="20"/>
                <w:szCs w:val="20"/>
                <w:color w:val="auto"/>
              </w:rPr>
            </w:pPr>
            <w:r>
              <w:rPr>
                <w:rFonts w:ascii="Arial" w:cs="Arial" w:eastAsia="Arial" w:hAnsi="Arial"/>
                <w:sz w:val="22"/>
                <w:szCs w:val="22"/>
                <w:color w:val="auto"/>
              </w:rPr>
              <w:t>3,716</w:t>
            </w:r>
          </w:p>
        </w:tc>
        <w:tc>
          <w:tcPr>
            <w:tcW w:w="80" w:type="dxa"/>
            <w:vAlign w:val="bottom"/>
          </w:tcPr>
          <w:p>
            <w:pPr>
              <w:spacing w:after="0"/>
              <w:rPr>
                <w:sz w:val="23"/>
                <w:szCs w:val="23"/>
                <w:color w:val="auto"/>
              </w:rPr>
            </w:pPr>
          </w:p>
        </w:tc>
        <w:tc>
          <w:tcPr>
            <w:tcW w:w="1380" w:type="dxa"/>
            <w:vAlign w:val="bottom"/>
          </w:tcPr>
          <w:p>
            <w:pPr>
              <w:jc w:val="right"/>
              <w:ind w:right="170"/>
              <w:spacing w:after="0"/>
              <w:rPr>
                <w:sz w:val="20"/>
                <w:szCs w:val="20"/>
                <w:color w:val="auto"/>
              </w:rPr>
            </w:pPr>
            <w:r>
              <w:rPr>
                <w:rFonts w:ascii="Arial" w:cs="Arial" w:eastAsia="Arial" w:hAnsi="Arial"/>
                <w:sz w:val="22"/>
                <w:szCs w:val="22"/>
                <w:color w:val="auto"/>
              </w:rPr>
              <w:t>2,646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7,455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6,089</w:t>
            </w:r>
          </w:p>
        </w:tc>
      </w:tr>
    </w:tbl>
    <w:p>
      <w:pPr>
        <w:sectPr>
          <w:pgSz w:w="11900" w:h="16838" w:orient="portrait"/>
          <w:cols w:equalWidth="0" w:num="1">
            <w:col w:w="11320"/>
          </w:cols>
          <w:pgMar w:left="260" w:top="118" w:right="319" w:bottom="0" w:gutter="0" w:footer="0" w:header="0"/>
          <w:type w:val="continuous"/>
        </w:sectPr>
      </w:pPr>
    </w:p>
    <w:bookmarkStart w:id="10" w:name="page11"/>
    <w:bookmarkEnd w:id="1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300" w:type="dxa"/>
            <w:vAlign w:val="bottom"/>
          </w:tcPr>
          <w:p>
            <w:pPr>
              <w:ind w:left="100"/>
              <w:spacing w:after="0"/>
              <w:rPr>
                <w:sz w:val="20"/>
                <w:szCs w:val="20"/>
                <w:color w:val="auto"/>
              </w:rPr>
            </w:pPr>
            <w:r>
              <w:rPr>
                <w:rFonts w:ascii="Arial" w:cs="Arial" w:eastAsia="Arial" w:hAnsi="Arial"/>
                <w:sz w:val="22"/>
                <w:szCs w:val="22"/>
                <w:color w:val="auto"/>
              </w:rPr>
              <w:t>Manufacturing revenue (4)</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75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1,142</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1,285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1,416</w:t>
            </w:r>
          </w:p>
        </w:tc>
      </w:tr>
      <w:tr>
        <w:trPr>
          <w:trHeight w:val="272"/>
        </w:trPr>
        <w:tc>
          <w:tcPr>
            <w:tcW w:w="5300" w:type="dxa"/>
            <w:vAlign w:val="bottom"/>
          </w:tcPr>
          <w:p>
            <w:pPr>
              <w:ind w:left="240"/>
              <w:spacing w:after="0"/>
              <w:rPr>
                <w:sz w:val="20"/>
                <w:szCs w:val="20"/>
                <w:color w:val="auto"/>
              </w:rPr>
            </w:pPr>
            <w:r>
              <w:rPr>
                <w:rFonts w:ascii="Arial" w:cs="Arial" w:eastAsia="Arial" w:hAnsi="Arial"/>
                <w:sz w:val="22"/>
                <w:szCs w:val="22"/>
                <w:color w:val="auto"/>
              </w:rPr>
              <w:t>Total Canadian revenues</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86,518</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57,668</w:t>
            </w:r>
          </w:p>
        </w:tc>
        <w:tc>
          <w:tcPr>
            <w:tcW w:w="8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149,908</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118,174</w:t>
            </w:r>
          </w:p>
        </w:tc>
      </w:tr>
      <w:tr>
        <w:trPr>
          <w:trHeight w:val="532"/>
        </w:trPr>
        <w:tc>
          <w:tcPr>
            <w:tcW w:w="5300" w:type="dxa"/>
            <w:vAlign w:val="bottom"/>
          </w:tcPr>
          <w:p>
            <w:pPr>
              <w:ind w:left="100"/>
              <w:spacing w:after="0"/>
              <w:rPr>
                <w:sz w:val="20"/>
                <w:szCs w:val="20"/>
                <w:color w:val="auto"/>
              </w:rPr>
            </w:pPr>
            <w:r>
              <w:rPr>
                <w:rFonts w:ascii="Arial" w:cs="Arial" w:eastAsia="Arial" w:hAnsi="Arial"/>
                <w:sz w:val="22"/>
                <w:szCs w:val="22"/>
                <w:color w:val="auto"/>
              </w:rPr>
              <w:t>Average available lodge rooms (5)</w:t>
            </w:r>
          </w:p>
        </w:tc>
        <w:tc>
          <w:tcPr>
            <w:tcW w:w="2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22,497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14,720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18,608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14,720</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Rentable rooms (6)</w:t>
            </w:r>
          </w:p>
        </w:tc>
        <w:tc>
          <w:tcPr>
            <w:tcW w:w="2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15,141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8,138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11,831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8,496</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Average daily rates (7)</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86</w:t>
            </w:r>
          </w:p>
        </w:tc>
        <w:tc>
          <w:tcPr>
            <w:tcW w:w="8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89</w:t>
            </w:r>
          </w:p>
        </w:tc>
        <w:tc>
          <w:tcPr>
            <w:tcW w:w="8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87</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93</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Billed rooms (8)</w:t>
            </w:r>
          </w:p>
        </w:tc>
        <w:tc>
          <w:tcPr>
            <w:tcW w:w="2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930,828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600,404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22"/>
                <w:szCs w:val="22"/>
                <w:color w:val="auto"/>
                <w:w w:val="96"/>
              </w:rPr>
              <w:t>1,503,717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Arial" w:cs="Arial" w:eastAsia="Arial" w:hAnsi="Arial"/>
                <w:sz w:val="22"/>
                <w:szCs w:val="22"/>
                <w:color w:val="auto"/>
                <w:w w:val="98"/>
              </w:rPr>
              <w:t>1,175,975</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Occupancy in lodges (9)</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Canadian dollar to U.S. dollar</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0.775</w:t>
            </w:r>
          </w:p>
        </w:tc>
        <w:tc>
          <w:tcPr>
            <w:tcW w:w="8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0.744</w:t>
            </w:r>
          </w:p>
        </w:tc>
        <w:tc>
          <w:tcPr>
            <w:tcW w:w="8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0.783</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0.750</w:t>
            </w:r>
          </w:p>
        </w:tc>
      </w:tr>
      <w:tr>
        <w:trPr>
          <w:trHeight w:val="806"/>
        </w:trPr>
        <w:tc>
          <w:tcPr>
            <w:tcW w:w="5300" w:type="dxa"/>
            <w:vAlign w:val="bottom"/>
          </w:tcPr>
          <w:p>
            <w:pPr>
              <w:spacing w:after="0"/>
              <w:rPr>
                <w:sz w:val="20"/>
                <w:szCs w:val="20"/>
                <w:color w:val="auto"/>
              </w:rPr>
            </w:pPr>
            <w:r>
              <w:rPr>
                <w:rFonts w:ascii="Arial" w:cs="Arial" w:eastAsia="Arial" w:hAnsi="Arial"/>
                <w:sz w:val="22"/>
                <w:szCs w:val="22"/>
                <w:b w:val="1"/>
                <w:bCs w:val="1"/>
                <w:color w:val="auto"/>
                <w:w w:val="98"/>
              </w:rPr>
              <w:t>Supplemental Operating Data - Australian Segment</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Accomodation revenue (1)</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29,966</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28,607</w:t>
            </w:r>
          </w:p>
        </w:tc>
        <w:tc>
          <w:tcPr>
            <w:tcW w:w="8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57,664</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55,623</w:t>
            </w:r>
          </w:p>
        </w:tc>
      </w:tr>
      <w:tr>
        <w:trPr>
          <w:trHeight w:val="275"/>
        </w:trPr>
        <w:tc>
          <w:tcPr>
            <w:tcW w:w="5300" w:type="dxa"/>
            <w:vAlign w:val="bottom"/>
          </w:tcPr>
          <w:p>
            <w:pPr>
              <w:ind w:left="100"/>
              <w:spacing w:after="0"/>
              <w:rPr>
                <w:sz w:val="20"/>
                <w:szCs w:val="20"/>
                <w:color w:val="auto"/>
              </w:rPr>
            </w:pPr>
            <w:r>
              <w:rPr>
                <w:rFonts w:ascii="Arial" w:cs="Arial" w:eastAsia="Arial" w:hAnsi="Arial"/>
                <w:sz w:val="22"/>
                <w:szCs w:val="22"/>
                <w:color w:val="auto"/>
              </w:rPr>
              <w:t>Catering and other services revenue (3)</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611</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788</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w:t>
            </w:r>
          </w:p>
        </w:tc>
      </w:tr>
      <w:tr>
        <w:trPr>
          <w:trHeight w:val="272"/>
        </w:trPr>
        <w:tc>
          <w:tcPr>
            <w:tcW w:w="5300" w:type="dxa"/>
            <w:vAlign w:val="bottom"/>
          </w:tcPr>
          <w:p>
            <w:pPr>
              <w:ind w:left="240"/>
              <w:spacing w:after="0"/>
              <w:rPr>
                <w:sz w:val="20"/>
                <w:szCs w:val="20"/>
                <w:color w:val="auto"/>
              </w:rPr>
            </w:pPr>
            <w:r>
              <w:rPr>
                <w:rFonts w:ascii="Arial" w:cs="Arial" w:eastAsia="Arial" w:hAnsi="Arial"/>
                <w:sz w:val="22"/>
                <w:szCs w:val="22"/>
                <w:color w:val="auto"/>
              </w:rPr>
              <w:t>Total Australian revenues</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30,577</w:t>
            </w:r>
          </w:p>
        </w:tc>
        <w:tc>
          <w:tcPr>
            <w:tcW w:w="8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28,607</w:t>
            </w:r>
          </w:p>
        </w:tc>
        <w:tc>
          <w:tcPr>
            <w:tcW w:w="8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58,452</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55,623</w:t>
            </w:r>
          </w:p>
        </w:tc>
      </w:tr>
      <w:tr>
        <w:trPr>
          <w:trHeight w:val="532"/>
        </w:trPr>
        <w:tc>
          <w:tcPr>
            <w:tcW w:w="5300" w:type="dxa"/>
            <w:vAlign w:val="bottom"/>
          </w:tcPr>
          <w:p>
            <w:pPr>
              <w:ind w:left="100"/>
              <w:spacing w:after="0"/>
              <w:rPr>
                <w:sz w:val="20"/>
                <w:szCs w:val="20"/>
                <w:color w:val="auto"/>
              </w:rPr>
            </w:pPr>
            <w:r>
              <w:rPr>
                <w:rFonts w:ascii="Arial" w:cs="Arial" w:eastAsia="Arial" w:hAnsi="Arial"/>
                <w:sz w:val="22"/>
                <w:szCs w:val="22"/>
                <w:color w:val="auto"/>
              </w:rPr>
              <w:t>Average available village rooms (5)</w:t>
            </w:r>
          </w:p>
        </w:tc>
        <w:tc>
          <w:tcPr>
            <w:tcW w:w="2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9,346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9,386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9,346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9,386</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Rentable rooms (6)</w:t>
            </w:r>
          </w:p>
        </w:tc>
        <w:tc>
          <w:tcPr>
            <w:tcW w:w="2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8,735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8,760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8,728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8,767</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Average daily rates (7)</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81</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Billed rooms (8)</w:t>
            </w:r>
          </w:p>
        </w:tc>
        <w:tc>
          <w:tcPr>
            <w:tcW w:w="2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376,369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358,393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717,948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689,601</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Occupancy in villages (9)</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Australian dollar to U.S. dollar</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0.757</w:t>
            </w:r>
          </w:p>
        </w:tc>
        <w:tc>
          <w:tcPr>
            <w:tcW w:w="8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ind w:right="152"/>
              <w:spacing w:after="0"/>
              <w:rPr>
                <w:sz w:val="20"/>
                <w:szCs w:val="20"/>
                <w:color w:val="auto"/>
              </w:rPr>
            </w:pPr>
            <w:r>
              <w:rPr>
                <w:rFonts w:ascii="Arial" w:cs="Arial" w:eastAsia="Arial" w:hAnsi="Arial"/>
                <w:sz w:val="22"/>
                <w:szCs w:val="22"/>
                <w:color w:val="auto"/>
              </w:rPr>
              <w:t>0.751</w:t>
            </w:r>
          </w:p>
        </w:tc>
        <w:tc>
          <w:tcPr>
            <w:tcW w:w="8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0.771</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0.755</w:t>
            </w:r>
          </w:p>
        </w:tc>
      </w:tr>
    </w:tbl>
    <w:p>
      <w:pPr>
        <w:spacing w:after="0" w:line="200" w:lineRule="exact"/>
        <w:rPr>
          <w:sz w:val="20"/>
          <w:szCs w:val="20"/>
          <w:color w:val="auto"/>
        </w:rPr>
      </w:pPr>
    </w:p>
    <w:p>
      <w:pPr>
        <w:spacing w:after="0" w:line="336" w:lineRule="exact"/>
        <w:rPr>
          <w:sz w:val="20"/>
          <w:szCs w:val="20"/>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revenues related to lodge, village and open camp rooms.</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revenues related to mobile camps.</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revenues related to catering and food services, laundry and water and wastewater treatment services.</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revenues related to modular construction and manufacturing services.</w:t>
      </w:r>
    </w:p>
    <w:p>
      <w:pPr>
        <w:spacing w:after="0" w:line="287" w:lineRule="exact"/>
        <w:rPr>
          <w:rFonts w:ascii="Arial" w:cs="Arial" w:eastAsia="Arial" w:hAnsi="Arial"/>
          <w:sz w:val="22"/>
          <w:szCs w:val="22"/>
          <w:color w:val="auto"/>
        </w:rPr>
      </w:pPr>
    </w:p>
    <w:p>
      <w:pPr>
        <w:ind w:left="20" w:right="58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right="6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Billed rooms represents total billed days.</w:t>
      </w:r>
    </w:p>
    <w:p>
      <w:pPr>
        <w:spacing w:after="0" w:line="287" w:lineRule="exact"/>
        <w:rPr>
          <w:rFonts w:ascii="Arial" w:cs="Arial" w:eastAsia="Arial" w:hAnsi="Arial"/>
          <w:sz w:val="22"/>
          <w:szCs w:val="22"/>
          <w:color w:val="auto"/>
        </w:rPr>
      </w:pPr>
    </w:p>
    <w:p>
      <w:pPr>
        <w:ind w:left="20" w:right="44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ectPr>
          <w:pgSz w:w="11900" w:h="16838" w:orient="portrait"/>
          <w:cols w:equalWidth="0" w:num="1">
            <w:col w:w="11180"/>
          </w:cols>
          <w:pgMar w:left="240" w:top="118"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ectPr>
          <w:pgSz w:w="11900" w:h="16838" w:orient="portrait"/>
          <w:cols w:equalWidth="0" w:num="1">
            <w:col w:w="11180"/>
          </w:cols>
          <w:pgMar w:left="240" w:top="118" w:right="479" w:bottom="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Senior Vice President &amp; Chief Financial Officer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Jeffrey Spittel</w:t>
      </w:r>
    </w:p>
    <w:p>
      <w:pPr>
        <w:spacing w:after="0" w:line="238" w:lineRule="auto"/>
        <w:rPr>
          <w:sz w:val="20"/>
          <w:szCs w:val="20"/>
          <w:color w:val="auto"/>
        </w:rPr>
      </w:pPr>
      <w:r>
        <w:rPr>
          <w:rFonts w:ascii="Arial" w:cs="Arial" w:eastAsia="Arial" w:hAnsi="Arial"/>
          <w:sz w:val="22"/>
          <w:szCs w:val="22"/>
          <w:color w:val="auto"/>
        </w:rPr>
        <w:t>FTI Consulting</w:t>
      </w: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2019-12-28T20:50:48Z</dcterms:created>
  <dcterms:modified xsi:type="dcterms:W3CDTF">2019-12-28T20:50:48Z</dcterms:modified>
</cp:coreProperties>
</file>