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NAVARRE RICHARD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27,788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Common share portion of annual retainer granted quarterly under the 2014 Equity Participation Plan of Civeo Corporation for service as Chairman of the Board of Directors.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November 19, 2020, Civeo effected a 1 for 12 reverse share split. All share counts on this Form 4 are represented on a post-split basis.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Bradley Dodson,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3886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2021-04-01T13:42:18Z</dcterms:created>
  <dcterms:modified xsi:type="dcterms:W3CDTF">2021-04-01T13:42:18Z</dcterms:modified>
</cp:coreProperties>
</file>