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30, 2025</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22"/>
          <w:szCs w:val="22"/>
          <w:color w:val="auto"/>
        </w:rPr>
        <w:t>On April 30, 2025, Civeo Corporation (“Civeo”) issued a press release announcing its financial condition and results of operations as of and for the quarter ended March 31, 2025.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644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Press Release dated April 30, 2025</w:t>
            </w:r>
          </w:p>
        </w:tc>
        <w:tc>
          <w:tcPr>
            <w:tcW w:w="644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30, 2025</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Civeo Reports First Quarter 2025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of $144.0 million, net loss of $9.8 million and Adjusted EBITDA of $12.7 million;</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Returned $6.8 million of capital to shareholders in the quarter through share repurchases and the quarterly dividend;</w:t>
      </w:r>
    </w:p>
    <w:p>
      <w:pPr>
        <w:ind w:left="660" w:right="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updates to its capital allocation framework, including the increase of Civeo’s share repurchase authorization from 10% to 20% of shares outstanding and the suspension of its quarterly cash dividend; and</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progress toward completing the previously announced acquisition of four villages in the Australian Bowen Basin, with the transaction expected to close in the second quarter of 2025.</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HOUSTON, April 30, 2025 (BUSINESS WIRE) -- Civeo Corporation (NYSE:CVEO) today reported financial and operating results for the first quarter ended March 31, 2025.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“Our first quarter results were consistent with our expectations; we continued to deliver topline growth in Australia supported by our recent</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integrated services contract award, and our operations in Canada continued to be impacted by macroeconomic headwinds that intensified in the first quarter,” said Bradley J. Dodson, Civeo's President and Chief Executive Officer. “In Australia, we continue to benefit from strong</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occupancy levels and customer activity across our owned villages, and we are pleased to be expanding our presence in the region to further capitalize on these favorable market dynamics. In Canada, we are taking decisive action to improve results, including by executing our previously announced plan to streamline Civeo’s cost structure. We will continue to take steps to reduce costs in the second and third quarters and remain focused on strategic initiatives to diversify our exposure from oil sands activity and increase the resilience of our business model.”</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Mr. Dodson added, “One of Civeo’s greatest attributes is its ability to generate positive free cash flow in various macroeconomic environments, as demonstrated by the positive free cash flow the Company has generated every year since its spin-off in 2014. Going forward, we are confident in Civeo’s ability to continue generating annual free cash flow through the cycle, driven by the same underlying principles that drove performance in our first decade: strong operational discipline coupled with minimal capital requirements to maintain the business. In addition, approximately two-thirds of our global revenue is generated from Asset Light: Catering and Facility management, as</w:t>
      </w:r>
    </w:p>
    <w:p>
      <w:pPr>
        <w:spacing w:after="0"/>
        <w:rPr>
          <w:sz w:val="20"/>
          <w:szCs w:val="20"/>
          <w:color w:val="auto"/>
        </w:rPr>
      </w:pPr>
      <w:r>
        <w:rPr>
          <w:rFonts w:ascii="Arial" w:cs="Arial" w:eastAsia="Arial" w:hAnsi="Arial"/>
          <w:sz w:val="17"/>
          <w:szCs w:val="17"/>
          <w:color w:val="auto"/>
        </w:rPr>
        <w:t>detailed in our supplemental disclosure. We do not believe the Company’s current valuation accurately reflects these attractive characteristics, and as such the Board of Directors has decided to rebalance our capital return mix to prioritize share repurchases as the sole</w:t>
      </w:r>
    </w:p>
    <w:p>
      <w:pPr>
        <w:spacing w:after="0" w:line="1" w:lineRule="exact"/>
        <w:rPr>
          <w:sz w:val="20"/>
          <w:szCs w:val="20"/>
          <w:color w:val="auto"/>
        </w:rPr>
      </w:pPr>
    </w:p>
    <w:p>
      <w:pPr>
        <w:jc w:val="both"/>
        <w:ind w:right="100"/>
        <w:spacing w:after="0" w:line="242" w:lineRule="auto"/>
        <w:rPr>
          <w:sz w:val="20"/>
          <w:szCs w:val="20"/>
          <w:color w:val="auto"/>
        </w:rPr>
      </w:pPr>
      <w:r>
        <w:rPr>
          <w:rFonts w:ascii="Arial" w:cs="Arial" w:eastAsia="Arial" w:hAnsi="Arial"/>
          <w:sz w:val="18"/>
          <w:szCs w:val="18"/>
          <w:color w:val="auto"/>
        </w:rPr>
        <w:t>vehicle for returning capital to shareholders. We are confident the updated capital allocation framework announced today will facilitate value creation while maintaining the Company’s strong balance sheet. We remain confident in Civeo’s strong long-term free cash flow profile and look forward to unlocking the Company’s potential and driving value creation for shareholders as we move forward.”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2025 Results</w:t>
      </w:r>
    </w:p>
    <w:p>
      <w:pPr>
        <w:spacing w:after="0" w:line="14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 the first quarter of 2025, Civeo generated revenues of $144.0 million and reported a net loss of $9.8 million, or $0.72 per diluted share. Despite solid growth and performance in Australia, the impact of seasonality, intensifying headwinds and restructuring efforts in Canada resulted in negative operating cash flow of $8.4 million and positive Adjusted EBITDA of $12.7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comparison, in the first quarter of 2024, Civeo generated revenues of $166.1 million and reported a net loss of $5.1 million, or $0.35 per</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diluted share. The Company's first quarter loss results included $7.8 million in costs associated with impairments on assets in Australia and the U.S. During the first quarter of 2024, Civeo produced operating cash flow of $6.0 million and Adjusted EBITDA of $17.8 million.</w:t>
      </w:r>
    </w:p>
    <w:p>
      <w:pPr>
        <w:spacing w:after="0" w:line="11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year-over-year decrease in Adjusted EBITDA in the first quarter of 2025 was primarily driven by decreased billed rooms at the Canadian lodges due to customer spending reductions in the Canadian oil sands region and the loss of occupancy related to the Fort Hills project as a result of the sale of McClelland Lake Lodge.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26"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first quarter of 2025 to the results for the first quarter of 2024.)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During the first quarter of 2025, the Australian segment generated revenues of $103.6 million, operating income of $12.6 million and Adjusted EBITDA of $20.5 million, compared to revenues of $91.7 million, operating income of</w:t>
      </w:r>
    </w:p>
    <w:p>
      <w:pPr>
        <w:sectPr>
          <w:pgSz w:w="11900" w:h="16838" w:orient="portrait"/>
          <w:cols w:equalWidth="0" w:num="1">
            <w:col w:w="11200"/>
          </w:cols>
          <w:pgMar w:left="320" w:top="889" w:right="379" w:bottom="1440" w:gutter="0" w:footer="0" w:header="0"/>
        </w:sectPr>
      </w:pPr>
    </w:p>
    <w:bookmarkStart w:id="5" w:name="page6"/>
    <w:bookmarkEnd w:id="5"/>
    <w:p>
      <w:pPr>
        <w:ind w:right="20"/>
        <w:spacing w:after="0" w:line="259" w:lineRule="auto"/>
        <w:rPr>
          <w:sz w:val="20"/>
          <w:szCs w:val="20"/>
          <w:color w:val="auto"/>
        </w:rPr>
      </w:pPr>
      <w:r>
        <w:rPr>
          <w:rFonts w:ascii="Arial" w:cs="Arial" w:eastAsia="Arial" w:hAnsi="Arial"/>
          <w:sz w:val="18"/>
          <w:szCs w:val="18"/>
          <w:color w:val="auto"/>
        </w:rPr>
        <w:t>$7.3 million and Adjusted EBITDA of $20.3 million in the first quarter of 2024. Results for the first quarter of 2025 include the impact of a weakened Australian dollar relative to the U.S. dollar, which decreased revenues and Adjusted EBITDA by $4.9 million and $1.0 million, respectively. Furthermore, free cash flow in the first quarter of 2025 was burdened by Australian cash taxes not incurred in the first quarter of 2024. Operating income for the first quarter of 2024 included asset impairment charges of $5.7 million of the aforementioned total impairment of $7.8 million.</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 from the Australian segment increased 13% period-over-period and Adjusted EBITDA was relatively flat. The year-over-year revenue increase was primarily driven by an increase in integrated services activity related to the previously announced six-year A$1.4 billion contract.</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February 19, 2025, Civeo announced that it had entered into an agreement to acquire four villages and associated take-or-pay contracts in the Australian Bowen Basin. The Company continues to expect this acquisition to close in the second quarter of 2025, subject to regulatory approvals and customary closing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the first quarter of 2025, the Canadian segment generated revenues of $40.4 million, an operating loss of $10.0 million and negative Adjusted EBITDA of $0.2 million, compared to revenues of $67.2 million, operating income of $1.7 million and Adjusted EBITDA of $5.7 million in the first quarter of 2024.</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Lodge occupancy in the Canadian oil sands region remains challenged as customers continue to reduce capital and operational spending. In the first quarter of 2025, the Canadian segment experienced a 40% period-over-period decrease in revenues driven by lower billed rooms in the Canadian lodges as a result of these customer spending reductions and the loss of occupancy related to the Fort Hills project as a result of the sale of McClelland Lake Lodge. The Company expects customer spending in the region to remain constrained and is taking decisive action to manage these headwinds.</w:t>
      </w:r>
    </w:p>
    <w:p>
      <w:pPr>
        <w:spacing w:after="0" w:line="19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first quarter of 2025, the Company reduced its Canadian employee headcount by approximately 25% and recorded a restructuring charge of approximately $1.0 million, which has been added back to Adjusted EBITDA. In light of the deteriorating macroeconomic factors influencing the global oil market, the Company is implementing further cost cutting actions throughout 2025 including cold shutting two lodges. The Company currently expects to record approximately $1.0 million in restructuring charges in the second quarter of 2025. In</w:t>
      </w:r>
    </w:p>
    <w:p>
      <w:pPr>
        <w:ind w:right="1000"/>
        <w:spacing w:after="0" w:line="237" w:lineRule="auto"/>
        <w:rPr>
          <w:sz w:val="20"/>
          <w:szCs w:val="20"/>
          <w:color w:val="auto"/>
        </w:rPr>
      </w:pPr>
      <w:r>
        <w:rPr>
          <w:rFonts w:ascii="Arial" w:cs="Arial" w:eastAsia="Arial" w:hAnsi="Arial"/>
          <w:sz w:val="18"/>
          <w:szCs w:val="18"/>
          <w:color w:val="auto"/>
        </w:rPr>
        <w:t xml:space="preserve">addition, the Company has engaged a third-party consultant to assist in its efforts to streamline its North American cost structure. </w:t>
      </w:r>
      <w:r>
        <w:rPr>
          <w:rFonts w:ascii="Arial" w:cs="Arial" w:eastAsia="Arial" w:hAnsi="Arial"/>
          <w:sz w:val="18"/>
          <w:szCs w:val="18"/>
          <w:u w:val="single" w:color="auto"/>
          <w:color w:val="auto"/>
        </w:rPr>
        <w:t>Financial Condition</w:t>
      </w:r>
    </w:p>
    <w:p>
      <w:pPr>
        <w:spacing w:after="0" w:line="12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of March 31, 2025, Civeo had total liquidity of approximately $ 162.2 million. Civeo's total debt on March 31, 2025 was $87.4 million, a $44.1 million increase from December 31, 2024. Civeo's net debt on March 31, 2025 was $59.0 million, a $20.9 million increase since December 31, 2024.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Civeo reported a net leverage ratio of 0.8x as of March 31, 2025.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2025, Civeo repurchased approximately 153,000 shares for approximately $3.3 million.</w:t>
      </w:r>
    </w:p>
    <w:p>
      <w:pPr>
        <w:spacing w:after="0" w:line="239"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During the first quarter of 2025, Civeo invested $5.3 million in capital expenditures compared to $5.6 million invested during the first quarter of 2024. Capital expenditures in both periods were primarily related to maintenance spending on the Company’s lodges and villages.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Updated Capital Allocation Framework</w:t>
      </w:r>
    </w:p>
    <w:p>
      <w:pPr>
        <w:spacing w:after="0" w:line="23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Civeo also announced changes to its capital allocation strategy to accelerate the return of capital to investors and drive long-term shareholder value, while preserving financial flexibility given current macroeconomic and geopolitical uncertainties. The updated capital allocation framework reflects a thorough review conducted by the Company’s Board and management team as well as extensive shareholder engagement.</w:t>
      </w:r>
    </w:p>
    <w:p>
      <w:pPr>
        <w:spacing w:after="0" w:line="20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Board has authorized an increase to the Company’s previously announced share repurchase program, increasing the authorization to allow for the repurchase of up to 20% of the Company’s total shares (up from 10%). Civeo intends to use 100% of free cash flow to complete this authorization as soon as practicable. After the newly increased authorization is complete, the Company intends to utilize at least 75% of</w:t>
      </w:r>
    </w:p>
    <w:p>
      <w:pPr>
        <w:spacing w:after="0" w:line="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its free cash flow on an annual basis to continue repurchasing shares. The Company expects to primarily utilize open market purchases to execute</w:t>
      </w:r>
    </w:p>
    <w:p>
      <w:pPr>
        <w:sectPr>
          <w:pgSz w:w="11900" w:h="16838" w:orient="portrait"/>
          <w:cols w:equalWidth="0" w:num="1">
            <w:col w:w="11240"/>
          </w:cols>
          <w:pgMar w:left="320" w:top="890" w:right="339" w:bottom="1440" w:gutter="0" w:footer="0" w:header="0"/>
        </w:sectPr>
      </w:pPr>
    </w:p>
    <w:bookmarkStart w:id="6" w:name="page7"/>
    <w:bookmarkEnd w:id="6"/>
    <w:p>
      <w:pPr>
        <w:ind w:right="720"/>
        <w:spacing w:after="0" w:line="271" w:lineRule="auto"/>
        <w:rPr>
          <w:sz w:val="20"/>
          <w:szCs w:val="20"/>
          <w:color w:val="auto"/>
        </w:rPr>
      </w:pPr>
      <w:r>
        <w:rPr>
          <w:rFonts w:ascii="Arial" w:cs="Arial" w:eastAsia="Arial" w:hAnsi="Arial"/>
          <w:sz w:val="18"/>
          <w:szCs w:val="18"/>
          <w:color w:val="auto"/>
        </w:rPr>
        <w:t>its current share repurchase authorization; however, the Company continues to evaluate expedited methods of repurchasing shares, including but not limited to a tender offer, to augment its open market purchases.</w:t>
      </w:r>
    </w:p>
    <w:p>
      <w:pPr>
        <w:spacing w:after="0" w:line="181"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In connection with these updates, the Board of Directors is also suspending the Company’s cash dividend previously paid to shareholders on a quarterly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2025 Guidance</w:t>
      </w:r>
    </w:p>
    <w:p>
      <w:pPr>
        <w:spacing w:after="0" w:line="131"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For the full year of 2025, Civeo is lowering its revenue and Adjusted EBITDA guidance ranges to $620 million to $650 million and $75 million to $85 million, respectively. The Company’s previous 2025 revenue and Adjusted EBITDA guidance ranges were $630 million to $660 million of revenues and $80 million to $90 million of Adjusted EBITDA.</w:t>
      </w:r>
    </w:p>
    <w:p>
      <w:pPr>
        <w:spacing w:after="0" w:line="19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Company is lowering its full year 2025 capital expenditure guidance to a range of $20 million to $25 million. The Company’s previous 2025 capital expenditure guidance range was $25 million to $30 million.</w:t>
      </w:r>
    </w:p>
    <w:p>
      <w:pPr>
        <w:spacing w:after="0" w:line="18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This outlook excludes the impact of the Australian asset acquisition, which is expected to close by the end of the second quarter subject to regulatory approvals and customary closing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3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Civeo will host a conference call to discuss its first quarter 2025 financial results today at 8:30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13753431#. A replay will be available after the call by dialing (844) 512-2921 in the United States or (412) 317-6671 internationally and using the conference ID 13753431#.</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Australian natural resource and Canadian oil sands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24 lodges and villages in Australia and North America with an aggregate of approximately 26,000 rooms. In addition, Civeo operates and provides hospitality services at 22 customer-owned locations with more than 18,000 rooms. Civeo is publicly traded under the symbol CVEO on the New York Stock Exchange. For more information, please visit Civeo's website at www.civeo.com.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2000"/>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expectations with respect to Adjusted EBITDA, capital expenditures, future revenues, share repurchases, free cash flow generation, cost reductions, closing of the Australian asset acquisition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w:t>
      </w:r>
    </w:p>
    <w:p>
      <w:pPr>
        <w:sectPr>
          <w:pgSz w:w="11900" w:h="16838" w:orient="portrait"/>
          <w:cols w:equalWidth="0" w:num="1">
            <w:col w:w="11240"/>
          </w:cols>
          <w:pgMar w:left="320" w:top="877" w:right="339" w:bottom="1440" w:gutter="0" w:footer="0" w:header="0"/>
        </w:sectPr>
      </w:pPr>
    </w:p>
    <w:bookmarkStart w:id="7" w:name="page8"/>
    <w:bookmarkEnd w:id="7"/>
    <w:p>
      <w:pPr>
        <w:spacing w:after="0" w:line="256" w:lineRule="auto"/>
        <w:rPr>
          <w:sz w:val="20"/>
          <w:szCs w:val="20"/>
          <w:color w:val="auto"/>
        </w:rPr>
      </w:pPr>
      <w:r>
        <w:rPr>
          <w:rFonts w:ascii="Arial" w:cs="Arial" w:eastAsia="Arial" w:hAnsi="Arial"/>
          <w:sz w:val="18"/>
          <w:szCs w:val="18"/>
          <w:color w:val="auto"/>
        </w:rPr>
        <w:t>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58" w:lineRule="exact"/>
        <w:rPr>
          <w:sz w:val="20"/>
          <w:szCs w:val="20"/>
          <w:color w:val="auto"/>
        </w:rPr>
      </w:pPr>
    </w:p>
    <w:p>
      <w:pPr>
        <w:ind w:right="1800"/>
        <w:spacing w:after="0" w:line="255"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000"/>
          </w:cols>
          <w:pgMar w:left="320" w:top="890" w:right="5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8"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Three Months Ended</w:t>
      </w:r>
    </w:p>
    <w:p>
      <w:pPr>
        <w:jc w:val="center"/>
        <w:ind w:left="4500"/>
        <w:spacing w:after="0"/>
        <w:rPr>
          <w:sz w:val="20"/>
          <w:szCs w:val="20"/>
          <w:color w:val="auto"/>
        </w:rPr>
      </w:pPr>
      <w:r>
        <w:rPr>
          <w:rFonts w:ascii="Arial" w:cs="Arial" w:eastAsia="Arial" w:hAnsi="Arial"/>
          <w:sz w:val="14"/>
          <w:szCs w:val="14"/>
          <w:b w:val="1"/>
          <w:bCs w:val="1"/>
          <w:color w:val="auto"/>
        </w:rPr>
        <w:t>March 31,</w:t>
      </w:r>
    </w:p>
    <w:p>
      <w:pPr>
        <w:spacing w:after="0" w:line="95" w:lineRule="exact"/>
        <w:rPr>
          <w:sz w:val="20"/>
          <w:szCs w:val="20"/>
          <w:color w:val="auto"/>
        </w:rPr>
      </w:pPr>
    </w:p>
    <w:tbl>
      <w:tblPr>
        <w:tblLayout w:type="fixed"/>
        <w:tblInd w:w="106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2024</w:t>
            </w:r>
          </w:p>
        </w:tc>
      </w:tr>
      <w:tr>
        <w:trPr>
          <w:trHeight w:val="500"/>
        </w:trPr>
        <w:tc>
          <w:tcPr>
            <w:tcW w:w="4500" w:type="dxa"/>
            <w:vAlign w:val="bottom"/>
          </w:tcPr>
          <w:p>
            <w:pPr>
              <w:spacing w:after="0"/>
              <w:rPr>
                <w:sz w:val="20"/>
                <w:szCs w:val="20"/>
                <w:color w:val="auto"/>
              </w:rPr>
            </w:pPr>
            <w:r>
              <w:rPr>
                <w:rFonts w:ascii="Arial" w:cs="Arial" w:eastAsia="Arial" w:hAnsi="Arial"/>
                <w:sz w:val="14"/>
                <w:szCs w:val="14"/>
                <w:color w:val="auto"/>
              </w:rPr>
              <w:t>Revenues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144,044</w:t>
            </w:r>
          </w:p>
        </w:tc>
        <w:tc>
          <w:tcPr>
            <w:tcW w:w="1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166,120</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Costs and expenses: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114,615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130,445</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18,185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18,640</w:t>
            </w: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16,253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16,770</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7,823</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Gain on sale of McClelland Lake Lodge assets, net</w:t>
            </w:r>
          </w:p>
        </w:tc>
        <w:tc>
          <w:tcPr>
            <w:tcW w:w="3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(6,075)</w:t>
            </w:r>
          </w:p>
        </w:tc>
      </w:tr>
      <w:tr>
        <w:trPr>
          <w:trHeight w:val="261"/>
        </w:trPr>
        <w:tc>
          <w:tcPr>
            <w:tcW w:w="450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507</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w:t>
            </w:r>
          </w:p>
        </w:tc>
      </w:tr>
      <w:tr>
        <w:trPr>
          <w:trHeight w:val="236"/>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149,560</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167,901</w:t>
            </w:r>
          </w:p>
        </w:tc>
      </w:tr>
      <w:tr>
        <w:trPr>
          <w:trHeight w:val="233"/>
        </w:trPr>
        <w:tc>
          <w:tcPr>
            <w:tcW w:w="4500" w:type="dxa"/>
            <w:vAlign w:val="bottom"/>
          </w:tcPr>
          <w:p>
            <w:pPr>
              <w:spacing w:after="0"/>
              <w:rPr>
                <w:sz w:val="20"/>
                <w:szCs w:val="20"/>
                <w:color w:val="auto"/>
              </w:rPr>
            </w:pPr>
            <w:r>
              <w:rPr>
                <w:rFonts w:ascii="Arial" w:cs="Arial" w:eastAsia="Arial" w:hAnsi="Arial"/>
                <w:sz w:val="14"/>
                <w:szCs w:val="14"/>
                <w:color w:val="auto"/>
              </w:rPr>
              <w:t>Operating loss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(5,516)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(1,781)</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(2,360)</w:t>
            </w:r>
          </w:p>
        </w:tc>
      </w:tr>
      <w:tr>
        <w:trPr>
          <w:trHeight w:val="257"/>
        </w:trPr>
        <w:tc>
          <w:tcPr>
            <w:tcW w:w="4500" w:type="dxa"/>
            <w:vAlign w:val="bottom"/>
          </w:tcPr>
          <w:p>
            <w:pPr>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43</w:t>
            </w:r>
          </w:p>
        </w:tc>
      </w:tr>
      <w:tr>
        <w:trPr>
          <w:trHeight w:val="260"/>
        </w:trPr>
        <w:tc>
          <w:tcPr>
            <w:tcW w:w="4500" w:type="dxa"/>
            <w:vAlign w:val="bottom"/>
          </w:tcPr>
          <w:p>
            <w:pPr>
              <w:spacing w:after="0"/>
              <w:rPr>
                <w:sz w:val="20"/>
                <w:szCs w:val="20"/>
                <w:color w:val="auto"/>
              </w:rPr>
            </w:pPr>
            <w:r>
              <w:rPr>
                <w:rFonts w:ascii="Arial" w:cs="Arial" w:eastAsia="Arial" w:hAnsi="Arial"/>
                <w:sz w:val="14"/>
                <w:szCs w:val="14"/>
                <w:color w:val="auto"/>
              </w:rPr>
              <w:t>Other income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w:t>
            </w:r>
          </w:p>
        </w:tc>
      </w:tr>
      <w:tr>
        <w:trPr>
          <w:trHeight w:val="233"/>
        </w:trPr>
        <w:tc>
          <w:tcPr>
            <w:tcW w:w="4500" w:type="dxa"/>
            <w:vAlign w:val="bottom"/>
          </w:tcPr>
          <w:p>
            <w:pPr>
              <w:ind w:left="120"/>
              <w:spacing w:after="0"/>
              <w:rPr>
                <w:sz w:val="20"/>
                <w:szCs w:val="20"/>
                <w:color w:val="auto"/>
              </w:rPr>
            </w:pPr>
            <w:r>
              <w:rPr>
                <w:rFonts w:ascii="Arial" w:cs="Arial" w:eastAsia="Arial" w:hAnsi="Arial"/>
                <w:sz w:val="14"/>
                <w:szCs w:val="14"/>
                <w:color w:val="auto"/>
              </w:rPr>
              <w:t>Loss before income taxes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(6,762)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(3,645)</w:t>
            </w:r>
          </w:p>
        </w:tc>
      </w:tr>
      <w:tr>
        <w:trPr>
          <w:trHeight w:val="261"/>
        </w:trPr>
        <w:tc>
          <w:tcPr>
            <w:tcW w:w="4500" w:type="dxa"/>
            <w:vAlign w:val="bottom"/>
          </w:tcPr>
          <w:p>
            <w:pPr>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(3,088)</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w:t>
            </w:r>
          </w:p>
        </w:tc>
      </w:tr>
      <w:tr>
        <w:trPr>
          <w:trHeight w:val="232"/>
        </w:trPr>
        <w:tc>
          <w:tcPr>
            <w:tcW w:w="4500" w:type="dxa"/>
            <w:vAlign w:val="bottom"/>
          </w:tcPr>
          <w:p>
            <w:pPr>
              <w:spacing w:after="0"/>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(5,196)</w:t>
            </w:r>
          </w:p>
        </w:tc>
      </w:tr>
      <w:tr>
        <w:trPr>
          <w:trHeight w:val="261"/>
        </w:trPr>
        <w:tc>
          <w:tcPr>
            <w:tcW w:w="4500" w:type="dxa"/>
            <w:vAlign w:val="bottom"/>
          </w:tcPr>
          <w:p>
            <w:pPr>
              <w:ind w:left="120"/>
              <w:spacing w:after="0"/>
              <w:rPr>
                <w:sz w:val="20"/>
                <w:szCs w:val="20"/>
                <w:color w:val="auto"/>
              </w:rPr>
            </w:pPr>
            <w:r>
              <w:rPr>
                <w:rFonts w:ascii="Arial" w:cs="Arial" w:eastAsia="Arial" w:hAnsi="Arial"/>
                <w:sz w:val="14"/>
                <w:szCs w:val="14"/>
                <w:color w:val="auto"/>
              </w:rPr>
              <w:t>Less: Net income (loss) attributable to noncontrolling interest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213"/>
        </w:trPr>
        <w:tc>
          <w:tcPr>
            <w:tcW w:w="450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(5,133)</w:t>
            </w:r>
          </w:p>
        </w:tc>
      </w:tr>
      <w:tr>
        <w:trPr>
          <w:trHeight w:val="21"/>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71"/>
        </w:trPr>
        <w:tc>
          <w:tcPr>
            <w:tcW w:w="4840" w:type="dxa"/>
            <w:vAlign w:val="bottom"/>
            <w:gridSpan w:val="2"/>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(0.72)</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(0.35)</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(0.72)</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(0.35)</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13,600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14,655</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13,600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14,655</w:t>
            </w:r>
          </w:p>
        </w:tc>
      </w:tr>
    </w:tbl>
    <w:p>
      <w:pPr>
        <w:sectPr>
          <w:pgSz w:w="11900" w:h="16838" w:orient="portrait"/>
          <w:cols w:equalWidth="0" w:num="1">
            <w:col w:w="9019"/>
          </w:cols>
          <w:pgMar w:left="1440" w:top="890"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March 31, 2025</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28,372</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5,204</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93,636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89,038</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5,736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7,537</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8,674</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134,439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110,453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195,617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204,897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7,051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7,001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65,288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66,502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13,296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9,401</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6,818</w:t>
            </w:r>
          </w:p>
        </w:tc>
        <w:tc>
          <w:tcPr>
            <w:tcW w:w="0" w:type="dxa"/>
            <w:vAlign w:val="bottom"/>
          </w:tcPr>
          <w:p>
            <w:pPr>
              <w:spacing w:after="0"/>
              <w:rPr>
                <w:sz w:val="1"/>
                <w:szCs w:val="1"/>
                <w:color w:val="auto"/>
              </w:rPr>
            </w:pPr>
          </w:p>
        </w:tc>
      </w:tr>
      <w:tr>
        <w:trPr>
          <w:trHeight w:val="211"/>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423,752</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405,072</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38,695</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39,971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26,076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34,933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8,888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10,853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2,578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81,146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92,646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87,367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43,299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3,071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3,558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10,035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6,655</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21,916</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203,014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168,074</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1,632,420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1,631,823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(997,400)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(980,720)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(10,775)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(10,130)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(403,507)</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(404,600)</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220,738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236,373</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220,738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236,998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423,752</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405,072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Three Months Ended</w:t>
      </w:r>
    </w:p>
    <w:p>
      <w:pPr>
        <w:jc w:val="center"/>
        <w:ind w:left="580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(9,850)</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(5,196)</w:t>
            </w:r>
          </w:p>
        </w:tc>
      </w:tr>
      <w:tr>
        <w:trPr>
          <w:trHeight w:val="418"/>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16,253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16,770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7,823</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(6,065)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for credit losses, net of recoveries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(4,156)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7,387</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(9,835)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(21,205)</w:t>
            </w:r>
          </w:p>
        </w:tc>
      </w:tr>
      <w:tr>
        <w:trPr>
          <w:trHeight w:val="256"/>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3,791</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4,180</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operating activities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(8,445)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5,985</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(5,271)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(5,613)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6,778</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investing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(5,104)</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1,165</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44,166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14,596</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(3,707)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(3,208)</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financing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36,625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6,614</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23,168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13,429</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5,204</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28,372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16,752</w:t>
            </w:r>
          </w:p>
        </w:tc>
      </w:tr>
      <w:tr>
        <w:trPr>
          <w:trHeight w:val="21"/>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78" w:lineRule="exact"/>
        <w:rPr>
          <w:sz w:val="20"/>
          <w:szCs w:val="20"/>
          <w:color w:val="auto"/>
        </w:rPr>
      </w:pPr>
    </w:p>
    <w:p>
      <w:pPr>
        <w:jc w:val="center"/>
        <w:ind w:left="3540"/>
        <w:spacing w:after="0"/>
        <w:rPr>
          <w:sz w:val="20"/>
          <w:szCs w:val="20"/>
          <w:color w:val="auto"/>
        </w:rPr>
      </w:pPr>
      <w:r>
        <w:rPr>
          <w:rFonts w:ascii="Arial" w:cs="Arial" w:eastAsia="Arial" w:hAnsi="Arial"/>
          <w:sz w:val="16"/>
          <w:szCs w:val="16"/>
          <w:b w:val="1"/>
          <w:bCs w:val="1"/>
          <w:color w:val="auto"/>
        </w:rPr>
        <w:t>Three Months Ended</w:t>
      </w:r>
    </w:p>
    <w:p>
      <w:pPr>
        <w:jc w:val="center"/>
        <w:ind w:left="354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130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103,646</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91,737</w:t>
            </w: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40,398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67,160</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7,223</w:t>
            </w:r>
          </w:p>
        </w:tc>
        <w:tc>
          <w:tcPr>
            <w:tcW w:w="0" w:type="dxa"/>
            <w:vAlign w:val="bottom"/>
          </w:tcPr>
          <w:p>
            <w:pPr>
              <w:spacing w:after="0"/>
              <w:rPr>
                <w:sz w:val="1"/>
                <w:szCs w:val="1"/>
                <w:color w:val="auto"/>
              </w:rPr>
            </w:pPr>
          </w:p>
        </w:tc>
      </w:tr>
      <w:tr>
        <w:trPr>
          <w:trHeight w:val="211"/>
        </w:trPr>
        <w:tc>
          <w:tcPr>
            <w:tcW w:w="354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144,044</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166,120</w:t>
            </w:r>
          </w:p>
        </w:tc>
        <w:tc>
          <w:tcPr>
            <w:tcW w:w="0" w:type="dxa"/>
            <w:vAlign w:val="bottom"/>
          </w:tcPr>
          <w:p>
            <w:pPr>
              <w:spacing w:after="0"/>
              <w:rPr>
                <w:sz w:val="1"/>
                <w:szCs w:val="1"/>
                <w:color w:val="auto"/>
              </w:rPr>
            </w:pPr>
          </w:p>
        </w:tc>
      </w:tr>
      <w:tr>
        <w:trPr>
          <w:trHeight w:val="21"/>
        </w:trPr>
        <w:tc>
          <w:tcPr>
            <w:tcW w:w="354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20,440</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14,522</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11,619</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(10,636)</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11,092</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15,505</w:t>
            </w:r>
          </w:p>
        </w:tc>
        <w:tc>
          <w:tcPr>
            <w:tcW w:w="0" w:type="dxa"/>
            <w:vAlign w:val="bottom"/>
          </w:tcPr>
          <w:p>
            <w:pPr>
              <w:spacing w:after="0"/>
              <w:rPr>
                <w:sz w:val="1"/>
                <w:szCs w:val="1"/>
                <w:color w:val="auto"/>
              </w:rPr>
            </w:pPr>
          </w:p>
        </w:tc>
      </w:tr>
      <w:tr>
        <w:trPr>
          <w:trHeight w:val="21"/>
        </w:trPr>
        <w:tc>
          <w:tcPr>
            <w:tcW w:w="354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20,485</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20,338</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5,683</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(8,219)</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12,655</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12,639</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7,288</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(10,029)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(10,774)</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(5,516)</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5" w:right="1440" w:bottom="1440" w:gutter="0" w:footer="0" w:header="0"/>
        </w:sectPr>
      </w:pPr>
    </w:p>
    <w:bookmarkStart w:id="12" w:name="page13"/>
    <w:bookmarkEnd w:id="12"/>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tbl>
      <w:tblPr>
        <w:tblLayout w:type="fixed"/>
        <w:tblInd w:w="2512" w:type="dxa"/>
        <w:tblCellMar>
          <w:top w:w="0" w:type="dxa"/>
          <w:left w:w="0" w:type="dxa"/>
          <w:bottom w:w="0" w:type="dxa"/>
          <w:right w:w="0" w:type="dxa"/>
        </w:tblCellMar>
      </w:tblPr>
      <w:tr>
        <w:trPr>
          <w:trHeight w:val="223"/>
        </w:trPr>
        <w:tc>
          <w:tcPr>
            <w:tcW w:w="3780" w:type="dxa"/>
            <w:vAlign w:val="bottom"/>
          </w:tcPr>
          <w:p>
            <w:pPr>
              <w:ind w:left="266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1"/>
        </w:trPr>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Pr>
          <w:p>
            <w:pPr>
              <w:spacing w:after="0"/>
              <w:rPr>
                <w:sz w:val="19"/>
                <w:szCs w:val="19"/>
                <w:color w:val="auto"/>
              </w:rPr>
            </w:pPr>
          </w:p>
        </w:tc>
      </w:tr>
      <w:tr>
        <w:trPr>
          <w:trHeight w:val="263"/>
        </w:trPr>
        <w:tc>
          <w:tcPr>
            <w:tcW w:w="37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r>
      <w:tr>
        <w:trPr>
          <w:trHeight w:val="250"/>
        </w:trPr>
        <w:tc>
          <w:tcPr>
            <w:tcW w:w="37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1"/>
        </w:trPr>
        <w:tc>
          <w:tcPr>
            <w:tcW w:w="37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37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46,823</w:t>
            </w:r>
          </w:p>
        </w:tc>
        <w:tc>
          <w:tcPr>
            <w:tcW w:w="18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47,107</w:t>
            </w:r>
          </w:p>
        </w:tc>
      </w:tr>
      <w:tr>
        <w:trPr>
          <w:trHeight w:val="271"/>
        </w:trPr>
        <w:tc>
          <w:tcPr>
            <w:tcW w:w="37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56,823</w:t>
            </w:r>
          </w:p>
        </w:tc>
        <w:tc>
          <w:tcPr>
            <w:tcW w:w="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44,630</w:t>
            </w:r>
          </w:p>
        </w:tc>
      </w:tr>
      <w:tr>
        <w:trPr>
          <w:trHeight w:val="249"/>
        </w:trPr>
        <w:tc>
          <w:tcPr>
            <w:tcW w:w="37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103,646</w:t>
            </w:r>
          </w:p>
        </w:tc>
        <w:tc>
          <w:tcPr>
            <w:tcW w:w="18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91,737</w:t>
            </w:r>
          </w:p>
        </w:tc>
      </w:tr>
      <w:tr>
        <w:trPr>
          <w:trHeight w:val="378"/>
        </w:trPr>
        <w:tc>
          <w:tcPr>
            <w:tcW w:w="37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37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23,071</w:t>
            </w:r>
          </w:p>
        </w:tc>
        <w:tc>
          <w:tcPr>
            <w:tcW w:w="18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22,594</w:t>
            </w:r>
          </w:p>
        </w:tc>
      </w:tr>
      <w:tr>
        <w:trPr>
          <w:trHeight w:val="270"/>
        </w:trPr>
        <w:tc>
          <w:tcPr>
            <w:tcW w:w="37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50,651</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40,904</w:t>
            </w:r>
          </w:p>
        </w:tc>
      </w:tr>
      <w:tr>
        <w:trPr>
          <w:trHeight w:val="271"/>
        </w:trPr>
        <w:tc>
          <w:tcPr>
            <w:tcW w:w="37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2,998</w:t>
            </w:r>
          </w:p>
        </w:tc>
        <w:tc>
          <w:tcPr>
            <w:tcW w:w="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w:t>
            </w:r>
          </w:p>
        </w:tc>
      </w:tr>
      <w:tr>
        <w:trPr>
          <w:trHeight w:val="249"/>
        </w:trPr>
        <w:tc>
          <w:tcPr>
            <w:tcW w:w="3780" w:type="dxa"/>
            <w:vAlign w:val="bottom"/>
          </w:tcPr>
          <w:p>
            <w:pPr>
              <w:ind w:left="660"/>
              <w:spacing w:after="0"/>
              <w:rPr>
                <w:sz w:val="20"/>
                <w:szCs w:val="20"/>
                <w:color w:val="auto"/>
              </w:rPr>
            </w:pPr>
            <w:r>
              <w:rPr>
                <w:rFonts w:ascii="Arial" w:cs="Arial" w:eastAsia="Arial" w:hAnsi="Arial"/>
                <w:sz w:val="16"/>
                <w:szCs w:val="16"/>
                <w:color w:val="auto"/>
              </w:rPr>
              <w:t>Total Australian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76,720</w:t>
            </w:r>
          </w:p>
        </w:tc>
        <w:tc>
          <w:tcPr>
            <w:tcW w:w="18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66,113</w:t>
            </w:r>
          </w:p>
        </w:tc>
      </w:tr>
      <w:tr>
        <w:trPr>
          <w:trHeight w:val="378"/>
        </w:trPr>
        <w:tc>
          <w:tcPr>
            <w:tcW w:w="37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78"/>
        </w:trPr>
        <w:tc>
          <w:tcPr>
            <w:tcW w:w="37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625,636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613,936</w:t>
            </w:r>
          </w:p>
        </w:tc>
      </w:tr>
      <w:tr>
        <w:trPr>
          <w:trHeight w:val="378"/>
        </w:trPr>
        <w:tc>
          <w:tcPr>
            <w:tcW w:w="37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0.628</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0.657</w:t>
            </w:r>
          </w:p>
        </w:tc>
      </w:tr>
      <w:tr>
        <w:trPr>
          <w:trHeight w:val="475"/>
        </w:trPr>
        <w:tc>
          <w:tcPr>
            <w:tcW w:w="37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02"/>
        </w:trPr>
        <w:tc>
          <w:tcPr>
            <w:tcW w:w="37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0"/>
        </w:trPr>
        <w:tc>
          <w:tcPr>
            <w:tcW w:w="37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33,436</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59,787</w:t>
            </w:r>
          </w:p>
        </w:tc>
      </w:tr>
      <w:tr>
        <w:trPr>
          <w:trHeight w:val="311"/>
        </w:trPr>
        <w:tc>
          <w:tcPr>
            <w:tcW w:w="37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994</w:t>
            </w:r>
          </w:p>
        </w:tc>
      </w:tr>
      <w:tr>
        <w:trPr>
          <w:trHeight w:val="311"/>
        </w:trPr>
        <w:tc>
          <w:tcPr>
            <w:tcW w:w="37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6,743</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6,379</w:t>
            </w:r>
          </w:p>
        </w:tc>
      </w:tr>
      <w:tr>
        <w:trPr>
          <w:trHeight w:val="290"/>
        </w:trPr>
        <w:tc>
          <w:tcPr>
            <w:tcW w:w="37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40,398</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67,160</w:t>
            </w:r>
          </w:p>
        </w:tc>
      </w:tr>
      <w:tr>
        <w:trPr>
          <w:trHeight w:val="418"/>
        </w:trPr>
        <w:tc>
          <w:tcPr>
            <w:tcW w:w="37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0"/>
        </w:trPr>
        <w:tc>
          <w:tcPr>
            <w:tcW w:w="37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28,865</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45,720</w:t>
            </w:r>
          </w:p>
        </w:tc>
      </w:tr>
      <w:tr>
        <w:trPr>
          <w:trHeight w:val="310"/>
        </w:trPr>
        <w:tc>
          <w:tcPr>
            <w:tcW w:w="37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2,651</w:t>
            </w:r>
          </w:p>
        </w:tc>
      </w:tr>
      <w:tr>
        <w:trPr>
          <w:trHeight w:val="311"/>
        </w:trPr>
        <w:tc>
          <w:tcPr>
            <w:tcW w:w="37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6,473</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6,140</w:t>
            </w:r>
          </w:p>
        </w:tc>
      </w:tr>
      <w:tr>
        <w:trPr>
          <w:trHeight w:val="271"/>
        </w:trPr>
        <w:tc>
          <w:tcPr>
            <w:tcW w:w="37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2,307</w:t>
            </w:r>
          </w:p>
        </w:tc>
        <w:tc>
          <w:tcPr>
            <w:tcW w:w="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w:t>
            </w:r>
          </w:p>
        </w:tc>
      </w:tr>
      <w:tr>
        <w:trPr>
          <w:trHeight w:val="249"/>
        </w:trPr>
        <w:tc>
          <w:tcPr>
            <w:tcW w:w="3780" w:type="dxa"/>
            <w:vAlign w:val="bottom"/>
          </w:tcPr>
          <w:p>
            <w:pPr>
              <w:ind w:left="660"/>
              <w:spacing w:after="0"/>
              <w:rPr>
                <w:sz w:val="20"/>
                <w:szCs w:val="20"/>
                <w:color w:val="auto"/>
              </w:rPr>
            </w:pPr>
            <w:r>
              <w:rPr>
                <w:rFonts w:ascii="Arial" w:cs="Arial" w:eastAsia="Arial" w:hAnsi="Arial"/>
                <w:sz w:val="16"/>
                <w:szCs w:val="16"/>
                <w:color w:val="auto"/>
              </w:rPr>
              <w:t>Total Canadian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37,645</w:t>
            </w:r>
          </w:p>
        </w:tc>
        <w:tc>
          <w:tcPr>
            <w:tcW w:w="18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57,257</w:t>
            </w:r>
          </w:p>
        </w:tc>
      </w:tr>
      <w:tr>
        <w:trPr>
          <w:trHeight w:val="324"/>
        </w:trPr>
        <w:tc>
          <w:tcPr>
            <w:tcW w:w="37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65"/>
        </w:trPr>
        <w:tc>
          <w:tcPr>
            <w:tcW w:w="37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358,697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610,032</w:t>
            </w:r>
          </w:p>
        </w:tc>
      </w:tr>
      <w:tr>
        <w:trPr>
          <w:trHeight w:val="378"/>
        </w:trPr>
        <w:tc>
          <w:tcPr>
            <w:tcW w:w="37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0.697</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0.741</w:t>
            </w:r>
          </w:p>
        </w:tc>
      </w:tr>
    </w:tbl>
    <w:p>
      <w:pPr>
        <w:spacing w:after="0" w:line="312" w:lineRule="exact"/>
        <w:rPr>
          <w:sz w:val="20"/>
          <w:szCs w:val="20"/>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food services,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52"/>
          </w:cols>
          <w:pgMar w:left="328" w:top="895" w:right="41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SUPPLEMENTAL OPERATIONS BY SERVICE TYPE BY REGION DATA</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(U.S. dollars in thousands)</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The following table sets forth certain supplemental data for our Australia and Canada segment revenues attributable to the asset-light (“Catering and Facility Management”) portion of the Company’s business and the asset-intensive (“Accommodations and Infrastructure”)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portion of the Company’s business. We provide Catering and Facility Management services to both customer-owned assets and Company-owned villages and lodges. When we provide Catering and Facility Management services to customer-owned assets, it is reflected in “Food and other services” in our Supplemental Quarterly Segment and Operating Data. However, when we provide those same services to customers at our owned villages and lodges, it is reflected in “Accommodation and other services”, which also includes the Accommodations and Infrastructure component of our owned villages and lodges. This is because we bill our customers in one combined rate for both Accommodations and Infrastructure services and Catering and Facility Management services at Company-owned villages and lodges.</w:t>
      </w:r>
    </w:p>
    <w:p>
      <w:pPr>
        <w:spacing w:after="0" w:line="19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purpose of the disclosure below is to disaggregate the embedded Catering and Facility Management revenues from the “Accommodation and other services” revenues associated with our owned villages and lodges that is included in our Supplemental Quarterly Segment and Operating Data. To do so, we apply a margin that is equal to Civeo’s margin in similar services we provide to customer-owned assets to the cost of sales that are associated with Catering and Facility Management services within “Accommodation and other services” for our owned villages and lodges. This table provides investors a supplemental view of the services provided by the Company which could assist with their valuation analysis.</w:t>
      </w:r>
    </w:p>
    <w:p>
      <w:pPr>
        <w:spacing w:after="0" w:line="243"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7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March 31, 2025</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4"/>
        </w:trPr>
        <w:tc>
          <w:tcPr>
            <w:tcW w:w="7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Australia</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Canada</w:t>
            </w:r>
          </w:p>
        </w:tc>
        <w:tc>
          <w:tcPr>
            <w:tcW w:w="2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2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158"/>
        </w:trPr>
        <w:tc>
          <w:tcPr>
            <w:tcW w:w="47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Revenues</w:t>
            </w: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6"/>
                <w:szCs w:val="16"/>
                <w:color w:val="auto"/>
              </w:rPr>
              <w:t>Asset Light: Catering and Facility management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102,308</w:t>
            </w:r>
          </w:p>
        </w:tc>
      </w:tr>
      <w:tr>
        <w:trPr>
          <w:trHeight w:val="217"/>
        </w:trPr>
        <w:tc>
          <w:tcPr>
            <w:tcW w:w="4760" w:type="dxa"/>
            <w:vAlign w:val="bottom"/>
            <w:gridSpan w:val="2"/>
          </w:tcPr>
          <w:p>
            <w:pPr>
              <w:spacing w:after="0"/>
              <w:rPr>
                <w:sz w:val="20"/>
                <w:szCs w:val="20"/>
                <w:color w:val="auto"/>
              </w:rPr>
            </w:pPr>
            <w:r>
              <w:rPr>
                <w:rFonts w:ascii="Arial" w:cs="Arial" w:eastAsia="Arial" w:hAnsi="Arial"/>
                <w:sz w:val="16"/>
                <w:szCs w:val="16"/>
                <w:color w:val="auto"/>
              </w:rPr>
              <w:t>Asset Intensive: Accommodations and Infrastructure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41,736</w:t>
            </w:r>
          </w:p>
        </w:tc>
      </w:tr>
      <w:tr>
        <w:trPr>
          <w:trHeight w:val="211"/>
        </w:trPr>
        <w:tc>
          <w:tcPr>
            <w:tcW w:w="476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103,646</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40,398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144,044</w:t>
            </w:r>
          </w:p>
        </w:tc>
      </w:tr>
      <w:tr>
        <w:trPr>
          <w:trHeight w:val="20"/>
        </w:trPr>
        <w:tc>
          <w:tcPr>
            <w:tcW w:w="7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35"/>
        </w:trPr>
        <w:tc>
          <w:tcPr>
            <w:tcW w:w="7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7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4"/>
        </w:trPr>
        <w:tc>
          <w:tcPr>
            <w:tcW w:w="7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Australia</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Canada</w:t>
            </w:r>
          </w:p>
        </w:tc>
        <w:tc>
          <w:tcPr>
            <w:tcW w:w="2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6"/>
                <w:szCs w:val="16"/>
                <w:color w:val="auto"/>
              </w:rPr>
            </w:pPr>
          </w:p>
        </w:tc>
        <w:tc>
          <w:tcPr>
            <w:tcW w:w="82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157"/>
        </w:trPr>
        <w:tc>
          <w:tcPr>
            <w:tcW w:w="476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Revenues</w:t>
            </w: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5"/>
        </w:trPr>
        <w:tc>
          <w:tcPr>
            <w:tcW w:w="4760" w:type="dxa"/>
            <w:vAlign w:val="bottom"/>
            <w:gridSpan w:val="2"/>
          </w:tcPr>
          <w:p>
            <w:pPr>
              <w:spacing w:after="0"/>
              <w:rPr>
                <w:sz w:val="20"/>
                <w:szCs w:val="20"/>
                <w:color w:val="auto"/>
              </w:rPr>
            </w:pPr>
            <w:r>
              <w:rPr>
                <w:rFonts w:ascii="Arial" w:cs="Arial" w:eastAsia="Arial" w:hAnsi="Arial"/>
                <w:sz w:val="16"/>
                <w:szCs w:val="16"/>
                <w:color w:val="auto"/>
              </w:rPr>
              <w:t>Asset Light: Catering and Facility management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103,584</w:t>
            </w:r>
          </w:p>
        </w:tc>
      </w:tr>
      <w:tr>
        <w:trPr>
          <w:trHeight w:val="217"/>
        </w:trPr>
        <w:tc>
          <w:tcPr>
            <w:tcW w:w="4760" w:type="dxa"/>
            <w:vAlign w:val="bottom"/>
            <w:gridSpan w:val="2"/>
          </w:tcPr>
          <w:p>
            <w:pPr>
              <w:spacing w:after="0"/>
              <w:rPr>
                <w:sz w:val="20"/>
                <w:szCs w:val="20"/>
                <w:color w:val="auto"/>
              </w:rPr>
            </w:pPr>
            <w:r>
              <w:rPr>
                <w:rFonts w:ascii="Arial" w:cs="Arial" w:eastAsia="Arial" w:hAnsi="Arial"/>
                <w:sz w:val="16"/>
                <w:szCs w:val="16"/>
                <w:color w:val="auto"/>
              </w:rPr>
              <w:t>Asset Intensive: Accommodations and Infrastructure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6,674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62,536</w:t>
            </w:r>
          </w:p>
        </w:tc>
      </w:tr>
      <w:tr>
        <w:trPr>
          <w:trHeight w:val="210"/>
        </w:trPr>
        <w:tc>
          <w:tcPr>
            <w:tcW w:w="476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91,737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7,223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166,120</w:t>
            </w:r>
          </w:p>
        </w:tc>
      </w:tr>
      <w:tr>
        <w:trPr>
          <w:trHeight w:val="20"/>
        </w:trPr>
        <w:tc>
          <w:tcPr>
            <w:tcW w:w="7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60"/>
          </w:cols>
          <w:pgMar w:left="320" w:top="895" w:right="419" w:bottom="1440" w:gutter="0" w:footer="0" w:header="0"/>
        </w:sectPr>
      </w:pPr>
    </w:p>
    <w:bookmarkStart w:id="14" w:name="page15"/>
    <w:bookmarkEnd w:id="14"/>
    <w:p>
      <w:pPr>
        <w:jc w:val="center"/>
        <w:ind w:right="-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5" w:lineRule="exact"/>
        <w:rPr>
          <w:sz w:val="20"/>
          <w:szCs w:val="20"/>
          <w:color w:val="auto"/>
        </w:rPr>
      </w:pPr>
    </w:p>
    <w:tbl>
      <w:tblPr>
        <w:tblLayout w:type="fixed"/>
        <w:tblInd w:w="2772"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Twelve Months</w:t>
            </w:r>
          </w:p>
        </w:tc>
      </w:tr>
      <w:tr>
        <w:trPr>
          <w:trHeight w:val="223"/>
        </w:trPr>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March 31,</w:t>
            </w:r>
          </w:p>
        </w:tc>
      </w:tr>
      <w:tr>
        <w:trPr>
          <w:trHeight w:val="263"/>
        </w:trPr>
        <w:tc>
          <w:tcPr>
            <w:tcW w:w="1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2025</w:t>
            </w:r>
          </w:p>
        </w:tc>
      </w:tr>
      <w:tr>
        <w:trPr>
          <w:trHeight w:val="518"/>
        </w:trPr>
        <w:tc>
          <w:tcPr>
            <w:tcW w:w="1760" w:type="dxa"/>
            <w:vAlign w:val="bottom"/>
          </w:tcPr>
          <w:p>
            <w:pPr>
              <w:spacing w:after="0"/>
              <w:rPr>
                <w:sz w:val="20"/>
                <w:szCs w:val="20"/>
                <w:color w:val="auto"/>
              </w:rPr>
            </w:pPr>
            <w:r>
              <w:rPr>
                <w:rFonts w:ascii="Arial" w:cs="Arial" w:eastAsia="Arial" w:hAnsi="Arial"/>
                <w:sz w:val="16"/>
                <w:szCs w:val="16"/>
                <w:color w:val="auto"/>
              </w:rPr>
              <w:t>EBITDA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11,092</w:t>
            </w:r>
          </w:p>
        </w:tc>
        <w:tc>
          <w:tcPr>
            <w:tcW w:w="18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15,505</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66,836</w:t>
            </w: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Adjusted EBITDA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12,655</w:t>
            </w:r>
          </w:p>
        </w:tc>
        <w:tc>
          <w:tcPr>
            <w:tcW w:w="18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17,802</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74,790</w:t>
            </w: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Free Cash Flow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(13,549)</w:t>
            </w:r>
          </w:p>
        </w:tc>
        <w:tc>
          <w:tcPr>
            <w:tcW w:w="18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7,150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Net Leverage Ratio (3)</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0.8x</w:t>
            </w:r>
          </w:p>
        </w:tc>
      </w:tr>
    </w:tbl>
    <w:p>
      <w:pPr>
        <w:spacing w:after="0" w:line="312" w:lineRule="exact"/>
        <w:rPr>
          <w:sz w:val="20"/>
          <w:szCs w:val="20"/>
          <w:color w:val="auto"/>
        </w:rPr>
      </w:pPr>
    </w:p>
    <w:p>
      <w:pPr>
        <w:ind w:left="332" w:right="2240" w:hanging="332"/>
        <w:spacing w:after="0" w:line="256"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w:t>
      </w:r>
    </w:p>
    <w:p>
      <w:pPr>
        <w:spacing w:after="0" w:line="1" w:lineRule="exact"/>
        <w:rPr>
          <w:rFonts w:ascii="Arial" w:cs="Arial" w:eastAsia="Arial" w:hAnsi="Arial"/>
          <w:sz w:val="16"/>
          <w:szCs w:val="16"/>
          <w:color w:val="auto"/>
        </w:rPr>
      </w:pPr>
    </w:p>
    <w:p>
      <w:pPr>
        <w:ind w:left="332" w:right="60"/>
        <w:spacing w:after="0"/>
        <w:rPr>
          <w:rFonts w:ascii="Arial" w:cs="Arial" w:eastAsia="Arial" w:hAnsi="Arial"/>
          <w:sz w:val="16"/>
          <w:szCs w:val="16"/>
          <w:color w:val="auto"/>
        </w:rPr>
      </w:pPr>
      <w:r>
        <w:rPr>
          <w:rFonts w:ascii="Arial" w:cs="Arial" w:eastAsia="Arial" w:hAnsi="Arial"/>
          <w:sz w:val="16"/>
          <w:szCs w:val="16"/>
          <w:color w:val="auto"/>
        </w:rPr>
        <w:t>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18" w:lineRule="exact"/>
        <w:rPr>
          <w:rFonts w:ascii="Arial" w:cs="Arial" w:eastAsia="Arial" w:hAnsi="Arial"/>
          <w:sz w:val="16"/>
          <w:szCs w:val="16"/>
          <w:color w:val="auto"/>
        </w:rPr>
      </w:pPr>
    </w:p>
    <w:p>
      <w:pPr>
        <w:ind w:left="332" w:right="8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00" w:lineRule="exact"/>
        <w:rPr>
          <w:sz w:val="20"/>
          <w:szCs w:val="20"/>
          <w:color w:val="auto"/>
        </w:rPr>
      </w:pPr>
    </w:p>
    <w:p>
      <w:pPr>
        <w:spacing w:after="0" w:line="218" w:lineRule="exact"/>
        <w:rPr>
          <w:sz w:val="20"/>
          <w:szCs w:val="20"/>
          <w:color w:val="auto"/>
        </w:rPr>
      </w:pPr>
    </w:p>
    <w:tbl>
      <w:tblPr>
        <w:tblLayout w:type="fixed"/>
        <w:tblInd w:w="1912"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Twelve Months</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263"/>
        </w:trPr>
        <w:tc>
          <w:tcPr>
            <w:tcW w:w="3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518"/>
        </w:trPr>
        <w:tc>
          <w:tcPr>
            <w:tcW w:w="3420" w:type="dxa"/>
            <w:vAlign w:val="bottom"/>
          </w:tcPr>
          <w:p>
            <w:pPr>
              <w:spacing w:after="0"/>
              <w:rPr>
                <w:sz w:val="20"/>
                <w:szCs w:val="20"/>
                <w:color w:val="auto"/>
              </w:rPr>
            </w:pPr>
            <w:r>
              <w:rPr>
                <w:rFonts w:ascii="Arial" w:cs="Arial" w:eastAsia="Arial" w:hAnsi="Arial"/>
                <w:sz w:val="16"/>
                <w:szCs w:val="16"/>
                <w:color w:val="auto"/>
              </w:rPr>
              <w:t>Net loss attributable to Civeo Corporation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(9,842)</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(5,133)</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(21,776)</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3,088</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14,029</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16,253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16,770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67,521</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71"/>
        </w:trPr>
        <w:tc>
          <w:tcPr>
            <w:tcW w:w="342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7,232</w:t>
            </w:r>
          </w:p>
        </w:tc>
        <w:tc>
          <w:tcPr>
            <w:tcW w:w="0" w:type="dxa"/>
            <w:vAlign w:val="bottom"/>
          </w:tcPr>
          <w:p>
            <w:pPr>
              <w:spacing w:after="0"/>
              <w:rPr>
                <w:sz w:val="1"/>
                <w:szCs w:val="1"/>
                <w:color w:val="auto"/>
              </w:rPr>
            </w:pPr>
          </w:p>
        </w:tc>
      </w:tr>
      <w:tr>
        <w:trPr>
          <w:trHeight w:val="249"/>
        </w:trPr>
        <w:tc>
          <w:tcPr>
            <w:tcW w:w="342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11,092</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15,505</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66,836</w:t>
            </w: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24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7,823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3,758</w:t>
            </w:r>
          </w:p>
        </w:tc>
        <w:tc>
          <w:tcPr>
            <w:tcW w:w="0" w:type="dxa"/>
            <w:vAlign w:val="bottom"/>
          </w:tcPr>
          <w:p>
            <w:pPr>
              <w:spacing w:after="0"/>
              <w:rPr>
                <w:sz w:val="1"/>
                <w:szCs w:val="1"/>
                <w:color w:val="auto"/>
              </w:rPr>
            </w:pPr>
          </w:p>
        </w:tc>
      </w:tr>
      <w:tr>
        <w:trPr>
          <w:trHeight w:val="204"/>
        </w:trPr>
        <w:tc>
          <w:tcPr>
            <w:tcW w:w="3420" w:type="dxa"/>
            <w:vAlign w:val="bottom"/>
          </w:tcPr>
          <w:p>
            <w:pPr>
              <w:ind w:left="220"/>
              <w:spacing w:after="0"/>
              <w:rPr>
                <w:sz w:val="20"/>
                <w:szCs w:val="20"/>
                <w:color w:val="auto"/>
              </w:rPr>
            </w:pPr>
            <w:r>
              <w:rPr>
                <w:rFonts w:ascii="Arial" w:cs="Arial" w:eastAsia="Arial" w:hAnsi="Arial"/>
                <w:sz w:val="16"/>
                <w:szCs w:val="16"/>
                <w:color w:val="auto"/>
              </w:rPr>
              <w:t>Net (gain) loss on disposition of McClelland</w:t>
            </w:r>
          </w:p>
        </w:tc>
        <w:tc>
          <w:tcPr>
            <w:tcW w:w="240" w:type="dxa"/>
            <w:vAlign w:val="bottom"/>
          </w:tcPr>
          <w:p>
            <w:pPr>
              <w:spacing w:after="0"/>
              <w:rPr>
                <w:sz w:val="17"/>
                <w:szCs w:val="17"/>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(6,075)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Lake Lodge assets (b)</w:t>
            </w: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420" w:type="dxa"/>
            <w:vAlign w:val="bottom"/>
          </w:tcPr>
          <w:p>
            <w:pPr>
              <w:ind w:left="220"/>
              <w:spacing w:after="0"/>
              <w:rPr>
                <w:sz w:val="20"/>
                <w:szCs w:val="20"/>
                <w:color w:val="auto"/>
              </w:rPr>
            </w:pPr>
            <w:r>
              <w:rPr>
                <w:rFonts w:ascii="Arial" w:cs="Arial" w:eastAsia="Arial" w:hAnsi="Arial"/>
                <w:sz w:val="16"/>
                <w:szCs w:val="16"/>
                <w:color w:val="auto"/>
              </w:rPr>
              <w:t>Restructuring costs (c)</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71"/>
        </w:trPr>
        <w:tc>
          <w:tcPr>
            <w:tcW w:w="3420" w:type="dxa"/>
            <w:vAlign w:val="bottom"/>
          </w:tcPr>
          <w:p>
            <w:pPr>
              <w:ind w:left="180"/>
              <w:spacing w:after="0"/>
              <w:rPr>
                <w:sz w:val="20"/>
                <w:szCs w:val="20"/>
                <w:color w:val="auto"/>
              </w:rPr>
            </w:pPr>
            <w:r>
              <w:rPr>
                <w:rFonts w:ascii="Arial" w:cs="Arial" w:eastAsia="Arial" w:hAnsi="Arial"/>
                <w:sz w:val="16"/>
                <w:szCs w:val="16"/>
                <w:color w:val="auto"/>
              </w:rPr>
              <w:t>Share-based compensation (d)</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24"/>
        </w:trPr>
        <w:tc>
          <w:tcPr>
            <w:tcW w:w="342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12,655</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17,802</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74,790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52" w:hanging="328"/>
        <w:spacing w:after="0" w:line="275"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asset impairments in the first and fourth quarters of 2024. In the fourth quarter of 2024, we recorded a pre-tax loss related to the impairment of long-lived assets in our Canadian segment of $3.2 million and a pre-tax loss related to the impairment of long-lived assets in the U.S. of $0.5 million. In the first quarter of 2024, we recorded a pre-tax loss</w:t>
      </w:r>
    </w:p>
    <w:p>
      <w:pPr>
        <w:sectPr>
          <w:pgSz w:w="11900" w:h="16838" w:orient="portrait"/>
          <w:cols w:equalWidth="0" w:num="1">
            <w:col w:w="11192"/>
          </w:cols>
          <w:pgMar w:left="328" w:top="1138" w:right="379" w:bottom="1440" w:gutter="0" w:footer="0" w:header="0"/>
        </w:sectPr>
      </w:pPr>
    </w:p>
    <w:bookmarkStart w:id="15" w:name="page16"/>
    <w:bookmarkEnd w:id="15"/>
    <w:p>
      <w:pPr>
        <w:ind w:left="652" w:right="280"/>
        <w:spacing w:after="0" w:line="286" w:lineRule="auto"/>
        <w:rPr>
          <w:sz w:val="20"/>
          <w:szCs w:val="20"/>
          <w:color w:val="auto"/>
        </w:rPr>
      </w:pPr>
      <w:r>
        <w:rPr>
          <w:rFonts w:ascii="Arial" w:cs="Arial" w:eastAsia="Arial" w:hAnsi="Arial"/>
          <w:sz w:val="16"/>
          <w:szCs w:val="16"/>
          <w:color w:val="auto"/>
        </w:rPr>
        <w:t>related to the impairment of long-lived assets in our Australian segment of $5.7 million and a pre-tax loss related to the impairment of long-lived assets in the U.S. of $2.1 million.</w:t>
      </w:r>
    </w:p>
    <w:p>
      <w:pPr>
        <w:spacing w:after="0" w:line="196" w:lineRule="exact"/>
        <w:rPr>
          <w:sz w:val="20"/>
          <w:szCs w:val="20"/>
          <w:color w:val="auto"/>
        </w:rPr>
      </w:pPr>
    </w:p>
    <w:p>
      <w:pPr>
        <w:ind w:left="652" w:hanging="328"/>
        <w:spacing w:after="0" w:line="260"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fourth, third and second quarters of 2024, we recorded expenses associated with the sale of our McClelland Lake Lodge of $0.1 million, $0.2 million and $0.1 million, respectively,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w:t>
      </w:r>
    </w:p>
    <w:p>
      <w:pPr>
        <w:spacing w:after="0" w:line="218" w:lineRule="exact"/>
        <w:rPr>
          <w:rFonts w:ascii="Arial" w:cs="Arial" w:eastAsia="Arial" w:hAnsi="Arial"/>
          <w:sz w:val="16"/>
          <w:szCs w:val="16"/>
          <w:color w:val="auto"/>
        </w:rPr>
      </w:pPr>
    </w:p>
    <w:p>
      <w:pPr>
        <w:ind w:left="652" w:hanging="328"/>
        <w:spacing w:after="0"/>
        <w:tabs>
          <w:tab w:leader="none" w:pos="652" w:val="left"/>
        </w:tabs>
        <w:numPr>
          <w:ilvl w:val="1"/>
          <w:numId w:val="7"/>
        </w:numPr>
        <w:rPr>
          <w:rFonts w:ascii="Arial" w:cs="Arial" w:eastAsia="Arial" w:hAnsi="Arial"/>
          <w:sz w:val="16"/>
          <w:szCs w:val="16"/>
          <w:color w:val="auto"/>
        </w:rPr>
      </w:pPr>
      <w:r>
        <w:rPr>
          <w:rFonts w:ascii="Arial" w:cs="Arial" w:eastAsia="Arial" w:hAnsi="Arial"/>
          <w:sz w:val="16"/>
          <w:szCs w:val="16"/>
          <w:color w:val="auto"/>
        </w:rPr>
        <w:t>Represents restructuring cost initiatives in Canada related to severance and two lodge closures.</w:t>
      </w:r>
    </w:p>
    <w:p>
      <w:pPr>
        <w:spacing w:after="0" w:line="248" w:lineRule="exact"/>
        <w:rPr>
          <w:rFonts w:ascii="Arial" w:cs="Arial" w:eastAsia="Arial" w:hAnsi="Arial"/>
          <w:sz w:val="16"/>
          <w:szCs w:val="16"/>
          <w:color w:val="auto"/>
        </w:rPr>
      </w:pPr>
    </w:p>
    <w:p>
      <w:pPr>
        <w:ind w:left="652" w:right="240" w:hanging="328"/>
        <w:spacing w:after="0" w:line="304"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pacing w:after="0" w:line="168" w:lineRule="exact"/>
        <w:rPr>
          <w:rFonts w:ascii="Arial" w:cs="Arial" w:eastAsia="Arial" w:hAnsi="Arial"/>
          <w:sz w:val="16"/>
          <w:szCs w:val="16"/>
          <w:color w:val="auto"/>
        </w:rPr>
      </w:pPr>
    </w:p>
    <w:p>
      <w:pPr>
        <w:ind w:left="332" w:right="1980" w:hanging="332"/>
        <w:spacing w:after="0" w:line="258"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w:t>
      </w:r>
    </w:p>
    <w:p>
      <w:pPr>
        <w:spacing w:after="0" w:line="204" w:lineRule="exact"/>
        <w:rPr>
          <w:rFonts w:ascii="Arial" w:cs="Arial" w:eastAsia="Arial" w:hAnsi="Arial"/>
          <w:sz w:val="16"/>
          <w:szCs w:val="16"/>
          <w:color w:val="auto"/>
        </w:rPr>
      </w:pPr>
    </w:p>
    <w:p>
      <w:pPr>
        <w:ind w:left="332" w:right="70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43" w:lineRule="exact"/>
        <w:rPr>
          <w:sz w:val="20"/>
          <w:szCs w:val="20"/>
          <w:color w:val="auto"/>
        </w:rPr>
      </w:pPr>
    </w:p>
    <w:p>
      <w:pPr>
        <w:jc w:val="center"/>
        <w:ind w:left="4620"/>
        <w:spacing w:after="0"/>
        <w:rPr>
          <w:sz w:val="20"/>
          <w:szCs w:val="20"/>
          <w:color w:val="auto"/>
        </w:rPr>
      </w:pPr>
      <w:r>
        <w:rPr>
          <w:rFonts w:ascii="Arial" w:cs="Arial" w:eastAsia="Arial" w:hAnsi="Arial"/>
          <w:sz w:val="16"/>
          <w:szCs w:val="16"/>
          <w:b w:val="1"/>
          <w:bCs w:val="1"/>
          <w:color w:val="auto"/>
        </w:rPr>
        <w:t>Three Months Ended</w:t>
      </w:r>
    </w:p>
    <w:p>
      <w:pPr>
        <w:jc w:val="center"/>
        <w:ind w:left="462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2132"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r>
      <w:tr>
        <w:trPr>
          <w:trHeight w:val="518"/>
        </w:trPr>
        <w:tc>
          <w:tcPr>
            <w:tcW w:w="462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(8,445)</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179"/>
              <w:spacing w:after="0"/>
              <w:rPr>
                <w:sz w:val="20"/>
                <w:szCs w:val="20"/>
                <w:color w:val="auto"/>
              </w:rPr>
            </w:pPr>
            <w:r>
              <w:rPr>
                <w:rFonts w:ascii="Arial" w:cs="Arial" w:eastAsia="Arial" w:hAnsi="Arial"/>
                <w:sz w:val="16"/>
                <w:szCs w:val="16"/>
                <w:color w:val="auto"/>
              </w:rPr>
              <w:t>5,985</w:t>
            </w:r>
          </w:p>
        </w:tc>
      </w:tr>
      <w:tr>
        <w:trPr>
          <w:trHeight w:val="270"/>
        </w:trPr>
        <w:tc>
          <w:tcPr>
            <w:tcW w:w="46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(5,613)</w:t>
            </w:r>
          </w:p>
        </w:tc>
      </w:tr>
      <w:tr>
        <w:trPr>
          <w:trHeight w:val="271"/>
        </w:trPr>
        <w:tc>
          <w:tcPr>
            <w:tcW w:w="462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6,778</w:t>
            </w:r>
          </w:p>
        </w:tc>
      </w:tr>
      <w:tr>
        <w:trPr>
          <w:trHeight w:val="224"/>
        </w:trPr>
        <w:tc>
          <w:tcPr>
            <w:tcW w:w="462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(13,549)</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7,150</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32" w:right="1940" w:hanging="332"/>
        <w:spacing w:after="0" w:line="258" w:lineRule="auto"/>
        <w:tabs>
          <w:tab w:leader="none" w:pos="32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04" w:lineRule="exact"/>
        <w:rPr>
          <w:rFonts w:ascii="Arial" w:cs="Arial" w:eastAsia="Arial" w:hAnsi="Arial"/>
          <w:sz w:val="16"/>
          <w:szCs w:val="16"/>
          <w:color w:val="auto"/>
        </w:rPr>
      </w:pPr>
    </w:p>
    <w:p>
      <w:pPr>
        <w:ind w:left="332" w:right="26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ectPr>
          <w:pgSz w:w="11900" w:h="16838" w:orient="portrait"/>
          <w:cols w:equalWidth="0" w:num="1">
            <w:col w:w="11172"/>
          </w:cols>
          <w:pgMar w:left="328" w:top="895" w:right="39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As of March 31,</w:t>
            </w:r>
          </w:p>
        </w:tc>
      </w:tr>
      <w:tr>
        <w:trPr>
          <w:trHeight w:val="217"/>
        </w:trPr>
        <w:tc>
          <w:tcPr>
            <w:tcW w:w="6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r>
      <w:tr>
        <w:trPr>
          <w:trHeight w:val="464"/>
        </w:trPr>
        <w:tc>
          <w:tcPr>
            <w:tcW w:w="6260" w:type="dxa"/>
            <w:vAlign w:val="bottom"/>
          </w:tcPr>
          <w:p>
            <w:pPr>
              <w:spacing w:after="0"/>
              <w:rPr>
                <w:sz w:val="20"/>
                <w:szCs w:val="20"/>
                <w:color w:val="auto"/>
              </w:rPr>
            </w:pPr>
            <w:r>
              <w:rPr>
                <w:rFonts w:ascii="Arial" w:cs="Arial" w:eastAsia="Arial" w:hAnsi="Arial"/>
                <w:sz w:val="16"/>
                <w:szCs w:val="16"/>
                <w:color w:val="auto"/>
              </w:rPr>
              <w:t>Total debt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87,367</w:t>
            </w:r>
          </w:p>
        </w:tc>
      </w:tr>
      <w:tr>
        <w:trPr>
          <w:trHeight w:val="217"/>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28,372</w:t>
            </w:r>
          </w:p>
        </w:tc>
      </w:tr>
      <w:tr>
        <w:trPr>
          <w:trHeight w:val="211"/>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58,995</w:t>
            </w:r>
          </w:p>
        </w:tc>
      </w:tr>
      <w:tr>
        <w:trPr>
          <w:trHeight w:val="21"/>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March 31, 2025 (a)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74,790</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7"/>
        </w:trPr>
        <w:tc>
          <w:tcPr>
            <w:tcW w:w="6260" w:type="dxa"/>
            <w:vAlign w:val="bottom"/>
          </w:tcPr>
          <w:p>
            <w:pPr>
              <w:ind w:left="100"/>
              <w:spacing w:after="0"/>
              <w:rPr>
                <w:sz w:val="20"/>
                <w:szCs w:val="20"/>
                <w:color w:val="auto"/>
              </w:rPr>
            </w:pPr>
            <w:r>
              <w:rPr>
                <w:rFonts w:ascii="Arial" w:cs="Arial" w:eastAsia="Arial" w:hAnsi="Arial"/>
                <w:sz w:val="16"/>
                <w:szCs w:val="16"/>
                <w:color w:val="auto"/>
              </w:rPr>
              <w:t>Restructuring costs (b)</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r>
      <w:tr>
        <w:trPr>
          <w:trHeight w:val="211"/>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73,996</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51"/>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0.8x</w:t>
            </w:r>
          </w:p>
        </w:tc>
      </w:tr>
    </w:tbl>
    <w:p>
      <w:pPr>
        <w:spacing w:after="0" w:line="200" w:lineRule="exact"/>
        <w:rPr>
          <w:sz w:val="20"/>
          <w:szCs w:val="20"/>
          <w:color w:val="auto"/>
        </w:rPr>
      </w:pPr>
    </w:p>
    <w:p>
      <w:pPr>
        <w:spacing w:after="0" w:line="220" w:lineRule="exact"/>
        <w:rPr>
          <w:sz w:val="20"/>
          <w:szCs w:val="20"/>
          <w:color w:val="auto"/>
        </w:rPr>
      </w:pPr>
    </w:p>
    <w:p>
      <w:pPr>
        <w:ind w:left="230" w:hanging="230"/>
        <w:spacing w:after="0"/>
        <w:tabs>
          <w:tab w:leader="none" w:pos="2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loss attributable to Civeo Corporation</w:t>
      </w:r>
    </w:p>
    <w:p>
      <w:pPr>
        <w:spacing w:after="0" w:line="32" w:lineRule="exact"/>
        <w:rPr>
          <w:rFonts w:ascii="Arial" w:cs="Arial" w:eastAsia="Arial" w:hAnsi="Arial"/>
          <w:sz w:val="16"/>
          <w:szCs w:val="16"/>
          <w:color w:val="auto"/>
        </w:rPr>
      </w:pPr>
    </w:p>
    <w:p>
      <w:pPr>
        <w:ind w:left="250" w:hanging="250"/>
        <w:spacing w:after="0"/>
        <w:tabs>
          <w:tab w:leader="none" w:pos="25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Related to restructuring costs defined above not allowed to be adjusted by our credit facility</w:t>
      </w:r>
    </w:p>
    <w:p>
      <w:pPr>
        <w:spacing w:after="0" w:line="32" w:lineRule="exact"/>
        <w:rPr>
          <w:rFonts w:ascii="Arial" w:cs="Arial" w:eastAsia="Arial" w:hAnsi="Arial"/>
          <w:sz w:val="16"/>
          <w:szCs w:val="16"/>
          <w:color w:val="auto"/>
        </w:rPr>
      </w:pPr>
    </w:p>
    <w:p>
      <w:pPr>
        <w:ind w:left="230" w:hanging="230"/>
        <w:spacing w:after="0"/>
        <w:tabs>
          <w:tab w:leader="none" w:pos="2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9789"/>
          </w:cols>
          <w:pgMar w:left="670" w:top="935" w:right="1440" w:bottom="1440" w:gutter="0" w:footer="0" w:header="0"/>
        </w:sectPr>
      </w:pPr>
    </w:p>
    <w:bookmarkStart w:id="17" w:name="page18"/>
    <w:bookmarkEnd w:id="17"/>
    <w:p>
      <w:pPr>
        <w:jc w:val="center"/>
        <w:ind w:right="-2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tbl>
      <w:tblPr>
        <w:tblLayout w:type="fixed"/>
        <w:tblInd w:w="2072"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2025</w:t>
            </w:r>
          </w:p>
        </w:tc>
      </w:tr>
      <w:tr>
        <w:trPr>
          <w:trHeight w:val="302"/>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70.2</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75.0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85.0</w:t>
            </w:r>
          </w:p>
        </w:tc>
      </w:tr>
    </w:tbl>
    <w:p>
      <w:pPr>
        <w:spacing w:after="0" w:line="298" w:lineRule="exact"/>
        <w:rPr>
          <w:sz w:val="20"/>
          <w:szCs w:val="20"/>
          <w:color w:val="auto"/>
        </w:rPr>
      </w:pPr>
    </w:p>
    <w:p>
      <w:pPr>
        <w:ind w:left="332" w:hanging="332"/>
        <w:spacing w:after="0" w:line="286" w:lineRule="auto"/>
        <w:tabs>
          <w:tab w:leader="none" w:pos="32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2025</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(estimated)</w:t>
            </w:r>
          </w:p>
        </w:tc>
        <w:tc>
          <w:tcPr>
            <w:tcW w:w="66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(15.8)</w:t>
            </w:r>
          </w:p>
        </w:tc>
        <w:tc>
          <w:tcPr>
            <w:tcW w:w="200" w:type="dxa"/>
            <w:vAlign w:val="bottom"/>
          </w:tcPr>
          <w:p>
            <w:pPr>
              <w:spacing w:after="0"/>
              <w:rPr>
                <w:sz w:val="24"/>
                <w:szCs w:val="24"/>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r>
      <w:tr>
        <w:trPr>
          <w:trHeight w:val="303"/>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Canadian restructuring cost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48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1"/>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92"/>
          </w:cols>
          <w:pgMar w:left="328" w:top="895" w:right="579" w:bottom="1440" w:gutter="0" w:footer="0" w:header="0"/>
        </w:sectPr>
      </w:pPr>
    </w:p>
    <w:bookmarkStart w:id="18" w:name="page19"/>
    <w:bookmarkEnd w:id="18"/>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2"/>
    </w:lvl>
  </w:abstractNum>
  <w:abstractNum w:abstractNumId="7">
    <w:nsid w:val="12200854"/>
    <w:multiLevelType w:val="hybridMultilevel"/>
    <w:lvl w:ilvl="0">
      <w:lvlJc w:val="left"/>
      <w:lvlText w:val="(%1)"/>
      <w:numFmt w:val="decimal"/>
      <w:start w:val="2"/>
    </w:lvl>
    <w:lvl w:ilvl="1">
      <w:lvlJc w:val="left"/>
      <w:lvlText w:val="%2"/>
      <w:numFmt w:val="lowerLetter"/>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2025-04-30T07:08:27Z</dcterms:created>
  <dcterms:modified xsi:type="dcterms:W3CDTF">2025-04-30T07:08:27Z</dcterms:modified>
</cp:coreProperties>
</file>